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lang w:val="en-US" w:eastAsia="zh-CN"/>
        </w:rPr>
        <w:t xml:space="preserve">                </w:t>
      </w:r>
      <w:r>
        <w:drawing>
          <wp:inline distT="0" distB="0" distL="114300" distR="114300">
            <wp:extent cx="803910" cy="770890"/>
            <wp:effectExtent l="0" t="0" r="15240" b="10160"/>
            <wp:docPr id="1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9"/>
                    <pic:cNvPicPr>
                      <a:picLocks noChangeAspect="1"/>
                    </pic:cNvPicPr>
                  </pic:nvPicPr>
                  <pic:blipFill>
                    <a:blip r:embed="rId15"/>
                    <a:stretch>
                      <a:fillRect/>
                    </a:stretch>
                  </pic:blipFill>
                  <pic:spPr>
                    <a:xfrm>
                      <a:off x="0" y="0"/>
                      <a:ext cx="803910" cy="770890"/>
                    </a:xfrm>
                    <a:prstGeom prst="rect">
                      <a:avLst/>
                    </a:prstGeom>
                    <a:noFill/>
                    <a:ln>
                      <a:noFill/>
                    </a:ln>
                  </pic:spPr>
                </pic:pic>
              </a:graphicData>
            </a:graphic>
          </wp:inline>
        </w:drawing>
      </w:r>
      <w:r>
        <w:drawing>
          <wp:inline distT="0" distB="0" distL="114300" distR="114300">
            <wp:extent cx="2468880" cy="771525"/>
            <wp:effectExtent l="0" t="0" r="7620" b="9525"/>
            <wp:docPr id="1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0"/>
                    <pic:cNvPicPr>
                      <a:picLocks noChangeAspect="1"/>
                    </pic:cNvPicPr>
                  </pic:nvPicPr>
                  <pic:blipFill>
                    <a:blip r:embed="rId16"/>
                    <a:stretch>
                      <a:fillRect/>
                    </a:stretch>
                  </pic:blipFill>
                  <pic:spPr>
                    <a:xfrm>
                      <a:off x="0" y="0"/>
                      <a:ext cx="2468880" cy="771525"/>
                    </a:xfrm>
                    <a:prstGeom prst="rect">
                      <a:avLst/>
                    </a:prstGeom>
                    <a:noFill/>
                    <a:ln>
                      <a:noFill/>
                    </a:ln>
                  </pic:spPr>
                </pic:pic>
              </a:graphicData>
            </a:graphic>
          </wp:inline>
        </w:drawing>
      </w:r>
    </w:p>
    <w:p>
      <w:pPr>
        <w:ind w:firstLine="1890" w:firstLineChars="900"/>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汉仪李国兴行楷简" w:hAnsi="汉仪李国兴行楷简" w:eastAsia="汉仪李国兴行楷简" w:cs="汉仪李国兴行楷简"/>
          <w:sz w:val="72"/>
          <w:szCs w:val="72"/>
          <w:lang w:val="en-US" w:eastAsia="zh-CN"/>
        </w:rPr>
      </w:pPr>
      <w:r>
        <w:rPr>
          <w:rFonts w:hint="eastAsia" w:ascii="汉仪李国兴行楷简" w:hAnsi="汉仪李国兴行楷简" w:eastAsia="汉仪李国兴行楷简" w:cs="汉仪李国兴行楷简"/>
          <w:sz w:val="72"/>
          <w:szCs w:val="72"/>
          <w:lang w:val="en-US" w:eastAsia="zh-CN"/>
        </w:rPr>
        <w:t>化学工程与工艺专业</w:t>
      </w: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汉仪李国兴行楷简" w:hAnsi="汉仪李国兴行楷简" w:eastAsia="汉仪李国兴行楷简" w:cs="汉仪李国兴行楷简"/>
          <w:color w:val="C0504D"/>
          <w:sz w:val="72"/>
          <w:szCs w:val="72"/>
          <w:lang w:val="en-US" w:eastAsia="zh-CN"/>
        </w:rPr>
      </w:pPr>
      <w:r>
        <w:rPr>
          <w:rFonts w:hint="eastAsia" w:ascii="汉仪李国兴行楷简" w:hAnsi="汉仪李国兴行楷简" w:eastAsia="汉仪李国兴行楷简" w:cs="汉仪李国兴行楷简"/>
          <w:sz w:val="72"/>
          <w:szCs w:val="72"/>
          <w:lang w:val="en-US" w:eastAsia="zh-CN"/>
        </w:rPr>
        <w:t>课</w:t>
      </w: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汉仪李国兴行楷简" w:hAnsi="汉仪李国兴行楷简" w:eastAsia="汉仪李国兴行楷简" w:cs="汉仪李国兴行楷简"/>
          <w:sz w:val="72"/>
          <w:szCs w:val="72"/>
          <w:lang w:val="en-US" w:eastAsia="zh-CN"/>
        </w:rPr>
      </w:pPr>
      <w:r>
        <w:rPr>
          <w:rFonts w:hint="eastAsia" w:ascii="汉仪李国兴行楷简" w:hAnsi="汉仪李国兴行楷简" w:eastAsia="汉仪李国兴行楷简" w:cs="汉仪李国兴行楷简"/>
          <w:sz w:val="72"/>
          <w:szCs w:val="72"/>
          <w:lang w:val="en-US" w:eastAsia="zh-CN"/>
        </w:rPr>
        <w:t>程</w:t>
      </w: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汉仪李国兴行楷简" w:hAnsi="汉仪李国兴行楷简" w:eastAsia="汉仪李国兴行楷简" w:cs="汉仪李国兴行楷简"/>
          <w:sz w:val="72"/>
          <w:szCs w:val="72"/>
          <w:lang w:val="en-US" w:eastAsia="zh-CN"/>
        </w:rPr>
      </w:pPr>
      <w:r>
        <w:rPr>
          <w:rFonts w:hint="eastAsia" w:ascii="汉仪李国兴行楷简" w:hAnsi="汉仪李国兴行楷简" w:eastAsia="汉仪李国兴行楷简" w:cs="汉仪李国兴行楷简"/>
          <w:sz w:val="72"/>
          <w:szCs w:val="72"/>
          <w:lang w:val="en-US" w:eastAsia="zh-CN"/>
        </w:rPr>
        <w:t>教</w:t>
      </w: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汉仪李国兴行楷简" w:hAnsi="汉仪李国兴行楷简" w:eastAsia="汉仪李国兴行楷简" w:cs="汉仪李国兴行楷简"/>
          <w:sz w:val="72"/>
          <w:szCs w:val="72"/>
          <w:lang w:val="en-US" w:eastAsia="zh-CN"/>
        </w:rPr>
      </w:pPr>
      <w:r>
        <w:rPr>
          <w:rFonts w:hint="eastAsia" w:ascii="汉仪李国兴行楷简" w:hAnsi="汉仪李国兴行楷简" w:eastAsia="汉仪李国兴行楷简" w:cs="汉仪李国兴行楷简"/>
          <w:sz w:val="72"/>
          <w:szCs w:val="72"/>
          <w:lang w:val="en-US" w:eastAsia="zh-CN"/>
        </w:rPr>
        <w:t>学</w:t>
      </w: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汉仪李国兴行楷简" w:hAnsi="汉仪李国兴行楷简" w:eastAsia="汉仪李国兴行楷简" w:cs="汉仪李国兴行楷简"/>
          <w:sz w:val="72"/>
          <w:szCs w:val="72"/>
          <w:lang w:val="en-US" w:eastAsia="zh-CN"/>
        </w:rPr>
      </w:pPr>
      <w:r>
        <w:rPr>
          <w:rFonts w:hint="eastAsia" w:ascii="汉仪李国兴行楷简" w:hAnsi="汉仪李国兴行楷简" w:eastAsia="汉仪李国兴行楷简" w:cs="汉仪李国兴行楷简"/>
          <w:sz w:val="72"/>
          <w:szCs w:val="72"/>
          <w:lang w:val="en-US" w:eastAsia="zh-CN"/>
        </w:rPr>
        <w:t>大</w:t>
      </w: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汉仪李国兴行楷简" w:hAnsi="汉仪李国兴行楷简" w:eastAsia="汉仪李国兴行楷简" w:cs="汉仪李国兴行楷简"/>
          <w:sz w:val="72"/>
          <w:szCs w:val="72"/>
          <w:lang w:val="en-US" w:eastAsia="zh-CN"/>
        </w:rPr>
      </w:pPr>
      <w:r>
        <w:rPr>
          <w:rFonts w:hint="eastAsia" w:ascii="汉仪李国兴行楷简" w:hAnsi="汉仪李国兴行楷简" w:eastAsia="汉仪李国兴行楷简" w:cs="汉仪李国兴行楷简"/>
          <w:sz w:val="72"/>
          <w:szCs w:val="72"/>
          <w:lang w:val="en-US" w:eastAsia="zh-CN"/>
        </w:rPr>
        <w:t>纲</w:t>
      </w: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汉仪李国兴行楷简" w:hAnsi="汉仪李国兴行楷简" w:eastAsia="汉仪李国兴行楷简" w:cs="汉仪李国兴行楷简"/>
          <w:sz w:val="52"/>
          <w:szCs w:val="52"/>
          <w:lang w:val="en-US" w:eastAsia="zh-CN"/>
        </w:rPr>
      </w:pPr>
      <w:r>
        <w:rPr>
          <w:rFonts w:hint="eastAsia" w:ascii="汉仪李国兴行楷简" w:hAnsi="汉仪李国兴行楷简" w:eastAsia="汉仪李国兴行楷简" w:cs="汉仪李国兴行楷简"/>
          <w:sz w:val="52"/>
          <w:szCs w:val="52"/>
          <w:lang w:val="en-US" w:eastAsia="zh-CN"/>
        </w:rPr>
        <w:t>化工与材料学院</w:t>
      </w: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汉仪李国兴行楷简" w:hAnsi="汉仪李国兴行楷简" w:eastAsia="汉仪李国兴行楷简" w:cs="汉仪李国兴行楷简"/>
          <w:sz w:val="52"/>
          <w:szCs w:val="52"/>
          <w:lang w:val="en-US" w:eastAsia="zh-CN"/>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start="0"/>
          <w:cols w:space="720" w:num="1"/>
          <w:docGrid w:type="lines" w:linePitch="312" w:charSpace="0"/>
        </w:sectPr>
      </w:pPr>
      <w:r>
        <w:rPr>
          <w:rFonts w:hint="eastAsia" w:ascii="汉仪李国兴行楷简" w:hAnsi="汉仪李国兴行楷简" w:eastAsia="汉仪李国兴行楷简" w:cs="汉仪李国兴行楷简"/>
          <w:sz w:val="52"/>
          <w:szCs w:val="52"/>
          <w:lang w:val="en-US" w:eastAsia="zh-CN"/>
        </w:rPr>
        <w:t>2021年11月</w:t>
      </w:r>
    </w:p>
    <w:p>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lang w:val="en-US" w:eastAsia="zh-CN" w:bidi="ar-SA"/>
        </w:rPr>
      </w:pPr>
    </w:p>
    <w:sdt>
      <w:sdtPr>
        <w:rPr>
          <w:rFonts w:ascii="宋体" w:hAnsi="宋体" w:eastAsia="宋体" w:cs="Times New Roman"/>
          <w:kern w:val="2"/>
          <w:sz w:val="21"/>
          <w:szCs w:val="24"/>
          <w:lang w:val="en-US" w:eastAsia="zh-CN" w:bidi="ar-SA"/>
        </w:rPr>
        <w:id w:val="147475265"/>
        <w15:color w:val="DBDBDB"/>
        <w:docPartObj>
          <w:docPartGallery w:val="Table of Contents"/>
          <w:docPartUnique/>
        </w:docPartObj>
      </w:sdtPr>
      <w:sdtEndPr>
        <w:rPr>
          <w:rFonts w:hint="eastAsia" w:ascii="微软雅黑" w:hAnsi="微软雅黑" w:eastAsia="宋体" w:cs="宋体"/>
          <w:b/>
          <w:caps/>
          <w:kern w:val="0"/>
          <w:sz w:val="28"/>
          <w:szCs w:val="24"/>
          <w:lang w:val="en-US" w:eastAsia="zh-CN" w:bidi="ar-SA"/>
        </w:rPr>
      </w:sdtEndPr>
      <w:sdtContent>
        <w:p>
          <w:pPr>
            <w:spacing w:before="0" w:beforeLines="0" w:after="0" w:afterLines="0" w:line="240" w:lineRule="auto"/>
            <w:ind w:left="0" w:leftChars="0" w:right="0" w:rightChars="0"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目</w:t>
          </w:r>
          <w:r>
            <w:rPr>
              <w:rFonts w:hint="default" w:ascii="Times New Roman" w:hAnsi="Times New Roman" w:cs="Times New Roman"/>
              <w:sz w:val="24"/>
              <w:szCs w:val="24"/>
              <w:lang w:val="en-US" w:eastAsia="zh-CN"/>
            </w:rPr>
            <w:t xml:space="preserve">      </w:t>
          </w:r>
          <w:r>
            <w:rPr>
              <w:rFonts w:hint="default" w:ascii="Times New Roman" w:hAnsi="Times New Roman" w:eastAsia="宋体" w:cs="Times New Roman"/>
              <w:sz w:val="24"/>
              <w:szCs w:val="24"/>
            </w:rPr>
            <w:t>录</w:t>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TOC \o "1-3" \h \u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_Toc16417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专业导</w:t>
          </w:r>
          <w:r>
            <w:rPr>
              <w:rFonts w:hint="default" w:ascii="Times New Roman" w:hAnsi="Times New Roman" w:eastAsia="宋体" w:cs="Times New Roman"/>
              <w:sz w:val="24"/>
              <w:szCs w:val="24"/>
              <w:lang w:eastAsia="zh-CN"/>
            </w:rPr>
            <w:t>学</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_Toc16417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2</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_Toc20470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大学生劳动教育课程教学大纲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_Toc20470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6</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_Toc22023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无机化学课程教学大纲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_Toc22023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13</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_Toc28053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分析化学课程教学大纲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_Toc28053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22</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_Toc2649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lang w:val="zh-CN"/>
            </w:rPr>
            <w:t>分析化学实验课程教学大纲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_Toc2649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30</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_Toc10161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有机化学课程教学大纲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_Toc10161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35</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_Toc23279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有机化学实验教学大纲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_Toc23279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45</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_Toc11478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物理化学实验课程教学大纲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_Toc11478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51</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_Toc3050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化工原理Ⅰ课程教学大纲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_Toc3050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60</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_Toc26947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化工原理II课程教学大纲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_Toc26947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68</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_Toc13998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化工原理实验教学大纲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_Toc13998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75</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_Toc24189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仪器分析与实验</w:t>
          </w:r>
          <w:r>
            <w:rPr>
              <w:rFonts w:hint="default" w:ascii="Times New Roman" w:hAnsi="Times New Roman" w:eastAsia="宋体" w:cs="Times New Roman"/>
              <w:sz w:val="24"/>
              <w:szCs w:val="24"/>
              <w:lang w:eastAsia="zh-CN"/>
            </w:rPr>
            <w:t>（双语）</w:t>
          </w:r>
          <w:r>
            <w:rPr>
              <w:rFonts w:hint="default" w:ascii="Times New Roman" w:hAnsi="Times New Roman" w:eastAsia="宋体" w:cs="Times New Roman"/>
              <w:sz w:val="24"/>
              <w:szCs w:val="24"/>
            </w:rPr>
            <w:t>课程教学大纲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_Toc24189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84</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_Toc13712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化工环保与安全课程教学大纲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_Toc13712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92</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_Toc2244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化学反应工程课程教学大纲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_Toc2244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103</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_Toc31243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lang w:val="en-US" w:eastAsia="zh-CN"/>
            </w:rPr>
            <w:t>化工工艺学课程教学大纲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_Toc31243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112</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_Toc18688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lang w:val="en-US" w:eastAsia="zh-CN"/>
            </w:rPr>
            <w:t>化工热力学教学大纲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_Toc18688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119</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_Toc2420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化工系统工程课程教学大纲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_Toc2420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125</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_Toc16142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lang w:val="en-US" w:eastAsia="zh-CN"/>
            </w:rPr>
            <w:t>化工技术经济与管理课程教学大纲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_Toc16142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131</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_Toc31883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化工设计基础课程教学大纲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_Toc31883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137</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_Toc8100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现代材料表征技术</w:t>
          </w:r>
          <w:r>
            <w:rPr>
              <w:rFonts w:hint="default" w:ascii="Times New Roman" w:hAnsi="Times New Roman" w:eastAsia="宋体" w:cs="Times New Roman"/>
              <w:sz w:val="24"/>
              <w:szCs w:val="24"/>
              <w:lang w:eastAsia="zh-CN"/>
            </w:rPr>
            <w:t>（新创碳谷）</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_Toc8100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153</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_Toc91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生物化学课程教学大纲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_Toc91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161</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_Toc10784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药剂学课程教学大纲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_Toc10784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167</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_Toc2883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实验室认证认可(双语)（Q）课程教学大纲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_Toc2883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174</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_Toc17915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制药工程课程教学大纲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_Toc17915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179</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_Toc20254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教学方法与教学手段</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_Toc20254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183</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_Toc19648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课程实施与保障</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_Toc19648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184</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_Toc31210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生产质量管理（双语）课程教学大纲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_Toc31210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186</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_Toc27819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药物化学课程教学大纲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_Toc27819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193</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_Toc8282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药物分析课程教学大纲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_Toc8282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199</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_Toc12645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化工分离工程课程教学大纲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_Toc12645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206</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_Toc18994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纳米药物学课程教学大纲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_Toc18994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212</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_Toc27506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认识实习教学大纲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_Toc27506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218</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_Toc5736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专业英语及文献检索课程教学大纲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_Toc5736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222</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_Toc13395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化工综合设计课程教学大纲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_Toc13395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232</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_Toc23896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生产实习教学大纲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_Toc23896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237</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_Toc31847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化工原理课程设计教学大纲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_Toc31847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243</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_Toc10640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化工仿真与实训课程教学大纲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_Toc10640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250</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_Toc14600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化工综合实验课程教学大纲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_Toc14600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255</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
            <w:tabs>
              <w:tab w:val="right" w:leader="dot" w:pos="8306"/>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_Toc25594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毕业设计（论文）教学大纲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_Toc25594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262</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3"/>
            <w:bidi w:val="0"/>
            <w:jc w:val="center"/>
            <w:rPr>
              <w:rFonts w:hint="default" w:ascii="Times New Roman" w:hAnsi="Times New Roman" w:eastAsia="宋体" w:cs="Times New Roman"/>
              <w:sz w:val="24"/>
              <w:szCs w:val="24"/>
            </w:rPr>
            <w:sectPr>
              <w:headerReference r:id="rId8" w:type="first"/>
              <w:footerReference r:id="rId10" w:type="first"/>
              <w:headerReference r:id="rId7" w:type="default"/>
              <w:footerReference r:id="rId9" w:type="default"/>
              <w:pgSz w:w="11906" w:h="16838"/>
              <w:pgMar w:top="1440" w:right="1800" w:bottom="1440" w:left="1800" w:header="851" w:footer="992" w:gutter="0"/>
              <w:pgNumType w:fmt="decimal" w:start="1"/>
              <w:cols w:space="720" w:num="1"/>
              <w:docGrid w:type="lines" w:linePitch="312" w:charSpace="0"/>
            </w:sectPr>
          </w:pPr>
        </w:p>
        <w:p>
          <w:pPr>
            <w:pStyle w:val="3"/>
            <w:bidi w:val="0"/>
            <w:jc w:val="center"/>
            <w:rPr>
              <w:rFonts w:hint="eastAsia"/>
            </w:rPr>
          </w:pPr>
          <w:r>
            <w:rPr>
              <w:rFonts w:hint="default" w:ascii="Times New Roman" w:hAnsi="Times New Roman" w:eastAsia="宋体" w:cs="Times New Roman"/>
              <w:sz w:val="24"/>
              <w:szCs w:val="24"/>
            </w:rPr>
            <w:fldChar w:fldCharType="end"/>
          </w:r>
          <w:bookmarkStart w:id="329" w:name="_GoBack"/>
          <w:bookmarkEnd w:id="329"/>
        </w:p>
      </w:sdtContent>
    </w:sdt>
    <w:p>
      <w:pPr>
        <w:pStyle w:val="3"/>
        <w:bidi w:val="0"/>
        <w:jc w:val="center"/>
        <w:rPr>
          <w:rFonts w:hint="eastAsia"/>
          <w:lang w:val="en-US" w:eastAsia="zh-CN"/>
        </w:rPr>
      </w:pPr>
      <w:bookmarkStart w:id="0" w:name="_Toc16417"/>
      <w:r>
        <w:rPr>
          <w:rFonts w:hint="eastAsia"/>
        </w:rPr>
        <w:t>专业导</w:t>
      </w:r>
      <w:r>
        <w:rPr>
          <w:rFonts w:hint="eastAsia"/>
          <w:lang w:eastAsia="zh-CN"/>
        </w:rPr>
        <w:t>学</w:t>
      </w:r>
      <w:bookmarkEnd w:id="0"/>
    </w:p>
    <w:p>
      <w:pPr>
        <w:autoSpaceDE w:val="0"/>
        <w:autoSpaceDN w:val="0"/>
        <w:adjustRightInd w:val="0"/>
        <w:jc w:val="center"/>
        <w:rPr>
          <w:rFonts w:ascii="Times New Roman" w:hAnsi="Times New Roman" w:eastAsia="宋体" w:cs="Times New Roman"/>
          <w:b/>
          <w:bCs/>
          <w:kern w:val="0"/>
          <w:sz w:val="30"/>
          <w:szCs w:val="30"/>
        </w:rPr>
      </w:pPr>
      <w:r>
        <w:rPr>
          <w:rFonts w:hint="eastAsia" w:ascii="宋体" w:hAnsi="Times New Roman" w:eastAsia="宋体" w:cs="宋体"/>
          <w:b/>
          <w:bCs/>
          <w:kern w:val="0"/>
          <w:sz w:val="30"/>
          <w:szCs w:val="30"/>
        </w:rPr>
        <w:t>（</w:t>
      </w:r>
      <w:r>
        <w:rPr>
          <w:rFonts w:hint="eastAsia" w:ascii="Times New Roman" w:hAnsi="Times New Roman" w:eastAsia="宋体" w:cs="Times New Roman"/>
          <w:b/>
          <w:bCs/>
          <w:kern w:val="0"/>
          <w:sz w:val="30"/>
          <w:szCs w:val="30"/>
          <w:lang w:val="en-US" w:eastAsia="zh-CN"/>
        </w:rPr>
        <w:t>An</w:t>
      </w:r>
      <w:r>
        <w:rPr>
          <w:rFonts w:hint="eastAsia" w:ascii="宋体" w:cs="宋体"/>
          <w:b/>
          <w:bCs/>
          <w:kern w:val="0"/>
          <w:sz w:val="30"/>
          <w:szCs w:val="30"/>
          <w:lang w:val="en-US" w:eastAsia="zh-CN"/>
        </w:rPr>
        <w:t xml:space="preserve"> </w:t>
      </w:r>
      <w:r>
        <w:rPr>
          <w:rFonts w:ascii="Times New Roman" w:hAnsi="Times New Roman" w:eastAsia="宋体" w:cs="Times New Roman"/>
          <w:b/>
          <w:bCs/>
          <w:kern w:val="0"/>
          <w:sz w:val="30"/>
          <w:szCs w:val="30"/>
        </w:rPr>
        <w:t>Introduction to Professional</w:t>
      </w:r>
      <w:r>
        <w:rPr>
          <w:rFonts w:hint="eastAsia" w:ascii="宋体" w:hAnsi="Times New Roman" w:eastAsia="宋体" w:cs="宋体"/>
          <w:b/>
          <w:bCs/>
          <w:kern w:val="0"/>
          <w:sz w:val="30"/>
          <w:szCs w:val="30"/>
        </w:rPr>
        <w:t>）</w:t>
      </w:r>
    </w:p>
    <w:p>
      <w:pPr>
        <w:autoSpaceDE w:val="0"/>
        <w:autoSpaceDN w:val="0"/>
        <w:adjustRightInd w:val="0"/>
        <w:spacing w:line="360" w:lineRule="auto"/>
        <w:rPr>
          <w:rFonts w:ascii="Times New Roman" w:hAnsi="Times New Roman" w:eastAsia="宋体" w:cs="Times New Roman"/>
          <w:b/>
          <w:bCs/>
          <w:kern w:val="0"/>
          <w:sz w:val="28"/>
          <w:szCs w:val="28"/>
        </w:rPr>
      </w:pPr>
      <w:r>
        <w:rPr>
          <w:rFonts w:hint="eastAsia" w:ascii="宋体" w:hAnsi="Times New Roman" w:eastAsia="宋体" w:cs="宋体"/>
          <w:b/>
          <w:bCs/>
          <w:kern w:val="0"/>
          <w:sz w:val="28"/>
          <w:szCs w:val="28"/>
          <w:lang w:val="zh-CN"/>
        </w:rPr>
        <w:t>一、课程概况</w:t>
      </w:r>
    </w:p>
    <w:p>
      <w:pPr>
        <w:autoSpaceDE w:val="0"/>
        <w:autoSpaceDN w:val="0"/>
        <w:adjustRightInd w:val="0"/>
        <w:spacing w:line="360" w:lineRule="auto"/>
        <w:ind w:firstLine="482"/>
        <w:rPr>
          <w:rFonts w:ascii="Times New Roman" w:hAnsi="Times New Roman" w:eastAsia="宋体" w:cs="Times New Roman"/>
          <w:b/>
          <w:bCs/>
          <w:kern w:val="0"/>
          <w:sz w:val="24"/>
        </w:rPr>
      </w:pPr>
      <w:r>
        <w:rPr>
          <w:rFonts w:hint="eastAsia" w:ascii="宋体" w:hAnsi="Times New Roman" w:eastAsia="宋体" w:cs="宋体"/>
          <w:b/>
          <w:bCs/>
          <w:kern w:val="0"/>
          <w:sz w:val="24"/>
          <w:lang w:val="zh-CN"/>
        </w:rPr>
        <w:t>课程代码：</w:t>
      </w:r>
      <w:r>
        <w:rPr>
          <w:rFonts w:hint="eastAsia" w:ascii="Times New Roman" w:hAnsi="Times New Roman" w:eastAsia="宋体" w:cs="Times New Roman"/>
          <w:b/>
          <w:bCs/>
          <w:kern w:val="0"/>
          <w:sz w:val="24"/>
        </w:rPr>
        <w:t>2501100</w:t>
      </w:r>
    </w:p>
    <w:p>
      <w:pPr>
        <w:autoSpaceDE w:val="0"/>
        <w:autoSpaceDN w:val="0"/>
        <w:adjustRightInd w:val="0"/>
        <w:spacing w:line="360" w:lineRule="auto"/>
        <w:ind w:firstLine="482"/>
        <w:rPr>
          <w:rFonts w:hint="default" w:ascii="Times New Roman" w:hAnsi="Times New Roman" w:eastAsia="宋体" w:cs="Times New Roman"/>
          <w:b/>
          <w:bCs/>
          <w:kern w:val="0"/>
          <w:sz w:val="24"/>
          <w:lang w:val="en-US" w:eastAsia="zh-CN"/>
        </w:rPr>
      </w:pPr>
      <w:r>
        <w:rPr>
          <w:rFonts w:hint="eastAsia" w:ascii="宋体" w:hAnsi="Times New Roman" w:eastAsia="宋体" w:cs="宋体"/>
          <w:b/>
          <w:bCs/>
          <w:kern w:val="0"/>
          <w:sz w:val="24"/>
          <w:lang w:val="zh-CN"/>
        </w:rPr>
        <w:t>学</w:t>
      </w:r>
      <w:r>
        <w:rPr>
          <w:rFonts w:ascii="Times New Roman" w:hAnsi="Times New Roman" w:eastAsia="宋体" w:cs="Times New Roman"/>
          <w:b/>
          <w:bCs/>
          <w:kern w:val="0"/>
          <w:sz w:val="24"/>
        </w:rPr>
        <w:t xml:space="preserve">    </w:t>
      </w:r>
      <w:r>
        <w:rPr>
          <w:rFonts w:hint="eastAsia" w:ascii="宋体" w:hAnsi="Times New Roman" w:eastAsia="宋体" w:cs="宋体"/>
          <w:b/>
          <w:bCs/>
          <w:kern w:val="0"/>
          <w:sz w:val="24"/>
          <w:lang w:val="zh-CN"/>
        </w:rPr>
        <w:t>分：</w:t>
      </w:r>
      <w:r>
        <w:rPr>
          <w:rFonts w:hint="eastAsia" w:cs="Times New Roman"/>
          <w:b/>
          <w:bCs/>
          <w:kern w:val="0"/>
          <w:sz w:val="24"/>
          <w:lang w:val="en-US" w:eastAsia="zh-CN"/>
        </w:rPr>
        <w:t>0.5</w:t>
      </w:r>
    </w:p>
    <w:p>
      <w:pPr>
        <w:autoSpaceDE w:val="0"/>
        <w:autoSpaceDN w:val="0"/>
        <w:adjustRightInd w:val="0"/>
        <w:spacing w:line="360" w:lineRule="auto"/>
        <w:ind w:firstLine="482"/>
        <w:rPr>
          <w:rFonts w:hint="eastAsia" w:ascii="Times New Roman" w:hAnsi="Times New Roman" w:eastAsia="宋体" w:cs="Times New Roman"/>
          <w:kern w:val="0"/>
          <w:sz w:val="24"/>
          <w:lang w:eastAsia="zh-CN"/>
        </w:rPr>
      </w:pPr>
      <w:r>
        <w:rPr>
          <w:rFonts w:hint="eastAsia" w:ascii="宋体" w:hAnsi="Times New Roman" w:eastAsia="宋体" w:cs="宋体"/>
          <w:b/>
          <w:bCs/>
          <w:kern w:val="0"/>
          <w:sz w:val="24"/>
          <w:lang w:val="zh-CN"/>
        </w:rPr>
        <w:t>学</w:t>
      </w:r>
      <w:r>
        <w:rPr>
          <w:rFonts w:ascii="Times New Roman" w:hAnsi="Times New Roman" w:eastAsia="宋体" w:cs="Times New Roman"/>
          <w:b/>
          <w:bCs/>
          <w:kern w:val="0"/>
          <w:sz w:val="24"/>
        </w:rPr>
        <w:t xml:space="preserve">    </w:t>
      </w:r>
      <w:r>
        <w:rPr>
          <w:rFonts w:hint="eastAsia" w:ascii="宋体" w:hAnsi="Times New Roman" w:eastAsia="宋体" w:cs="宋体"/>
          <w:b/>
          <w:bCs/>
          <w:kern w:val="0"/>
          <w:sz w:val="24"/>
          <w:lang w:val="zh-CN"/>
        </w:rPr>
        <w:t>时：</w:t>
      </w:r>
      <w:r>
        <w:rPr>
          <w:rFonts w:hint="eastAsia" w:cs="Times New Roman"/>
          <w:b/>
          <w:bCs/>
          <w:kern w:val="0"/>
          <w:sz w:val="24"/>
          <w:lang w:val="en-US" w:eastAsia="zh-CN"/>
        </w:rPr>
        <w:t>8</w:t>
      </w:r>
    </w:p>
    <w:p>
      <w:pPr>
        <w:autoSpaceDE w:val="0"/>
        <w:autoSpaceDN w:val="0"/>
        <w:adjustRightInd w:val="0"/>
        <w:spacing w:line="360" w:lineRule="auto"/>
        <w:ind w:firstLine="482"/>
        <w:rPr>
          <w:rFonts w:ascii="Times New Roman" w:hAnsi="Times New Roman" w:eastAsia="宋体" w:cs="Times New Roman"/>
          <w:kern w:val="0"/>
          <w:sz w:val="24"/>
        </w:rPr>
      </w:pPr>
      <w:r>
        <w:rPr>
          <w:rFonts w:hint="eastAsia" w:ascii="宋体" w:hAnsi="Times New Roman" w:eastAsia="宋体" w:cs="宋体"/>
          <w:b/>
          <w:bCs/>
          <w:kern w:val="0"/>
          <w:sz w:val="24"/>
          <w:lang w:val="zh-CN"/>
        </w:rPr>
        <w:t>先修课程：无</w:t>
      </w:r>
    </w:p>
    <w:p>
      <w:pPr>
        <w:autoSpaceDE w:val="0"/>
        <w:autoSpaceDN w:val="0"/>
        <w:adjustRightInd w:val="0"/>
        <w:spacing w:line="360" w:lineRule="auto"/>
        <w:ind w:firstLine="482"/>
        <w:rPr>
          <w:rFonts w:ascii="Times New Roman" w:hAnsi="Times New Roman" w:eastAsia="宋体" w:cs="Times New Roman"/>
          <w:kern w:val="0"/>
          <w:sz w:val="24"/>
        </w:rPr>
      </w:pPr>
      <w:r>
        <w:rPr>
          <w:rFonts w:hint="eastAsia" w:ascii="宋体" w:hAnsi="Times New Roman" w:eastAsia="宋体" w:cs="宋体"/>
          <w:b/>
          <w:bCs/>
          <w:kern w:val="0"/>
          <w:sz w:val="24"/>
          <w:lang w:val="zh-CN"/>
        </w:rPr>
        <w:t>适用专业：</w:t>
      </w:r>
      <w:r>
        <w:rPr>
          <w:rFonts w:hint="eastAsia" w:ascii="宋体" w:hAnsi="Times New Roman" w:eastAsia="宋体" w:cs="宋体"/>
          <w:kern w:val="0"/>
          <w:sz w:val="24"/>
          <w:lang w:val="zh-CN"/>
        </w:rPr>
        <w:t>化学工程与工艺、应用化学</w:t>
      </w:r>
    </w:p>
    <w:p>
      <w:pPr>
        <w:autoSpaceDE w:val="0"/>
        <w:autoSpaceDN w:val="0"/>
        <w:adjustRightInd w:val="0"/>
        <w:spacing w:line="360" w:lineRule="auto"/>
        <w:ind w:firstLine="482"/>
        <w:rPr>
          <w:rFonts w:ascii="Times New Roman" w:hAnsi="Times New Roman" w:eastAsia="宋体" w:cs="Times New Roman"/>
          <w:kern w:val="0"/>
          <w:sz w:val="24"/>
        </w:rPr>
      </w:pPr>
      <w:r>
        <w:rPr>
          <w:rFonts w:hint="eastAsia" w:ascii="宋体" w:hAnsi="Times New Roman" w:eastAsia="宋体" w:cs="宋体"/>
          <w:b/>
          <w:bCs/>
          <w:kern w:val="0"/>
          <w:sz w:val="24"/>
          <w:lang w:val="zh-CN"/>
        </w:rPr>
        <w:t>教</w:t>
      </w:r>
      <w:r>
        <w:rPr>
          <w:rFonts w:ascii="Times New Roman" w:hAnsi="Times New Roman" w:eastAsia="宋体" w:cs="Times New Roman"/>
          <w:b/>
          <w:bCs/>
          <w:kern w:val="0"/>
          <w:sz w:val="24"/>
        </w:rPr>
        <w:t xml:space="preserve">    </w:t>
      </w:r>
      <w:r>
        <w:rPr>
          <w:rFonts w:hint="eastAsia" w:ascii="宋体" w:hAnsi="Times New Roman" w:eastAsia="宋体" w:cs="宋体"/>
          <w:b/>
          <w:bCs/>
          <w:kern w:val="0"/>
          <w:sz w:val="24"/>
          <w:lang w:val="zh-CN"/>
        </w:rPr>
        <w:t>材：</w:t>
      </w:r>
      <w:r>
        <w:rPr>
          <w:rFonts w:hint="eastAsia" w:ascii="宋体" w:hAnsi="Times New Roman" w:eastAsia="宋体" w:cs="宋体"/>
          <w:kern w:val="0"/>
          <w:sz w:val="24"/>
          <w:lang w:val="zh-CN"/>
        </w:rPr>
        <w:t>无</w:t>
      </w:r>
    </w:p>
    <w:p>
      <w:pPr>
        <w:autoSpaceDE w:val="0"/>
        <w:autoSpaceDN w:val="0"/>
        <w:adjustRightInd w:val="0"/>
        <w:spacing w:line="360" w:lineRule="auto"/>
        <w:ind w:firstLine="482"/>
        <w:rPr>
          <w:rFonts w:ascii="Times New Roman" w:hAnsi="Times New Roman" w:eastAsia="宋体" w:cs="Times New Roman"/>
          <w:kern w:val="0"/>
          <w:sz w:val="24"/>
        </w:rPr>
      </w:pPr>
      <w:r>
        <w:rPr>
          <w:rFonts w:hint="eastAsia" w:ascii="宋体" w:hAnsi="Times New Roman" w:eastAsia="宋体" w:cs="宋体"/>
          <w:b/>
          <w:bCs/>
          <w:kern w:val="0"/>
          <w:sz w:val="24"/>
          <w:lang w:val="zh-CN"/>
        </w:rPr>
        <w:t>课程归口：</w:t>
      </w:r>
      <w:r>
        <w:rPr>
          <w:rFonts w:hint="eastAsia" w:ascii="宋体" w:hAnsi="Times New Roman" w:eastAsia="宋体" w:cs="宋体"/>
          <w:kern w:val="0"/>
          <w:sz w:val="24"/>
          <w:lang w:val="zh-CN"/>
        </w:rPr>
        <w:t>化工与材料学院</w:t>
      </w:r>
    </w:p>
    <w:p>
      <w:pPr>
        <w:autoSpaceDE w:val="0"/>
        <w:autoSpaceDN w:val="0"/>
        <w:adjustRightInd w:val="0"/>
        <w:spacing w:line="360" w:lineRule="auto"/>
        <w:ind w:firstLine="482"/>
        <w:rPr>
          <w:rFonts w:ascii="Times New Roman" w:hAnsi="Times New Roman" w:eastAsia="宋体" w:cs="Times New Roman"/>
          <w:kern w:val="0"/>
          <w:sz w:val="24"/>
        </w:rPr>
      </w:pPr>
      <w:r>
        <w:rPr>
          <w:rFonts w:hint="eastAsia" w:ascii="宋体" w:hAnsi="Times New Roman" w:eastAsia="宋体" w:cs="宋体"/>
          <w:b/>
          <w:bCs/>
          <w:kern w:val="0"/>
          <w:sz w:val="24"/>
          <w:lang w:val="zh-CN"/>
        </w:rPr>
        <w:t>课程团队：</w:t>
      </w:r>
      <w:r>
        <w:rPr>
          <w:rFonts w:hint="eastAsia" w:ascii="宋体" w:hAnsi="Times New Roman" w:eastAsia="宋体" w:cs="宋体"/>
          <w:kern w:val="0"/>
          <w:sz w:val="24"/>
          <w:lang w:val="zh-CN"/>
        </w:rPr>
        <w:t>魏雪</w:t>
      </w:r>
      <w:r>
        <w:rPr>
          <w:rFonts w:hint="eastAsia" w:ascii="宋体" w:cs="宋体"/>
          <w:kern w:val="0"/>
          <w:sz w:val="24"/>
          <w:lang w:val="zh-CN" w:eastAsia="zh-CN"/>
        </w:rPr>
        <w:t>姣</w:t>
      </w:r>
      <w:r>
        <w:rPr>
          <w:rFonts w:hint="eastAsia" w:ascii="宋体" w:hAnsi="Times New Roman" w:eastAsia="宋体" w:cs="宋体"/>
          <w:kern w:val="0"/>
          <w:sz w:val="24"/>
          <w:lang w:val="zh-CN"/>
        </w:rPr>
        <w:t>、</w:t>
      </w:r>
      <w:r>
        <w:rPr>
          <w:rFonts w:hint="eastAsia" w:ascii="宋体" w:cs="宋体"/>
          <w:kern w:val="0"/>
          <w:sz w:val="24"/>
          <w:lang w:val="zh-CN"/>
        </w:rPr>
        <w:t>柏寄荣</w:t>
      </w:r>
      <w:r>
        <w:rPr>
          <w:rFonts w:hint="eastAsia" w:ascii="宋体" w:hAnsi="Times New Roman" w:eastAsia="宋体" w:cs="宋体"/>
          <w:kern w:val="0"/>
          <w:sz w:val="24"/>
          <w:lang w:val="zh-CN"/>
        </w:rPr>
        <w:t>等</w:t>
      </w:r>
    </w:p>
    <w:p>
      <w:pPr>
        <w:autoSpaceDE w:val="0"/>
        <w:autoSpaceDN w:val="0"/>
        <w:adjustRightInd w:val="0"/>
        <w:spacing w:line="400" w:lineRule="atLeast"/>
        <w:ind w:firstLine="482"/>
        <w:rPr>
          <w:rFonts w:ascii="宋体" w:hAnsi="Times New Roman" w:eastAsia="宋体" w:cs="宋体"/>
          <w:color w:val="000000"/>
          <w:kern w:val="0"/>
          <w:sz w:val="24"/>
          <w:lang w:val="zh-CN"/>
        </w:rPr>
      </w:pPr>
      <w:r>
        <w:rPr>
          <w:rFonts w:hint="eastAsia" w:ascii="宋体" w:hAnsi="Times New Roman" w:eastAsia="宋体" w:cs="宋体"/>
          <w:b/>
          <w:bCs/>
          <w:kern w:val="0"/>
          <w:sz w:val="24"/>
          <w:lang w:val="zh-CN"/>
        </w:rPr>
        <w:t>课程性质与任务：</w:t>
      </w:r>
      <w:r>
        <w:rPr>
          <w:rFonts w:hint="eastAsia" w:ascii="宋体" w:hAnsi="Times New Roman" w:eastAsia="宋体" w:cs="宋体"/>
          <w:kern w:val="0"/>
          <w:sz w:val="24"/>
          <w:lang w:val="zh-CN"/>
        </w:rPr>
        <w:t>本课程是化学工程与工艺和应用化学专业的一门通识必修课，讲授化学化工概论、化学化工专业导论、</w:t>
      </w:r>
      <w:r>
        <w:rPr>
          <w:rFonts w:hint="eastAsia" w:ascii="宋体" w:cs="宋体"/>
          <w:kern w:val="0"/>
          <w:sz w:val="24"/>
          <w:lang w:val="zh-CN"/>
        </w:rPr>
        <w:t>化学化工前沿</w:t>
      </w:r>
      <w:r>
        <w:rPr>
          <w:rFonts w:hint="eastAsia" w:ascii="宋体" w:hAnsi="Times New Roman" w:eastAsia="宋体" w:cs="宋体"/>
          <w:kern w:val="0"/>
          <w:sz w:val="24"/>
          <w:lang w:val="zh-CN"/>
        </w:rPr>
        <w:t>。通过本课程的教学，使学生初步认识化学、化工发展的情况和重要作用，初步了解化学工程与工艺和应用化学专业人才培养的规格和要求；</w:t>
      </w:r>
      <w:r>
        <w:rPr>
          <w:rFonts w:hint="eastAsia" w:ascii="宋体" w:cs="宋体"/>
          <w:kern w:val="0"/>
          <w:sz w:val="24"/>
          <w:lang w:val="en-US" w:eastAsia="zh-CN"/>
        </w:rPr>
        <w:t xml:space="preserve"> </w:t>
      </w:r>
      <w:r>
        <w:rPr>
          <w:rFonts w:hint="eastAsia" w:ascii="宋体" w:hAnsi="Times New Roman" w:eastAsia="宋体" w:cs="宋体"/>
          <w:kern w:val="0"/>
          <w:sz w:val="24"/>
          <w:lang w:val="zh-CN"/>
        </w:rPr>
        <w:t>学习化学工程与工艺和应用化学专业有关课程和将来从事化学工程与工艺和应用化学工作打下必要的基础。</w:t>
      </w:r>
    </w:p>
    <w:p>
      <w:pPr>
        <w:autoSpaceDE w:val="0"/>
        <w:autoSpaceDN w:val="0"/>
        <w:adjustRightInd w:val="0"/>
        <w:spacing w:line="360" w:lineRule="auto"/>
        <w:rPr>
          <w:rFonts w:ascii="Times New Roman" w:hAnsi="Times New Roman" w:eastAsia="宋体" w:cs="Times New Roman"/>
          <w:b/>
          <w:bCs/>
          <w:kern w:val="0"/>
          <w:sz w:val="28"/>
          <w:szCs w:val="28"/>
        </w:rPr>
      </w:pPr>
      <w:r>
        <w:rPr>
          <w:rFonts w:hint="eastAsia" w:ascii="宋体" w:hAnsi="Times New Roman" w:eastAsia="宋体" w:cs="宋体"/>
          <w:b/>
          <w:bCs/>
          <w:kern w:val="0"/>
          <w:sz w:val="28"/>
          <w:szCs w:val="28"/>
          <w:lang w:val="zh-CN"/>
        </w:rPr>
        <w:t>二、课程目标及对毕业要求观测点的支撑</w:t>
      </w:r>
    </w:p>
    <w:tbl>
      <w:tblPr>
        <w:tblStyle w:val="10"/>
        <w:tblW w:w="9467" w:type="dxa"/>
        <w:jc w:val="center"/>
        <w:tblLayout w:type="fixed"/>
        <w:tblCellMar>
          <w:top w:w="0" w:type="dxa"/>
          <w:left w:w="108" w:type="dxa"/>
          <w:bottom w:w="0" w:type="dxa"/>
          <w:right w:w="108" w:type="dxa"/>
        </w:tblCellMar>
      </w:tblPr>
      <w:tblGrid>
        <w:gridCol w:w="738"/>
        <w:gridCol w:w="3509"/>
        <w:gridCol w:w="1901"/>
        <w:gridCol w:w="3319"/>
      </w:tblGrid>
      <w:tr>
        <w:tblPrEx>
          <w:tblCellMar>
            <w:top w:w="0" w:type="dxa"/>
            <w:left w:w="108" w:type="dxa"/>
            <w:bottom w:w="0" w:type="dxa"/>
            <w:right w:w="108" w:type="dxa"/>
          </w:tblCellMar>
        </w:tblPrEx>
        <w:trPr>
          <w:trHeight w:val="481" w:hRule="atLeast"/>
          <w:jc w:val="center"/>
        </w:trPr>
        <w:tc>
          <w:tcPr>
            <w:tcW w:w="738"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hAnsi="Times New Roman" w:eastAsia="宋体" w:cs="宋体"/>
                <w:kern w:val="0"/>
                <w:sz w:val="22"/>
                <w:szCs w:val="22"/>
                <w:lang w:val="zh-CN"/>
              </w:rPr>
            </w:pPr>
            <w:r>
              <w:rPr>
                <w:rFonts w:hint="eastAsia" w:ascii="宋体" w:hAnsi="Times New Roman" w:eastAsia="宋体" w:cs="宋体"/>
                <w:b/>
                <w:bCs/>
                <w:kern w:val="0"/>
                <w:szCs w:val="21"/>
                <w:lang w:val="zh-CN"/>
              </w:rPr>
              <w:t>序号</w:t>
            </w:r>
          </w:p>
        </w:tc>
        <w:tc>
          <w:tcPr>
            <w:tcW w:w="3509"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hAnsi="Times New Roman" w:eastAsia="宋体" w:cs="宋体"/>
                <w:kern w:val="0"/>
                <w:sz w:val="22"/>
                <w:szCs w:val="22"/>
                <w:lang w:val="zh-CN"/>
              </w:rPr>
            </w:pPr>
            <w:r>
              <w:rPr>
                <w:rFonts w:hint="eastAsia" w:ascii="宋体" w:hAnsi="Times New Roman" w:eastAsia="宋体" w:cs="宋体"/>
                <w:b/>
                <w:bCs/>
                <w:kern w:val="0"/>
                <w:szCs w:val="21"/>
                <w:lang w:val="zh-CN"/>
              </w:rPr>
              <w:t>课程目标</w:t>
            </w:r>
          </w:p>
        </w:tc>
        <w:tc>
          <w:tcPr>
            <w:tcW w:w="1901"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hAnsi="Times New Roman" w:eastAsia="宋体" w:cs="宋体"/>
                <w:kern w:val="0"/>
                <w:sz w:val="22"/>
                <w:szCs w:val="22"/>
                <w:lang w:val="zh-CN"/>
              </w:rPr>
            </w:pPr>
            <w:r>
              <w:rPr>
                <w:rFonts w:hint="eastAsia" w:ascii="宋体" w:hAnsi="Times New Roman" w:eastAsia="宋体" w:cs="宋体"/>
                <w:b/>
                <w:bCs/>
                <w:kern w:val="0"/>
                <w:szCs w:val="21"/>
                <w:lang w:val="zh-CN"/>
              </w:rPr>
              <w:t>支撑毕业要求观测点</w:t>
            </w:r>
          </w:p>
        </w:tc>
        <w:tc>
          <w:tcPr>
            <w:tcW w:w="3319"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hAnsi="Times New Roman" w:eastAsia="宋体" w:cs="宋体"/>
                <w:kern w:val="0"/>
                <w:sz w:val="22"/>
                <w:szCs w:val="22"/>
                <w:lang w:val="zh-CN"/>
              </w:rPr>
            </w:pPr>
            <w:r>
              <w:rPr>
                <w:rFonts w:hint="eastAsia" w:ascii="宋体" w:hAnsi="Times New Roman" w:eastAsia="宋体" w:cs="宋体"/>
                <w:b/>
                <w:bCs/>
                <w:kern w:val="0"/>
                <w:szCs w:val="21"/>
                <w:lang w:val="zh-CN"/>
              </w:rPr>
              <w:t>毕业要求</w:t>
            </w:r>
          </w:p>
        </w:tc>
      </w:tr>
      <w:tr>
        <w:tblPrEx>
          <w:tblCellMar>
            <w:top w:w="0" w:type="dxa"/>
            <w:left w:w="108" w:type="dxa"/>
            <w:bottom w:w="0" w:type="dxa"/>
            <w:right w:w="108" w:type="dxa"/>
          </w:tblCellMar>
        </w:tblPrEx>
        <w:trPr>
          <w:trHeight w:val="461" w:hRule="atLeast"/>
          <w:jc w:val="center"/>
        </w:trPr>
        <w:tc>
          <w:tcPr>
            <w:tcW w:w="738"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hint="eastAsia" w:ascii="宋体" w:hAnsi="Times New Roman" w:eastAsia="宋体" w:cs="宋体"/>
                <w:kern w:val="0"/>
                <w:sz w:val="22"/>
                <w:szCs w:val="22"/>
                <w:lang w:val="zh-CN" w:eastAsia="zh-CN"/>
              </w:rPr>
            </w:pPr>
            <w:r>
              <w:rPr>
                <w:rFonts w:hint="eastAsia" w:cs="Times New Roman"/>
                <w:kern w:val="0"/>
                <w:szCs w:val="21"/>
                <w:lang w:val="en-US" w:eastAsia="zh-CN"/>
              </w:rPr>
              <w:t>1</w:t>
            </w:r>
          </w:p>
        </w:tc>
        <w:tc>
          <w:tcPr>
            <w:tcW w:w="3509"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hAnsi="Times New Roman" w:eastAsia="宋体" w:cs="宋体"/>
                <w:kern w:val="0"/>
                <w:sz w:val="22"/>
                <w:szCs w:val="22"/>
                <w:lang w:val="zh-CN"/>
              </w:rPr>
            </w:pPr>
            <w:r>
              <w:rPr>
                <w:rFonts w:hint="eastAsia" w:ascii="宋体" w:hAnsi="Times New Roman" w:eastAsia="宋体" w:cs="宋体"/>
                <w:b/>
                <w:bCs/>
                <w:kern w:val="0"/>
                <w:szCs w:val="21"/>
                <w:lang w:val="zh-CN"/>
              </w:rPr>
              <w:t>目标</w:t>
            </w:r>
            <w:r>
              <w:rPr>
                <w:rFonts w:hint="eastAsia" w:cs="Times New Roman"/>
                <w:b/>
                <w:bCs/>
                <w:kern w:val="0"/>
                <w:szCs w:val="21"/>
                <w:lang w:val="en-US" w:eastAsia="zh-CN"/>
              </w:rPr>
              <w:t>1</w:t>
            </w:r>
            <w:r>
              <w:rPr>
                <w:rFonts w:hint="eastAsia" w:ascii="宋体" w:hAnsi="Times New Roman" w:eastAsia="宋体" w:cs="宋体"/>
                <w:b/>
                <w:bCs/>
                <w:kern w:val="0"/>
                <w:szCs w:val="21"/>
                <w:lang w:val="zh-CN"/>
              </w:rPr>
              <w:t>：</w:t>
            </w:r>
            <w:r>
              <w:rPr>
                <w:rFonts w:hint="eastAsia" w:ascii="宋体" w:cs="宋体"/>
                <w:kern w:val="0"/>
                <w:szCs w:val="21"/>
                <w:lang w:val="zh-CN"/>
              </w:rPr>
              <w:t>能够了解化学化工专业产生的历史背景及发展过程，理解化学化工专业的地位和作用，掌握化学化工专业的特点和学习要求，培育</w:t>
            </w:r>
            <w:r>
              <w:rPr>
                <w:rFonts w:hint="eastAsia" w:ascii="宋体" w:cs="宋体"/>
                <w:color w:val="000000"/>
                <w:kern w:val="0"/>
                <w:szCs w:val="21"/>
                <w:lang w:val="zh-CN"/>
              </w:rPr>
              <w:t>人文社会科学素养、社会责任感，在工程实践中理解并遵守工程职业道德和规范，履行责任</w:t>
            </w:r>
            <w:r>
              <w:rPr>
                <w:rFonts w:hint="eastAsia" w:ascii="宋体" w:cs="宋体"/>
                <w:kern w:val="0"/>
                <w:szCs w:val="21"/>
                <w:lang w:val="zh-CN"/>
              </w:rPr>
              <w:t>。</w:t>
            </w:r>
          </w:p>
        </w:tc>
        <w:tc>
          <w:tcPr>
            <w:tcW w:w="1901"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hAnsi="Times New Roman" w:eastAsia="宋体" w:cs="宋体"/>
                <w:kern w:val="0"/>
                <w:sz w:val="22"/>
                <w:szCs w:val="22"/>
                <w:lang w:val="zh-CN"/>
              </w:rPr>
            </w:pPr>
            <w:r>
              <w:rPr>
                <w:rFonts w:hint="eastAsia" w:ascii="宋体" w:hAnsi="Times New Roman" w:eastAsia="宋体" w:cs="宋体"/>
                <w:b/>
                <w:bCs/>
                <w:color w:val="000000"/>
                <w:kern w:val="0"/>
                <w:szCs w:val="21"/>
                <w:lang w:val="zh-CN"/>
              </w:rPr>
              <w:t>观测点</w:t>
            </w:r>
            <w:r>
              <w:rPr>
                <w:rFonts w:hint="eastAsia" w:cs="Times New Roman"/>
                <w:b/>
                <w:bCs/>
                <w:kern w:val="0"/>
                <w:szCs w:val="21"/>
                <w:lang w:val="en-US" w:eastAsia="zh-CN"/>
              </w:rPr>
              <w:t>10</w:t>
            </w:r>
            <w:r>
              <w:rPr>
                <w:rFonts w:ascii="Times New Roman" w:hAnsi="Times New Roman" w:eastAsia="宋体" w:cs="Times New Roman"/>
                <w:b/>
                <w:bCs/>
                <w:kern w:val="0"/>
                <w:szCs w:val="21"/>
              </w:rPr>
              <w:t>.3</w:t>
            </w:r>
            <w:r>
              <w:rPr>
                <w:rFonts w:hint="eastAsia" w:ascii="宋体" w:hAnsi="Times New Roman" w:eastAsia="宋体" w:cs="宋体"/>
                <w:kern w:val="0"/>
                <w:szCs w:val="21"/>
                <w:lang w:val="zh-CN"/>
              </w:rPr>
              <w:t>：</w:t>
            </w:r>
            <w:r>
              <w:rPr>
                <w:rFonts w:ascii="Times New Roman" w:hAnsi="宋体"/>
                <w:kern w:val="0"/>
                <w:szCs w:val="21"/>
              </w:rPr>
              <w:t>了解化工领域及其相关行业的国际状况，能够跟踪化工专业国际前沿</w:t>
            </w:r>
          </w:p>
        </w:tc>
        <w:tc>
          <w:tcPr>
            <w:tcW w:w="3319"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hAnsi="Times New Roman" w:eastAsia="宋体" w:cs="宋体"/>
                <w:kern w:val="0"/>
                <w:sz w:val="22"/>
                <w:szCs w:val="22"/>
                <w:lang w:val="zh-CN"/>
              </w:rPr>
            </w:pPr>
            <w:r>
              <w:rPr>
                <w:rFonts w:hint="eastAsia" w:ascii="宋体" w:hAnsi="Times New Roman" w:eastAsia="宋体" w:cs="宋体"/>
                <w:b/>
                <w:bCs/>
                <w:color w:val="000000"/>
                <w:kern w:val="0"/>
                <w:szCs w:val="21"/>
                <w:lang w:val="zh-CN"/>
              </w:rPr>
              <w:t>毕业要求</w:t>
            </w:r>
            <w:r>
              <w:rPr>
                <w:rFonts w:hint="eastAsia" w:cs="Times New Roman"/>
                <w:b/>
                <w:bCs/>
                <w:color w:val="000000"/>
                <w:kern w:val="0"/>
                <w:szCs w:val="21"/>
                <w:lang w:val="en-US" w:eastAsia="zh-CN"/>
              </w:rPr>
              <w:t xml:space="preserve">10 </w:t>
            </w:r>
            <w:r>
              <w:rPr>
                <w:rFonts w:ascii="Times New Roman" w:hAnsi="宋体"/>
                <w:kern w:val="0"/>
                <w:szCs w:val="21"/>
              </w:rPr>
              <w:t>沟通：能够就</w:t>
            </w:r>
            <w:r>
              <w:rPr>
                <w:rFonts w:ascii="Times New Roman" w:hAnsi="宋体"/>
                <w:szCs w:val="21"/>
              </w:rPr>
              <w:t>化学工程与工艺领域</w:t>
            </w:r>
            <w:r>
              <w:rPr>
                <w:rFonts w:ascii="Times New Roman" w:hAnsi="宋体"/>
                <w:kern w:val="0"/>
                <w:szCs w:val="21"/>
              </w:rPr>
              <w:t>复杂工程问题与业界同行及社会公众进行有效沟通和交流，包括撰写报告和设计文稿、陈述发言、清晰表达或回应指令。并具备一定的国际视野，能够在跨文化背景下进行沟通和交流</w:t>
            </w:r>
            <w:r>
              <w:rPr>
                <w:rFonts w:hint="eastAsia" w:ascii="宋体" w:hAnsi="Times New Roman" w:eastAsia="宋体" w:cs="宋体"/>
                <w:kern w:val="0"/>
                <w:szCs w:val="21"/>
                <w:lang w:val="zh-CN"/>
              </w:rPr>
              <w:t>。</w:t>
            </w:r>
            <w:r>
              <w:rPr>
                <w:rFonts w:hint="eastAsia" w:ascii="宋体" w:hAnsi="Times New Roman" w:eastAsia="宋体" w:cs="宋体"/>
                <w:color w:val="000000"/>
                <w:kern w:val="0"/>
                <w:szCs w:val="21"/>
                <w:lang w:val="zh-CN"/>
              </w:rPr>
              <w:t>。</w:t>
            </w:r>
          </w:p>
        </w:tc>
      </w:tr>
    </w:tbl>
    <w:p>
      <w:pPr>
        <w:autoSpaceDE w:val="0"/>
        <w:autoSpaceDN w:val="0"/>
        <w:adjustRightInd w:val="0"/>
        <w:spacing w:line="360" w:lineRule="auto"/>
        <w:rPr>
          <w:rFonts w:ascii="Times New Roman" w:hAnsi="Times New Roman" w:eastAsia="宋体" w:cs="Times New Roman"/>
          <w:b/>
          <w:bCs/>
          <w:kern w:val="0"/>
          <w:sz w:val="28"/>
          <w:szCs w:val="28"/>
        </w:rPr>
      </w:pPr>
      <w:r>
        <w:rPr>
          <w:rFonts w:hint="eastAsia" w:ascii="宋体" w:hAnsi="Times New Roman" w:eastAsia="宋体" w:cs="宋体"/>
          <w:b/>
          <w:bCs/>
          <w:kern w:val="0"/>
          <w:sz w:val="28"/>
          <w:szCs w:val="28"/>
          <w:lang w:val="zh-CN"/>
        </w:rPr>
        <w:t>三、教学内容及要求</w:t>
      </w:r>
    </w:p>
    <w:tbl>
      <w:tblPr>
        <w:tblStyle w:val="10"/>
        <w:tblW w:w="9683" w:type="dxa"/>
        <w:jc w:val="center"/>
        <w:tblLayout w:type="fixed"/>
        <w:tblCellMar>
          <w:top w:w="0" w:type="dxa"/>
          <w:left w:w="108" w:type="dxa"/>
          <w:bottom w:w="0" w:type="dxa"/>
          <w:right w:w="108" w:type="dxa"/>
        </w:tblCellMar>
      </w:tblPr>
      <w:tblGrid>
        <w:gridCol w:w="466"/>
        <w:gridCol w:w="3496"/>
        <w:gridCol w:w="1240"/>
        <w:gridCol w:w="1980"/>
        <w:gridCol w:w="720"/>
        <w:gridCol w:w="782"/>
        <w:gridCol w:w="999"/>
      </w:tblGrid>
      <w:tr>
        <w:tblPrEx>
          <w:tblCellMar>
            <w:top w:w="0" w:type="dxa"/>
            <w:left w:w="108" w:type="dxa"/>
            <w:bottom w:w="0" w:type="dxa"/>
            <w:right w:w="108" w:type="dxa"/>
          </w:tblCellMar>
        </w:tblPrEx>
        <w:trPr>
          <w:trHeight w:val="454" w:hRule="atLeast"/>
          <w:jc w:val="center"/>
        </w:trPr>
        <w:tc>
          <w:tcPr>
            <w:tcW w:w="466"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hAnsi="Times New Roman" w:eastAsia="宋体" w:cs="宋体"/>
                <w:kern w:val="0"/>
                <w:sz w:val="22"/>
                <w:szCs w:val="22"/>
                <w:lang w:val="zh-CN"/>
              </w:rPr>
            </w:pPr>
            <w:r>
              <w:rPr>
                <w:rFonts w:hint="eastAsia" w:ascii="宋体" w:hAnsi="Times New Roman" w:eastAsia="宋体" w:cs="宋体"/>
                <w:b/>
                <w:bCs/>
                <w:kern w:val="0"/>
                <w:szCs w:val="21"/>
                <w:lang w:val="zh-CN"/>
              </w:rPr>
              <w:t>序号</w:t>
            </w:r>
          </w:p>
        </w:tc>
        <w:tc>
          <w:tcPr>
            <w:tcW w:w="3496"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hAnsi="Times New Roman" w:eastAsia="宋体" w:cs="宋体"/>
                <w:kern w:val="0"/>
                <w:sz w:val="22"/>
                <w:szCs w:val="22"/>
                <w:lang w:val="zh-CN"/>
              </w:rPr>
            </w:pPr>
            <w:r>
              <w:rPr>
                <w:rFonts w:hint="eastAsia" w:ascii="宋体" w:hAnsi="Times New Roman" w:eastAsia="宋体" w:cs="宋体"/>
                <w:b/>
                <w:bCs/>
                <w:kern w:val="0"/>
                <w:szCs w:val="21"/>
                <w:lang w:val="zh-CN"/>
              </w:rPr>
              <w:t>教学内容</w:t>
            </w:r>
          </w:p>
        </w:tc>
        <w:tc>
          <w:tcPr>
            <w:tcW w:w="1240"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hAnsi="Times New Roman" w:eastAsia="宋体" w:cs="宋体"/>
                <w:kern w:val="0"/>
                <w:sz w:val="22"/>
                <w:szCs w:val="22"/>
                <w:lang w:val="zh-CN"/>
              </w:rPr>
            </w:pPr>
            <w:r>
              <w:rPr>
                <w:rFonts w:hint="eastAsia" w:ascii="宋体" w:hAnsi="Times New Roman" w:eastAsia="宋体" w:cs="宋体"/>
                <w:b/>
                <w:bCs/>
                <w:kern w:val="0"/>
                <w:szCs w:val="21"/>
                <w:lang w:val="zh-CN"/>
              </w:rPr>
              <w:t>思政元素</w:t>
            </w:r>
          </w:p>
        </w:tc>
        <w:tc>
          <w:tcPr>
            <w:tcW w:w="1980"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hAnsi="Times New Roman" w:eastAsia="宋体" w:cs="宋体"/>
                <w:kern w:val="0"/>
                <w:sz w:val="22"/>
                <w:szCs w:val="22"/>
                <w:lang w:val="zh-CN"/>
              </w:rPr>
            </w:pPr>
            <w:r>
              <w:rPr>
                <w:rFonts w:hint="eastAsia" w:ascii="宋体" w:hAnsi="Times New Roman" w:eastAsia="宋体" w:cs="宋体"/>
                <w:b/>
                <w:bCs/>
                <w:kern w:val="0"/>
                <w:szCs w:val="21"/>
                <w:lang w:val="zh-CN"/>
              </w:rPr>
              <w:t>预期学习成果</w:t>
            </w:r>
          </w:p>
        </w:tc>
        <w:tc>
          <w:tcPr>
            <w:tcW w:w="720"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hAnsi="Times New Roman" w:eastAsia="宋体" w:cs="宋体"/>
                <w:kern w:val="0"/>
                <w:sz w:val="22"/>
                <w:szCs w:val="22"/>
                <w:lang w:val="zh-CN"/>
              </w:rPr>
            </w:pPr>
            <w:r>
              <w:rPr>
                <w:rFonts w:hint="eastAsia" w:ascii="宋体" w:hAnsi="Times New Roman" w:eastAsia="宋体" w:cs="宋体"/>
                <w:b/>
                <w:bCs/>
                <w:kern w:val="0"/>
                <w:szCs w:val="21"/>
                <w:lang w:val="zh-CN"/>
              </w:rPr>
              <w:t>教学学时</w:t>
            </w:r>
          </w:p>
        </w:tc>
        <w:tc>
          <w:tcPr>
            <w:tcW w:w="782"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hAnsi="Times New Roman" w:eastAsia="宋体" w:cs="宋体"/>
                <w:kern w:val="0"/>
                <w:sz w:val="22"/>
                <w:szCs w:val="22"/>
                <w:lang w:val="zh-CN"/>
              </w:rPr>
            </w:pPr>
            <w:r>
              <w:rPr>
                <w:rFonts w:hint="eastAsia" w:ascii="宋体" w:hAnsi="Times New Roman" w:eastAsia="宋体" w:cs="宋体"/>
                <w:b/>
                <w:bCs/>
                <w:kern w:val="0"/>
                <w:szCs w:val="21"/>
                <w:lang w:val="zh-CN"/>
              </w:rPr>
              <w:t>教学方式</w:t>
            </w:r>
          </w:p>
        </w:tc>
        <w:tc>
          <w:tcPr>
            <w:tcW w:w="999"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hAnsi="Times New Roman" w:eastAsia="宋体" w:cs="宋体"/>
                <w:kern w:val="0"/>
                <w:sz w:val="22"/>
                <w:szCs w:val="22"/>
                <w:lang w:val="zh-CN"/>
              </w:rPr>
            </w:pPr>
            <w:r>
              <w:rPr>
                <w:rFonts w:hint="eastAsia" w:ascii="宋体" w:hAnsi="Times New Roman" w:eastAsia="宋体" w:cs="宋体"/>
                <w:b/>
                <w:bCs/>
                <w:kern w:val="0"/>
                <w:szCs w:val="21"/>
                <w:lang w:val="zh-CN"/>
              </w:rPr>
              <w:t>支撑课程目标</w:t>
            </w:r>
          </w:p>
        </w:tc>
      </w:tr>
      <w:tr>
        <w:tblPrEx>
          <w:tblCellMar>
            <w:top w:w="0" w:type="dxa"/>
            <w:left w:w="108" w:type="dxa"/>
            <w:bottom w:w="0" w:type="dxa"/>
            <w:right w:w="108" w:type="dxa"/>
          </w:tblCellMar>
        </w:tblPrEx>
        <w:trPr>
          <w:trHeight w:val="1348" w:hRule="atLeast"/>
          <w:jc w:val="center"/>
        </w:trPr>
        <w:tc>
          <w:tcPr>
            <w:tcW w:w="466"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hAnsi="Times New Roman" w:eastAsia="宋体" w:cs="宋体"/>
                <w:kern w:val="0"/>
                <w:sz w:val="22"/>
                <w:szCs w:val="22"/>
                <w:lang w:val="zh-CN"/>
              </w:rPr>
            </w:pPr>
            <w:r>
              <w:rPr>
                <w:rFonts w:hint="eastAsia" w:cs="Times New Roman"/>
                <w:kern w:val="0"/>
                <w:szCs w:val="21"/>
                <w:lang w:val="en-US" w:eastAsia="zh-CN"/>
              </w:rPr>
              <w:t>1</w:t>
            </w:r>
          </w:p>
        </w:tc>
        <w:tc>
          <w:tcPr>
            <w:tcW w:w="3496"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Times New Roman" w:hAnsi="Times New Roman" w:eastAsia="宋体" w:cs="Times New Roman"/>
                <w:kern w:val="0"/>
                <w:szCs w:val="21"/>
              </w:rPr>
            </w:pPr>
            <w:r>
              <w:rPr>
                <w:rFonts w:hint="eastAsia" w:ascii="宋体" w:hAnsi="Times New Roman" w:eastAsia="宋体" w:cs="宋体"/>
                <w:b/>
                <w:bCs/>
                <w:kern w:val="0"/>
                <w:szCs w:val="21"/>
                <w:lang w:val="zh-CN"/>
              </w:rPr>
              <w:t>化学化工专业导论</w:t>
            </w:r>
            <w:r>
              <w:rPr>
                <w:rFonts w:hint="eastAsia" w:ascii="宋体" w:cs="宋体"/>
                <w:b/>
                <w:bCs/>
                <w:kern w:val="0"/>
                <w:szCs w:val="21"/>
                <w:lang w:val="zh-CN"/>
              </w:rPr>
              <w:t>及前沿</w:t>
            </w:r>
            <w:r>
              <w:rPr>
                <w:rFonts w:hint="eastAsia" w:ascii="宋体" w:hAnsi="Times New Roman" w:eastAsia="宋体" w:cs="宋体"/>
                <w:b/>
                <w:bCs/>
                <w:kern w:val="0"/>
                <w:szCs w:val="21"/>
                <w:lang w:val="zh-CN"/>
              </w:rPr>
              <w:t>：</w:t>
            </w:r>
            <w:r>
              <w:rPr>
                <w:rFonts w:hint="eastAsia" w:ascii="宋体" w:hAnsi="Times New Roman" w:eastAsia="宋体" w:cs="宋体"/>
                <w:kern w:val="0"/>
                <w:szCs w:val="21"/>
                <w:lang w:val="zh-CN"/>
              </w:rPr>
              <w:t>化学化工专业思想教育；解读化学化工专业培养方案</w:t>
            </w:r>
          </w:p>
          <w:p>
            <w:pPr>
              <w:autoSpaceDE w:val="0"/>
              <w:autoSpaceDN w:val="0"/>
              <w:adjustRightInd w:val="0"/>
              <w:rPr>
                <w:rFonts w:ascii="宋体" w:hAnsi="Times New Roman" w:eastAsia="宋体" w:cs="宋体"/>
                <w:kern w:val="0"/>
                <w:sz w:val="22"/>
                <w:szCs w:val="22"/>
                <w:lang w:val="zh-CN"/>
              </w:rPr>
            </w:pPr>
            <w:r>
              <w:rPr>
                <w:rFonts w:hint="eastAsia" w:ascii="宋体" w:hAnsi="Times New Roman" w:eastAsia="宋体" w:cs="宋体"/>
                <w:b/>
                <w:bCs/>
                <w:kern w:val="0"/>
                <w:szCs w:val="21"/>
                <w:lang w:val="zh-CN"/>
              </w:rPr>
              <w:t>重点和难点：</w:t>
            </w:r>
            <w:r>
              <w:rPr>
                <w:rFonts w:hint="eastAsia" w:ascii="宋体" w:cs="宋体"/>
                <w:b w:val="0"/>
                <w:bCs w:val="0"/>
                <w:kern w:val="0"/>
                <w:szCs w:val="21"/>
                <w:lang w:val="zh-CN"/>
              </w:rPr>
              <w:t>探索和实践能力的培养</w:t>
            </w:r>
          </w:p>
        </w:tc>
        <w:tc>
          <w:tcPr>
            <w:tcW w:w="1240"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hAnsi="Times New Roman" w:eastAsia="宋体" w:cs="宋体"/>
                <w:kern w:val="0"/>
                <w:sz w:val="22"/>
                <w:szCs w:val="22"/>
                <w:lang w:val="zh-CN"/>
              </w:rPr>
            </w:pPr>
            <w:r>
              <w:rPr>
                <w:rFonts w:hint="eastAsia" w:ascii="宋体" w:hAnsi="Times New Roman" w:eastAsia="宋体" w:cs="宋体"/>
                <w:kern w:val="0"/>
                <w:szCs w:val="21"/>
                <w:lang w:val="zh-CN"/>
              </w:rPr>
              <w:t>环境保护理念</w:t>
            </w:r>
          </w:p>
        </w:tc>
        <w:tc>
          <w:tcPr>
            <w:tcW w:w="1980"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hAnsi="Times New Roman" w:eastAsia="宋体" w:cs="宋体"/>
                <w:kern w:val="0"/>
                <w:sz w:val="22"/>
                <w:szCs w:val="22"/>
                <w:lang w:val="zh-CN"/>
              </w:rPr>
            </w:pPr>
            <w:r>
              <w:rPr>
                <w:rFonts w:hint="eastAsia" w:ascii="宋体" w:hAnsi="Times New Roman" w:eastAsia="宋体" w:cs="宋体"/>
                <w:kern w:val="0"/>
                <w:szCs w:val="21"/>
                <w:lang w:val="zh-CN"/>
              </w:rPr>
              <w:t>了解化学化工专业培养方案；理解化学化工专业思想教育内涵</w:t>
            </w:r>
            <w:r>
              <w:rPr>
                <w:rFonts w:hint="eastAsia" w:ascii="宋体" w:cs="宋体"/>
                <w:kern w:val="0"/>
                <w:szCs w:val="21"/>
                <w:lang w:val="zh-CN"/>
              </w:rPr>
              <w:t>。</w:t>
            </w:r>
          </w:p>
        </w:tc>
        <w:tc>
          <w:tcPr>
            <w:tcW w:w="720"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hAnsi="Times New Roman" w:eastAsia="宋体" w:cs="宋体"/>
                <w:kern w:val="0"/>
                <w:sz w:val="22"/>
                <w:szCs w:val="22"/>
                <w:lang w:val="zh-CN"/>
              </w:rPr>
            </w:pPr>
            <w:r>
              <w:rPr>
                <w:rFonts w:ascii="Times New Roman" w:hAnsi="Times New Roman" w:eastAsia="宋体" w:cs="Times New Roman"/>
                <w:kern w:val="0"/>
                <w:szCs w:val="21"/>
              </w:rPr>
              <w:t>4</w:t>
            </w:r>
          </w:p>
        </w:tc>
        <w:tc>
          <w:tcPr>
            <w:tcW w:w="782"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hAnsi="Times New Roman" w:eastAsia="宋体" w:cs="宋体"/>
                <w:kern w:val="0"/>
                <w:sz w:val="22"/>
                <w:szCs w:val="22"/>
                <w:lang w:val="zh-CN"/>
              </w:rPr>
            </w:pPr>
            <w:r>
              <w:rPr>
                <w:rFonts w:hint="eastAsia" w:ascii="宋体" w:hAnsi="Times New Roman" w:eastAsia="宋体" w:cs="宋体"/>
                <w:kern w:val="0"/>
                <w:szCs w:val="21"/>
                <w:lang w:val="zh-CN"/>
              </w:rPr>
              <w:t>讲授</w:t>
            </w:r>
            <w:r>
              <w:rPr>
                <w:rFonts w:ascii="Times New Roman" w:hAnsi="Times New Roman" w:eastAsia="宋体" w:cs="Times New Roman"/>
                <w:kern w:val="0"/>
                <w:szCs w:val="21"/>
              </w:rPr>
              <w:t>/</w:t>
            </w:r>
            <w:r>
              <w:rPr>
                <w:rFonts w:hint="eastAsia" w:ascii="宋体" w:hAnsi="Times New Roman" w:eastAsia="宋体" w:cs="宋体"/>
                <w:kern w:val="0"/>
                <w:szCs w:val="21"/>
                <w:lang w:val="zh-CN"/>
              </w:rPr>
              <w:t>案例</w:t>
            </w:r>
            <w:r>
              <w:rPr>
                <w:rFonts w:ascii="Times New Roman" w:hAnsi="Times New Roman" w:eastAsia="宋体" w:cs="Times New Roman"/>
                <w:kern w:val="0"/>
                <w:szCs w:val="21"/>
              </w:rPr>
              <w:t>/</w:t>
            </w:r>
            <w:r>
              <w:rPr>
                <w:rFonts w:hint="eastAsia" w:ascii="宋体" w:hAnsi="Times New Roman" w:eastAsia="宋体" w:cs="宋体"/>
                <w:kern w:val="0"/>
                <w:szCs w:val="21"/>
                <w:lang w:val="zh-CN"/>
              </w:rPr>
              <w:t>讨论</w:t>
            </w:r>
            <w:r>
              <w:rPr>
                <w:rFonts w:ascii="Times New Roman" w:hAnsi="Times New Roman" w:eastAsia="宋体" w:cs="Times New Roman"/>
                <w:kern w:val="0"/>
                <w:szCs w:val="21"/>
              </w:rPr>
              <w:t>/</w:t>
            </w:r>
            <w:r>
              <w:rPr>
                <w:rFonts w:hint="eastAsia" w:ascii="宋体" w:hAnsi="Times New Roman" w:eastAsia="宋体" w:cs="宋体"/>
                <w:kern w:val="0"/>
                <w:szCs w:val="21"/>
                <w:lang w:val="zh-CN"/>
              </w:rPr>
              <w:t>等</w:t>
            </w:r>
          </w:p>
        </w:tc>
        <w:tc>
          <w:tcPr>
            <w:tcW w:w="999"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Times New Roman" w:hAnsi="Times New Roman" w:eastAsia="宋体" w:cs="Times New Roman"/>
                <w:b/>
                <w:bCs/>
                <w:kern w:val="0"/>
                <w:szCs w:val="21"/>
              </w:rPr>
            </w:pPr>
            <w:r>
              <w:rPr>
                <w:rFonts w:hint="eastAsia" w:ascii="宋体" w:hAnsi="Times New Roman" w:eastAsia="宋体" w:cs="宋体"/>
                <w:b/>
                <w:bCs/>
                <w:kern w:val="0"/>
                <w:szCs w:val="21"/>
                <w:lang w:val="zh-CN"/>
              </w:rPr>
              <w:t>目标</w:t>
            </w:r>
            <w:r>
              <w:rPr>
                <w:rFonts w:ascii="Times New Roman" w:hAnsi="Times New Roman" w:eastAsia="宋体" w:cs="Times New Roman"/>
                <w:b/>
                <w:bCs/>
                <w:kern w:val="0"/>
                <w:szCs w:val="21"/>
              </w:rPr>
              <w:t>1</w:t>
            </w:r>
          </w:p>
          <w:p>
            <w:pPr>
              <w:autoSpaceDE w:val="0"/>
              <w:autoSpaceDN w:val="0"/>
              <w:adjustRightInd w:val="0"/>
              <w:jc w:val="center"/>
              <w:rPr>
                <w:rFonts w:ascii="宋体" w:hAnsi="Times New Roman" w:eastAsia="宋体" w:cs="宋体"/>
                <w:kern w:val="0"/>
                <w:sz w:val="22"/>
                <w:szCs w:val="22"/>
                <w:lang w:val="zh-CN"/>
              </w:rPr>
            </w:pPr>
            <w:r>
              <w:rPr>
                <w:rFonts w:hint="eastAsia" w:ascii="宋体" w:hAnsi="Times New Roman" w:eastAsia="宋体" w:cs="宋体"/>
                <w:b/>
                <w:bCs/>
                <w:kern w:val="0"/>
                <w:szCs w:val="21"/>
                <w:lang w:val="zh-CN"/>
              </w:rPr>
              <w:t>目标</w:t>
            </w:r>
            <w:r>
              <w:rPr>
                <w:rFonts w:ascii="Times New Roman" w:hAnsi="Times New Roman" w:eastAsia="宋体" w:cs="Times New Roman"/>
                <w:b/>
                <w:bCs/>
                <w:kern w:val="0"/>
                <w:szCs w:val="21"/>
              </w:rPr>
              <w:t>2</w:t>
            </w:r>
          </w:p>
        </w:tc>
      </w:tr>
      <w:tr>
        <w:tblPrEx>
          <w:tblCellMar>
            <w:top w:w="0" w:type="dxa"/>
            <w:left w:w="108" w:type="dxa"/>
            <w:bottom w:w="0" w:type="dxa"/>
            <w:right w:w="108" w:type="dxa"/>
          </w:tblCellMar>
        </w:tblPrEx>
        <w:trPr>
          <w:trHeight w:val="454" w:hRule="atLeast"/>
          <w:jc w:val="center"/>
        </w:trPr>
        <w:tc>
          <w:tcPr>
            <w:tcW w:w="466"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hint="eastAsia" w:ascii="宋体" w:hAnsi="Times New Roman" w:eastAsia="宋体" w:cs="宋体"/>
                <w:kern w:val="0"/>
                <w:sz w:val="22"/>
                <w:szCs w:val="22"/>
                <w:lang w:val="zh-CN" w:eastAsia="zh-CN"/>
              </w:rPr>
            </w:pPr>
            <w:r>
              <w:rPr>
                <w:rFonts w:hint="eastAsia" w:cs="Times New Roman"/>
                <w:kern w:val="0"/>
                <w:szCs w:val="21"/>
                <w:lang w:val="en-US" w:eastAsia="zh-CN"/>
              </w:rPr>
              <w:t>2</w:t>
            </w:r>
          </w:p>
        </w:tc>
        <w:tc>
          <w:tcPr>
            <w:tcW w:w="3496"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Times New Roman" w:hAnsi="Times New Roman" w:eastAsia="宋体" w:cs="Times New Roman"/>
                <w:kern w:val="0"/>
                <w:szCs w:val="21"/>
              </w:rPr>
            </w:pPr>
            <w:r>
              <w:rPr>
                <w:rFonts w:hint="eastAsia" w:ascii="宋体" w:hAnsi="Times New Roman" w:eastAsia="宋体" w:cs="宋体"/>
                <w:b/>
                <w:bCs/>
                <w:kern w:val="0"/>
                <w:szCs w:val="21"/>
                <w:lang w:val="zh-CN"/>
              </w:rPr>
              <w:t>化学化工安全基础知识：</w:t>
            </w:r>
            <w:r>
              <w:rPr>
                <w:rFonts w:hint="eastAsia" w:ascii="宋体" w:hAnsi="Times New Roman" w:eastAsia="宋体" w:cs="宋体"/>
                <w:kern w:val="0"/>
                <w:szCs w:val="21"/>
                <w:lang w:val="zh-CN"/>
              </w:rPr>
              <w:t>法律法规及规章制度；化学化工安全基础知识</w:t>
            </w:r>
          </w:p>
          <w:p>
            <w:pPr>
              <w:autoSpaceDE w:val="0"/>
              <w:autoSpaceDN w:val="0"/>
              <w:adjustRightInd w:val="0"/>
              <w:rPr>
                <w:rFonts w:ascii="宋体" w:hAnsi="Times New Roman" w:eastAsia="宋体" w:cs="宋体"/>
                <w:kern w:val="0"/>
                <w:sz w:val="22"/>
                <w:szCs w:val="22"/>
                <w:lang w:val="zh-CN"/>
              </w:rPr>
            </w:pPr>
            <w:r>
              <w:rPr>
                <w:rFonts w:hint="eastAsia" w:ascii="宋体" w:hAnsi="Times New Roman" w:eastAsia="宋体" w:cs="宋体"/>
                <w:b/>
                <w:bCs/>
                <w:kern w:val="0"/>
                <w:szCs w:val="21"/>
                <w:lang w:val="zh-CN"/>
              </w:rPr>
              <w:t>重点和难点：</w:t>
            </w:r>
            <w:r>
              <w:rPr>
                <w:rFonts w:hint="eastAsia" w:ascii="宋体" w:hAnsi="Times New Roman" w:eastAsia="宋体" w:cs="宋体"/>
                <w:kern w:val="0"/>
                <w:szCs w:val="21"/>
                <w:lang w:val="zh-CN"/>
              </w:rPr>
              <w:t>法律法规及规章制度；化学化工安全基础知识</w:t>
            </w:r>
          </w:p>
        </w:tc>
        <w:tc>
          <w:tcPr>
            <w:tcW w:w="1240"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hAnsi="Times New Roman" w:eastAsia="宋体" w:cs="宋体"/>
                <w:kern w:val="0"/>
                <w:sz w:val="22"/>
                <w:szCs w:val="22"/>
                <w:lang w:val="zh-CN"/>
              </w:rPr>
            </w:pPr>
            <w:r>
              <w:rPr>
                <w:rFonts w:hint="eastAsia" w:ascii="宋体" w:hAnsi="Times New Roman" w:eastAsia="宋体" w:cs="宋体"/>
                <w:kern w:val="0"/>
                <w:szCs w:val="21"/>
                <w:lang w:val="zh-CN"/>
              </w:rPr>
              <w:t>环境保护、安全理念</w:t>
            </w:r>
          </w:p>
        </w:tc>
        <w:tc>
          <w:tcPr>
            <w:tcW w:w="1980"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Times New Roman" w:hAnsi="Times New Roman" w:eastAsia="宋体" w:cs="Times New Roman"/>
                <w:kern w:val="0"/>
                <w:szCs w:val="21"/>
              </w:rPr>
            </w:pPr>
            <w:r>
              <w:rPr>
                <w:rFonts w:hint="eastAsia" w:ascii="宋体" w:hAnsi="Times New Roman" w:eastAsia="宋体" w:cs="宋体"/>
                <w:kern w:val="0"/>
                <w:szCs w:val="21"/>
                <w:lang w:val="zh-CN"/>
              </w:rPr>
              <w:t>了解法律法规及规章制度；掌握化学化工安全基础知识。</w:t>
            </w:r>
          </w:p>
          <w:p>
            <w:pPr>
              <w:autoSpaceDE w:val="0"/>
              <w:autoSpaceDN w:val="0"/>
              <w:adjustRightInd w:val="0"/>
              <w:rPr>
                <w:rFonts w:ascii="宋体" w:hAnsi="Times New Roman" w:eastAsia="宋体" w:cs="宋体"/>
                <w:kern w:val="0"/>
                <w:sz w:val="22"/>
                <w:szCs w:val="22"/>
                <w:lang w:val="zh-CN"/>
              </w:rPr>
            </w:pPr>
          </w:p>
        </w:tc>
        <w:tc>
          <w:tcPr>
            <w:tcW w:w="720"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hAnsi="Times New Roman" w:eastAsia="宋体" w:cs="宋体"/>
                <w:kern w:val="0"/>
                <w:sz w:val="22"/>
                <w:szCs w:val="22"/>
                <w:lang w:val="zh-CN"/>
              </w:rPr>
            </w:pPr>
            <w:r>
              <w:rPr>
                <w:rFonts w:ascii="Times New Roman" w:hAnsi="Times New Roman" w:eastAsia="宋体" w:cs="Times New Roman"/>
                <w:kern w:val="0"/>
                <w:szCs w:val="21"/>
              </w:rPr>
              <w:t>4</w:t>
            </w:r>
          </w:p>
        </w:tc>
        <w:tc>
          <w:tcPr>
            <w:tcW w:w="782"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hAnsi="Times New Roman" w:eastAsia="宋体" w:cs="宋体"/>
                <w:kern w:val="0"/>
                <w:sz w:val="22"/>
                <w:szCs w:val="22"/>
                <w:lang w:val="zh-CN"/>
              </w:rPr>
            </w:pPr>
            <w:r>
              <w:rPr>
                <w:rFonts w:hint="eastAsia" w:ascii="宋体" w:hAnsi="Times New Roman" w:eastAsia="宋体" w:cs="宋体"/>
                <w:kern w:val="0"/>
                <w:szCs w:val="21"/>
                <w:lang w:val="zh-CN"/>
              </w:rPr>
              <w:t>讲授</w:t>
            </w:r>
            <w:r>
              <w:rPr>
                <w:rFonts w:ascii="Times New Roman" w:hAnsi="Times New Roman" w:eastAsia="宋体" w:cs="Times New Roman"/>
                <w:kern w:val="0"/>
                <w:szCs w:val="21"/>
              </w:rPr>
              <w:t>/</w:t>
            </w:r>
            <w:r>
              <w:rPr>
                <w:rFonts w:hint="eastAsia" w:ascii="宋体" w:hAnsi="Times New Roman" w:eastAsia="宋体" w:cs="宋体"/>
                <w:kern w:val="0"/>
                <w:szCs w:val="21"/>
                <w:lang w:val="zh-CN"/>
              </w:rPr>
              <w:t>实（案）例</w:t>
            </w:r>
            <w:r>
              <w:rPr>
                <w:rFonts w:ascii="Times New Roman" w:hAnsi="Times New Roman" w:eastAsia="宋体" w:cs="Times New Roman"/>
                <w:kern w:val="0"/>
                <w:szCs w:val="21"/>
              </w:rPr>
              <w:t>/</w:t>
            </w:r>
            <w:r>
              <w:rPr>
                <w:rFonts w:hint="eastAsia" w:ascii="宋体" w:hAnsi="Times New Roman" w:eastAsia="宋体" w:cs="宋体"/>
                <w:kern w:val="0"/>
                <w:szCs w:val="21"/>
                <w:lang w:val="zh-CN"/>
              </w:rPr>
              <w:t>讨论</w:t>
            </w:r>
            <w:r>
              <w:rPr>
                <w:rFonts w:ascii="Times New Roman" w:hAnsi="Times New Roman" w:eastAsia="宋体" w:cs="Times New Roman"/>
                <w:kern w:val="0"/>
                <w:szCs w:val="21"/>
              </w:rPr>
              <w:t>/</w:t>
            </w:r>
            <w:r>
              <w:rPr>
                <w:rFonts w:hint="eastAsia" w:ascii="宋体" w:hAnsi="Times New Roman" w:eastAsia="宋体" w:cs="宋体"/>
                <w:kern w:val="0"/>
                <w:szCs w:val="21"/>
                <w:lang w:val="zh-CN"/>
              </w:rPr>
              <w:t>等</w:t>
            </w:r>
          </w:p>
        </w:tc>
        <w:tc>
          <w:tcPr>
            <w:tcW w:w="999"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Times New Roman" w:hAnsi="Times New Roman" w:eastAsia="宋体" w:cs="Times New Roman"/>
                <w:b/>
                <w:bCs/>
                <w:kern w:val="0"/>
                <w:szCs w:val="21"/>
              </w:rPr>
            </w:pPr>
            <w:r>
              <w:rPr>
                <w:rFonts w:hint="eastAsia" w:ascii="宋体" w:hAnsi="Times New Roman" w:eastAsia="宋体" w:cs="宋体"/>
                <w:b/>
                <w:bCs/>
                <w:kern w:val="0"/>
                <w:szCs w:val="21"/>
                <w:lang w:val="zh-CN"/>
              </w:rPr>
              <w:t>目标</w:t>
            </w:r>
            <w:r>
              <w:rPr>
                <w:rFonts w:ascii="Times New Roman" w:hAnsi="Times New Roman" w:eastAsia="宋体" w:cs="Times New Roman"/>
                <w:b/>
                <w:bCs/>
                <w:kern w:val="0"/>
                <w:szCs w:val="21"/>
              </w:rPr>
              <w:t>1</w:t>
            </w:r>
          </w:p>
          <w:p>
            <w:pPr>
              <w:autoSpaceDE w:val="0"/>
              <w:autoSpaceDN w:val="0"/>
              <w:adjustRightInd w:val="0"/>
              <w:jc w:val="center"/>
              <w:rPr>
                <w:rFonts w:ascii="宋体" w:hAnsi="Times New Roman" w:eastAsia="宋体" w:cs="宋体"/>
                <w:kern w:val="0"/>
                <w:sz w:val="22"/>
                <w:szCs w:val="22"/>
                <w:lang w:val="zh-CN"/>
              </w:rPr>
            </w:pPr>
            <w:r>
              <w:rPr>
                <w:rFonts w:hint="eastAsia" w:ascii="宋体" w:hAnsi="Times New Roman" w:eastAsia="宋体" w:cs="宋体"/>
                <w:b/>
                <w:bCs/>
                <w:kern w:val="0"/>
                <w:szCs w:val="21"/>
                <w:lang w:val="zh-CN"/>
              </w:rPr>
              <w:t>目标</w:t>
            </w:r>
            <w:r>
              <w:rPr>
                <w:rFonts w:ascii="Times New Roman" w:hAnsi="Times New Roman" w:eastAsia="宋体" w:cs="Times New Roman"/>
                <w:b/>
                <w:bCs/>
                <w:kern w:val="0"/>
                <w:szCs w:val="21"/>
              </w:rPr>
              <w:t>2</w:t>
            </w:r>
          </w:p>
        </w:tc>
      </w:tr>
    </w:tbl>
    <w:p>
      <w:pPr>
        <w:autoSpaceDE w:val="0"/>
        <w:autoSpaceDN w:val="0"/>
        <w:adjustRightInd w:val="0"/>
        <w:spacing w:line="360" w:lineRule="auto"/>
        <w:ind w:firstLine="562"/>
        <w:rPr>
          <w:rFonts w:ascii="Times New Roman" w:hAnsi="Times New Roman" w:eastAsia="宋体" w:cs="Times New Roman"/>
          <w:b/>
          <w:bCs/>
          <w:kern w:val="0"/>
          <w:sz w:val="28"/>
          <w:szCs w:val="28"/>
        </w:rPr>
      </w:pPr>
      <w:r>
        <w:rPr>
          <w:rFonts w:hint="eastAsia" w:ascii="宋体" w:hAnsi="Times New Roman" w:eastAsia="宋体" w:cs="宋体"/>
          <w:b/>
          <w:bCs/>
          <w:kern w:val="0"/>
          <w:sz w:val="28"/>
          <w:szCs w:val="28"/>
          <w:lang w:val="zh-CN"/>
        </w:rPr>
        <w:t>四、课程实施</w:t>
      </w:r>
    </w:p>
    <w:p>
      <w:pPr>
        <w:autoSpaceDE w:val="0"/>
        <w:autoSpaceDN w:val="0"/>
        <w:adjustRightInd w:val="0"/>
        <w:spacing w:line="360" w:lineRule="auto"/>
        <w:ind w:firstLine="482"/>
        <w:rPr>
          <w:rFonts w:ascii="Times New Roman" w:hAnsi="Times New Roman" w:eastAsia="宋体" w:cs="Times New Roman"/>
          <w:b/>
          <w:bCs/>
          <w:kern w:val="0"/>
          <w:sz w:val="24"/>
        </w:rPr>
      </w:pPr>
      <w:r>
        <w:rPr>
          <w:rFonts w:hint="eastAsia" w:ascii="宋体" w:hAnsi="Times New Roman" w:eastAsia="宋体" w:cs="宋体"/>
          <w:b/>
          <w:bCs/>
          <w:kern w:val="0"/>
          <w:sz w:val="24"/>
          <w:lang w:val="zh-CN"/>
        </w:rPr>
        <w:t>（一）教学方法与教学手段</w:t>
      </w:r>
    </w:p>
    <w:p>
      <w:pPr>
        <w:autoSpaceDE w:val="0"/>
        <w:autoSpaceDN w:val="0"/>
        <w:adjustRightInd w:val="0"/>
        <w:spacing w:line="360" w:lineRule="auto"/>
        <w:ind w:firstLine="480"/>
        <w:rPr>
          <w:rFonts w:ascii="Times New Roman" w:hAnsi="Times New Roman" w:eastAsia="宋体" w:cs="Times New Roman"/>
          <w:kern w:val="0"/>
          <w:sz w:val="24"/>
        </w:rPr>
      </w:pPr>
      <w:r>
        <w:rPr>
          <w:rFonts w:ascii="Times New Roman" w:hAnsi="Times New Roman" w:eastAsia="宋体" w:cs="Times New Roman"/>
          <w:kern w:val="0"/>
          <w:sz w:val="24"/>
        </w:rPr>
        <w:t>1.</w:t>
      </w:r>
      <w:r>
        <w:rPr>
          <w:rFonts w:hint="eastAsia" w:ascii="宋体" w:hAnsi="Times New Roman" w:eastAsia="宋体" w:cs="宋体"/>
          <w:kern w:val="0"/>
          <w:sz w:val="24"/>
          <w:lang w:val="zh-CN"/>
        </w:rPr>
        <w:t>把握主线，引导学生通过对化学的发展、作用及地位的学习，以及对专业培养方案的解读，巩固专业思想。积极培育人文社会科学知识和素养、社会责任感，明确个人在历史、社会及自然环境中的地位，并依托现代信息工具和资源自我充实，培养不断学习和适应发展的能力。</w:t>
      </w:r>
    </w:p>
    <w:p>
      <w:pPr>
        <w:autoSpaceDE w:val="0"/>
        <w:autoSpaceDN w:val="0"/>
        <w:adjustRightInd w:val="0"/>
        <w:spacing w:line="360" w:lineRule="auto"/>
        <w:ind w:firstLine="480"/>
        <w:rPr>
          <w:rFonts w:ascii="Times New Roman" w:hAnsi="Times New Roman" w:eastAsia="宋体" w:cs="Times New Roman"/>
          <w:kern w:val="0"/>
          <w:sz w:val="24"/>
        </w:rPr>
      </w:pPr>
      <w:r>
        <w:rPr>
          <w:rFonts w:ascii="Times New Roman" w:hAnsi="Times New Roman" w:eastAsia="宋体" w:cs="Times New Roman"/>
          <w:kern w:val="0"/>
          <w:sz w:val="24"/>
        </w:rPr>
        <w:t>2.</w:t>
      </w:r>
      <w:r>
        <w:rPr>
          <w:rFonts w:hint="eastAsia" w:ascii="宋体" w:hAnsi="Times New Roman" w:eastAsia="宋体" w:cs="宋体"/>
          <w:kern w:val="0"/>
          <w:sz w:val="24"/>
          <w:lang w:val="zh-CN"/>
        </w:rPr>
        <w:t>采用多媒体教学手段，配合典型事例，在保证讲课进度的同时，注意学生的掌握程度和课堂的气氛。</w:t>
      </w:r>
    </w:p>
    <w:p>
      <w:pPr>
        <w:autoSpaceDE w:val="0"/>
        <w:autoSpaceDN w:val="0"/>
        <w:adjustRightInd w:val="0"/>
        <w:spacing w:line="360" w:lineRule="auto"/>
        <w:ind w:firstLine="482" w:firstLineChars="200"/>
        <w:rPr>
          <w:rFonts w:ascii="Times New Roman" w:hAnsi="Times New Roman" w:eastAsia="宋体" w:cs="Times New Roman"/>
          <w:b/>
          <w:bCs/>
          <w:kern w:val="0"/>
          <w:sz w:val="24"/>
        </w:rPr>
      </w:pPr>
      <w:r>
        <w:rPr>
          <w:rFonts w:hint="eastAsia" w:ascii="宋体" w:hAnsi="Times New Roman" w:eastAsia="宋体" w:cs="宋体"/>
          <w:b/>
          <w:bCs/>
          <w:kern w:val="0"/>
          <w:sz w:val="24"/>
          <w:lang w:val="zh-CN"/>
        </w:rPr>
        <w:t>（二）课程实施与保障</w:t>
      </w:r>
    </w:p>
    <w:tbl>
      <w:tblPr>
        <w:tblStyle w:val="10"/>
        <w:tblW w:w="0" w:type="auto"/>
        <w:jc w:val="center"/>
        <w:tblLayout w:type="fixed"/>
        <w:tblCellMar>
          <w:top w:w="0" w:type="dxa"/>
          <w:left w:w="28" w:type="dxa"/>
          <w:bottom w:w="0" w:type="dxa"/>
          <w:right w:w="28" w:type="dxa"/>
        </w:tblCellMar>
      </w:tblPr>
      <w:tblGrid>
        <w:gridCol w:w="582"/>
        <w:gridCol w:w="978"/>
        <w:gridCol w:w="6960"/>
      </w:tblGrid>
      <w:tr>
        <w:tblPrEx>
          <w:tblCellMar>
            <w:top w:w="0" w:type="dxa"/>
            <w:left w:w="28" w:type="dxa"/>
            <w:bottom w:w="0" w:type="dxa"/>
            <w:right w:w="28" w:type="dxa"/>
          </w:tblCellMar>
        </w:tblPrEx>
        <w:trPr>
          <w:trHeight w:val="1" w:hRule="atLeast"/>
          <w:jc w:val="center"/>
        </w:trPr>
        <w:tc>
          <w:tcPr>
            <w:tcW w:w="1560" w:type="dxa"/>
            <w:gridSpan w:val="2"/>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spacing w:line="276" w:lineRule="auto"/>
              <w:jc w:val="center"/>
              <w:rPr>
                <w:rFonts w:ascii="宋体" w:hAnsi="Times New Roman" w:eastAsia="宋体" w:cs="宋体"/>
                <w:kern w:val="0"/>
                <w:sz w:val="22"/>
                <w:szCs w:val="22"/>
                <w:lang w:val="zh-CN"/>
              </w:rPr>
            </w:pPr>
            <w:r>
              <w:rPr>
                <w:rFonts w:hint="eastAsia" w:ascii="宋体" w:hAnsi="Times New Roman" w:eastAsia="宋体" w:cs="宋体"/>
                <w:kern w:val="0"/>
                <w:szCs w:val="21"/>
                <w:lang w:val="zh-CN"/>
              </w:rPr>
              <w:t>主要教学环节</w:t>
            </w:r>
          </w:p>
        </w:tc>
        <w:tc>
          <w:tcPr>
            <w:tcW w:w="6960"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spacing w:line="276" w:lineRule="auto"/>
              <w:jc w:val="center"/>
              <w:rPr>
                <w:rFonts w:ascii="宋体" w:hAnsi="Times New Roman" w:eastAsia="宋体" w:cs="宋体"/>
                <w:kern w:val="0"/>
                <w:sz w:val="22"/>
                <w:szCs w:val="22"/>
                <w:lang w:val="zh-CN"/>
              </w:rPr>
            </w:pPr>
            <w:r>
              <w:rPr>
                <w:rFonts w:hint="eastAsia" w:ascii="宋体" w:hAnsi="Times New Roman" w:eastAsia="宋体" w:cs="宋体"/>
                <w:kern w:val="0"/>
                <w:szCs w:val="21"/>
                <w:lang w:val="zh-CN"/>
              </w:rPr>
              <w:t>质量要求</w:t>
            </w:r>
          </w:p>
        </w:tc>
      </w:tr>
      <w:tr>
        <w:tblPrEx>
          <w:tblCellMar>
            <w:top w:w="0" w:type="dxa"/>
            <w:left w:w="28" w:type="dxa"/>
            <w:bottom w:w="0" w:type="dxa"/>
            <w:right w:w="28" w:type="dxa"/>
          </w:tblCellMar>
        </w:tblPrEx>
        <w:trPr>
          <w:trHeight w:val="558" w:hRule="atLeast"/>
          <w:jc w:val="center"/>
        </w:trPr>
        <w:tc>
          <w:tcPr>
            <w:tcW w:w="582"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spacing w:line="276" w:lineRule="auto"/>
              <w:jc w:val="center"/>
              <w:rPr>
                <w:rFonts w:ascii="宋体" w:hAnsi="Times New Roman" w:eastAsia="宋体" w:cs="宋体"/>
                <w:kern w:val="0"/>
                <w:sz w:val="22"/>
                <w:szCs w:val="22"/>
                <w:lang w:val="zh-CN"/>
              </w:rPr>
            </w:pPr>
            <w:r>
              <w:rPr>
                <w:rFonts w:ascii="Times New Roman" w:hAnsi="Times New Roman" w:eastAsia="宋体" w:cs="Times New Roman"/>
                <w:kern w:val="0"/>
                <w:szCs w:val="21"/>
              </w:rPr>
              <w:t>1</w:t>
            </w:r>
          </w:p>
        </w:tc>
        <w:tc>
          <w:tcPr>
            <w:tcW w:w="978"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spacing w:line="276" w:lineRule="auto"/>
              <w:jc w:val="center"/>
              <w:rPr>
                <w:rFonts w:ascii="宋体" w:hAnsi="Times New Roman" w:eastAsia="宋体" w:cs="宋体"/>
                <w:kern w:val="0"/>
                <w:sz w:val="22"/>
                <w:szCs w:val="22"/>
                <w:lang w:val="zh-CN"/>
              </w:rPr>
            </w:pPr>
            <w:r>
              <w:rPr>
                <w:rFonts w:hint="eastAsia" w:ascii="宋体" w:hAnsi="Times New Roman" w:eastAsia="宋体" w:cs="宋体"/>
                <w:kern w:val="0"/>
                <w:szCs w:val="21"/>
                <w:lang w:val="zh-CN"/>
              </w:rPr>
              <w:t>备课</w:t>
            </w:r>
          </w:p>
        </w:tc>
        <w:tc>
          <w:tcPr>
            <w:tcW w:w="6960"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spacing w:line="276" w:lineRule="auto"/>
              <w:rPr>
                <w:rFonts w:ascii="Times New Roman" w:hAnsi="Times New Roman" w:eastAsia="宋体" w:cs="Times New Roman"/>
                <w:kern w:val="0"/>
                <w:szCs w:val="21"/>
              </w:rPr>
            </w:pPr>
            <w:r>
              <w:rPr>
                <w:rFonts w:hint="eastAsia" w:ascii="宋体" w:hAnsi="Times New Roman" w:eastAsia="宋体" w:cs="宋体"/>
                <w:kern w:val="0"/>
                <w:szCs w:val="21"/>
                <w:lang w:val="zh-CN"/>
              </w:rPr>
              <w:t>（</w:t>
            </w:r>
            <w:r>
              <w:rPr>
                <w:rFonts w:ascii="Times New Roman" w:hAnsi="Times New Roman" w:eastAsia="宋体" w:cs="Times New Roman"/>
                <w:kern w:val="0"/>
                <w:szCs w:val="21"/>
              </w:rPr>
              <w:t>1</w:t>
            </w:r>
            <w:r>
              <w:rPr>
                <w:rFonts w:hint="eastAsia" w:ascii="宋体" w:hAnsi="Times New Roman" w:eastAsia="宋体" w:cs="宋体"/>
                <w:kern w:val="0"/>
                <w:szCs w:val="21"/>
                <w:lang w:val="zh-CN"/>
              </w:rPr>
              <w:t>）掌握本课程教学大纲内容，严格按照教学大纲要求进行课程教学内容的组织。</w:t>
            </w:r>
          </w:p>
          <w:p>
            <w:pPr>
              <w:autoSpaceDE w:val="0"/>
              <w:autoSpaceDN w:val="0"/>
              <w:adjustRightInd w:val="0"/>
              <w:spacing w:line="276" w:lineRule="auto"/>
              <w:rPr>
                <w:rFonts w:ascii="Times New Roman" w:hAnsi="Times New Roman" w:eastAsia="宋体" w:cs="Times New Roman"/>
                <w:kern w:val="0"/>
                <w:szCs w:val="21"/>
              </w:rPr>
            </w:pPr>
            <w:r>
              <w:rPr>
                <w:rFonts w:hint="eastAsia" w:ascii="宋体" w:hAnsi="Times New Roman" w:eastAsia="宋体" w:cs="宋体"/>
                <w:kern w:val="0"/>
                <w:szCs w:val="21"/>
                <w:lang w:val="zh-CN"/>
              </w:rPr>
              <w:t>（</w:t>
            </w:r>
            <w:r>
              <w:rPr>
                <w:rFonts w:ascii="Times New Roman" w:hAnsi="Times New Roman" w:eastAsia="宋体" w:cs="Times New Roman"/>
                <w:kern w:val="0"/>
                <w:szCs w:val="21"/>
              </w:rPr>
              <w:t>2</w:t>
            </w:r>
            <w:r>
              <w:rPr>
                <w:rFonts w:hint="eastAsia" w:ascii="宋体" w:hAnsi="Times New Roman" w:eastAsia="宋体" w:cs="宋体"/>
                <w:kern w:val="0"/>
                <w:szCs w:val="21"/>
                <w:lang w:val="zh-CN"/>
              </w:rPr>
              <w:t>）熟悉教材各章节，借助专业书籍资料，并依据教学大纲编写授课计划，编写每次授课的教案。教案内容包括章节标题、教学目的、教法设计、课堂类型、时间分配、授课内容、课后作业、教学效果分析等方面。</w:t>
            </w:r>
          </w:p>
          <w:p>
            <w:pPr>
              <w:autoSpaceDE w:val="0"/>
              <w:autoSpaceDN w:val="0"/>
              <w:adjustRightInd w:val="0"/>
              <w:spacing w:line="276" w:lineRule="auto"/>
              <w:rPr>
                <w:rFonts w:ascii="宋体" w:hAnsi="Times New Roman" w:eastAsia="宋体" w:cs="宋体"/>
                <w:kern w:val="0"/>
                <w:sz w:val="22"/>
                <w:szCs w:val="22"/>
                <w:lang w:val="zh-CN"/>
              </w:rPr>
            </w:pPr>
            <w:r>
              <w:rPr>
                <w:rFonts w:hint="eastAsia" w:ascii="宋体" w:hAnsi="Times New Roman" w:eastAsia="宋体" w:cs="宋体"/>
                <w:kern w:val="0"/>
                <w:szCs w:val="21"/>
                <w:lang w:val="zh-CN"/>
              </w:rPr>
              <w:t>（</w:t>
            </w:r>
            <w:r>
              <w:rPr>
                <w:rFonts w:ascii="Times New Roman" w:hAnsi="Times New Roman" w:eastAsia="宋体" w:cs="Times New Roman"/>
                <w:kern w:val="0"/>
                <w:szCs w:val="21"/>
              </w:rPr>
              <w:t>3</w:t>
            </w:r>
            <w:r>
              <w:rPr>
                <w:rFonts w:hint="eastAsia" w:ascii="宋体" w:hAnsi="Times New Roman" w:eastAsia="宋体" w:cs="宋体"/>
                <w:kern w:val="0"/>
                <w:szCs w:val="21"/>
                <w:lang w:val="zh-CN"/>
              </w:rPr>
              <w:t>）根据各部分教学内容，构思授课思路、技巧，选择合适的教学方法。</w:t>
            </w:r>
          </w:p>
        </w:tc>
      </w:tr>
      <w:tr>
        <w:tblPrEx>
          <w:tblCellMar>
            <w:top w:w="0" w:type="dxa"/>
            <w:left w:w="28" w:type="dxa"/>
            <w:bottom w:w="0" w:type="dxa"/>
            <w:right w:w="28" w:type="dxa"/>
          </w:tblCellMar>
        </w:tblPrEx>
        <w:trPr>
          <w:trHeight w:val="1" w:hRule="atLeast"/>
          <w:jc w:val="center"/>
        </w:trPr>
        <w:tc>
          <w:tcPr>
            <w:tcW w:w="582"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spacing w:line="276" w:lineRule="auto"/>
              <w:jc w:val="center"/>
              <w:rPr>
                <w:rFonts w:ascii="宋体" w:hAnsi="Times New Roman" w:eastAsia="宋体" w:cs="宋体"/>
                <w:kern w:val="0"/>
                <w:sz w:val="22"/>
                <w:szCs w:val="22"/>
                <w:lang w:val="zh-CN"/>
              </w:rPr>
            </w:pPr>
            <w:r>
              <w:rPr>
                <w:rFonts w:ascii="Times New Roman" w:hAnsi="Times New Roman" w:eastAsia="宋体" w:cs="Times New Roman"/>
                <w:kern w:val="0"/>
                <w:szCs w:val="21"/>
              </w:rPr>
              <w:t>2</w:t>
            </w:r>
          </w:p>
        </w:tc>
        <w:tc>
          <w:tcPr>
            <w:tcW w:w="978"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spacing w:line="276" w:lineRule="auto"/>
              <w:jc w:val="center"/>
              <w:rPr>
                <w:rFonts w:ascii="宋体" w:hAnsi="Times New Roman" w:eastAsia="宋体" w:cs="宋体"/>
                <w:kern w:val="0"/>
                <w:sz w:val="22"/>
                <w:szCs w:val="22"/>
                <w:lang w:val="zh-CN"/>
              </w:rPr>
            </w:pPr>
            <w:r>
              <w:rPr>
                <w:rFonts w:hint="eastAsia" w:ascii="宋体" w:hAnsi="Times New Roman" w:eastAsia="宋体" w:cs="宋体"/>
                <w:kern w:val="0"/>
                <w:szCs w:val="21"/>
                <w:lang w:val="zh-CN"/>
              </w:rPr>
              <w:t>讲授</w:t>
            </w:r>
          </w:p>
        </w:tc>
        <w:tc>
          <w:tcPr>
            <w:tcW w:w="6960"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spacing w:line="276" w:lineRule="auto"/>
              <w:rPr>
                <w:rFonts w:ascii="Times New Roman" w:hAnsi="Times New Roman" w:eastAsia="宋体" w:cs="Times New Roman"/>
                <w:kern w:val="0"/>
                <w:szCs w:val="21"/>
              </w:rPr>
            </w:pPr>
            <w:r>
              <w:rPr>
                <w:rFonts w:hint="eastAsia" w:ascii="宋体" w:hAnsi="Times New Roman" w:eastAsia="宋体" w:cs="宋体"/>
                <w:kern w:val="0"/>
                <w:szCs w:val="21"/>
                <w:lang w:val="zh-CN"/>
              </w:rPr>
              <w:t>（</w:t>
            </w:r>
            <w:r>
              <w:rPr>
                <w:rFonts w:ascii="Times New Roman" w:hAnsi="Times New Roman" w:eastAsia="宋体" w:cs="Times New Roman"/>
                <w:kern w:val="0"/>
                <w:szCs w:val="21"/>
              </w:rPr>
              <w:t>1</w:t>
            </w:r>
            <w:r>
              <w:rPr>
                <w:rFonts w:hint="eastAsia" w:ascii="宋体" w:hAnsi="Times New Roman" w:eastAsia="宋体" w:cs="宋体"/>
                <w:kern w:val="0"/>
                <w:szCs w:val="21"/>
                <w:lang w:val="zh-CN"/>
              </w:rPr>
              <w:t>）要点准确、推理正确、条理清晰、重点突出，能够理论联系实际，熟练地解答和讲解例题。</w:t>
            </w:r>
          </w:p>
          <w:p>
            <w:pPr>
              <w:autoSpaceDE w:val="0"/>
              <w:autoSpaceDN w:val="0"/>
              <w:adjustRightInd w:val="0"/>
              <w:spacing w:line="276" w:lineRule="auto"/>
              <w:rPr>
                <w:rFonts w:ascii="Times New Roman" w:hAnsi="Times New Roman" w:eastAsia="宋体" w:cs="Times New Roman"/>
                <w:kern w:val="0"/>
                <w:szCs w:val="21"/>
              </w:rPr>
            </w:pPr>
            <w:r>
              <w:rPr>
                <w:rFonts w:hint="eastAsia" w:ascii="宋体" w:hAnsi="Times New Roman" w:eastAsia="宋体" w:cs="宋体"/>
                <w:kern w:val="0"/>
                <w:szCs w:val="21"/>
                <w:lang w:val="zh-CN"/>
              </w:rPr>
              <w:t>（</w:t>
            </w:r>
            <w:r>
              <w:rPr>
                <w:rFonts w:ascii="Times New Roman" w:hAnsi="Times New Roman" w:eastAsia="宋体" w:cs="Times New Roman"/>
                <w:kern w:val="0"/>
                <w:szCs w:val="21"/>
              </w:rPr>
              <w:t>2</w:t>
            </w:r>
            <w:r>
              <w:rPr>
                <w:rFonts w:hint="eastAsia" w:ascii="宋体" w:hAnsi="Times New Roman" w:eastAsia="宋体" w:cs="宋体"/>
                <w:kern w:val="0"/>
                <w:szCs w:val="21"/>
                <w:lang w:val="zh-CN"/>
              </w:rPr>
              <w:t>）采用多种教学方式（如启发式教学、案例分析教学、讨论式教学、多媒体示范教学等），注重培养学生发现、分析和解决问题的能力。</w:t>
            </w:r>
          </w:p>
          <w:p>
            <w:pPr>
              <w:autoSpaceDE w:val="0"/>
              <w:autoSpaceDN w:val="0"/>
              <w:adjustRightInd w:val="0"/>
              <w:spacing w:line="276" w:lineRule="auto"/>
              <w:rPr>
                <w:rFonts w:ascii="Times New Roman" w:hAnsi="Times New Roman" w:eastAsia="宋体" w:cs="Times New Roman"/>
                <w:kern w:val="0"/>
                <w:szCs w:val="21"/>
              </w:rPr>
            </w:pPr>
            <w:r>
              <w:rPr>
                <w:rFonts w:hint="eastAsia" w:ascii="宋体" w:hAnsi="Times New Roman" w:eastAsia="宋体" w:cs="宋体"/>
                <w:kern w:val="0"/>
                <w:szCs w:val="21"/>
                <w:lang w:val="zh-CN"/>
              </w:rPr>
              <w:t>（</w:t>
            </w:r>
            <w:r>
              <w:rPr>
                <w:rFonts w:ascii="Times New Roman" w:hAnsi="Times New Roman" w:eastAsia="宋体" w:cs="Times New Roman"/>
                <w:kern w:val="0"/>
                <w:szCs w:val="21"/>
              </w:rPr>
              <w:t>3</w:t>
            </w:r>
            <w:r>
              <w:rPr>
                <w:rFonts w:hint="eastAsia" w:ascii="宋体" w:hAnsi="Times New Roman" w:eastAsia="宋体" w:cs="宋体"/>
                <w:kern w:val="0"/>
                <w:szCs w:val="21"/>
                <w:lang w:val="zh-CN"/>
              </w:rPr>
              <w:t>）能够采用现代信息技术辅助教学。</w:t>
            </w:r>
          </w:p>
          <w:p>
            <w:pPr>
              <w:autoSpaceDE w:val="0"/>
              <w:autoSpaceDN w:val="0"/>
              <w:adjustRightInd w:val="0"/>
              <w:spacing w:line="276" w:lineRule="auto"/>
              <w:rPr>
                <w:rFonts w:ascii="宋体" w:hAnsi="Times New Roman" w:eastAsia="宋体" w:cs="宋体"/>
                <w:kern w:val="0"/>
                <w:sz w:val="22"/>
                <w:szCs w:val="22"/>
                <w:lang w:val="zh-CN"/>
              </w:rPr>
            </w:pPr>
            <w:r>
              <w:rPr>
                <w:rFonts w:hint="eastAsia" w:ascii="宋体" w:hAnsi="Times New Roman" w:eastAsia="宋体" w:cs="宋体"/>
                <w:kern w:val="0"/>
                <w:szCs w:val="21"/>
                <w:lang w:val="zh-CN"/>
              </w:rPr>
              <w:t>（</w:t>
            </w:r>
            <w:r>
              <w:rPr>
                <w:rFonts w:ascii="Times New Roman" w:hAnsi="Times New Roman" w:eastAsia="宋体" w:cs="Times New Roman"/>
                <w:kern w:val="0"/>
                <w:szCs w:val="21"/>
              </w:rPr>
              <w:t>4</w:t>
            </w:r>
            <w:r>
              <w:rPr>
                <w:rFonts w:hint="eastAsia" w:ascii="宋体" w:hAnsi="Times New Roman" w:eastAsia="宋体" w:cs="宋体"/>
                <w:kern w:val="0"/>
                <w:szCs w:val="21"/>
                <w:lang w:val="zh-CN"/>
              </w:rPr>
              <w:t>）表达方式应能便于学生理解、接受，力求形象生动，使学生在掌握知识的过程中，保持较为浓厚的学习兴趣。</w:t>
            </w:r>
          </w:p>
        </w:tc>
      </w:tr>
      <w:tr>
        <w:tblPrEx>
          <w:tblCellMar>
            <w:top w:w="0" w:type="dxa"/>
            <w:left w:w="28" w:type="dxa"/>
            <w:bottom w:w="0" w:type="dxa"/>
            <w:right w:w="28" w:type="dxa"/>
          </w:tblCellMar>
        </w:tblPrEx>
        <w:trPr>
          <w:trHeight w:val="939" w:hRule="atLeast"/>
          <w:jc w:val="center"/>
        </w:trPr>
        <w:tc>
          <w:tcPr>
            <w:tcW w:w="582"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spacing w:line="276" w:lineRule="auto"/>
              <w:jc w:val="center"/>
              <w:rPr>
                <w:rFonts w:ascii="宋体" w:hAnsi="Times New Roman" w:eastAsia="宋体" w:cs="宋体"/>
                <w:kern w:val="0"/>
                <w:sz w:val="22"/>
                <w:szCs w:val="22"/>
                <w:lang w:val="zh-CN"/>
              </w:rPr>
            </w:pPr>
            <w:r>
              <w:rPr>
                <w:rFonts w:ascii="Times New Roman" w:hAnsi="Times New Roman" w:eastAsia="宋体" w:cs="Times New Roman"/>
                <w:kern w:val="0"/>
                <w:szCs w:val="21"/>
              </w:rPr>
              <w:t>3</w:t>
            </w:r>
          </w:p>
        </w:tc>
        <w:tc>
          <w:tcPr>
            <w:tcW w:w="978"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spacing w:line="276" w:lineRule="auto"/>
              <w:jc w:val="center"/>
              <w:rPr>
                <w:rFonts w:ascii="宋体" w:hAnsi="Times New Roman" w:eastAsia="宋体" w:cs="宋体"/>
                <w:kern w:val="0"/>
                <w:sz w:val="22"/>
                <w:szCs w:val="22"/>
                <w:lang w:val="zh-CN"/>
              </w:rPr>
            </w:pPr>
            <w:r>
              <w:rPr>
                <w:rFonts w:hint="eastAsia" w:ascii="宋体" w:hAnsi="Times New Roman" w:eastAsia="宋体" w:cs="宋体"/>
                <w:kern w:val="0"/>
                <w:szCs w:val="21"/>
                <w:lang w:val="zh-CN"/>
              </w:rPr>
              <w:t>作业布置与批改</w:t>
            </w:r>
          </w:p>
        </w:tc>
        <w:tc>
          <w:tcPr>
            <w:tcW w:w="6960"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spacing w:line="276" w:lineRule="auto"/>
              <w:rPr>
                <w:rFonts w:ascii="Times New Roman" w:hAnsi="Times New Roman" w:eastAsia="宋体" w:cs="Times New Roman"/>
                <w:kern w:val="0"/>
                <w:szCs w:val="21"/>
              </w:rPr>
            </w:pPr>
            <w:r>
              <w:rPr>
                <w:rFonts w:hint="eastAsia" w:ascii="宋体" w:hAnsi="Times New Roman" w:eastAsia="宋体" w:cs="宋体"/>
                <w:kern w:val="0"/>
                <w:szCs w:val="21"/>
                <w:lang w:val="zh-CN"/>
              </w:rPr>
              <w:t>学生必须完成规定数量的作业，作业必须达到以下基本要求：</w:t>
            </w:r>
          </w:p>
          <w:p>
            <w:pPr>
              <w:autoSpaceDE w:val="0"/>
              <w:autoSpaceDN w:val="0"/>
              <w:adjustRightInd w:val="0"/>
              <w:spacing w:line="276" w:lineRule="auto"/>
              <w:rPr>
                <w:rFonts w:ascii="Times New Roman" w:hAnsi="Times New Roman" w:eastAsia="宋体" w:cs="Times New Roman"/>
                <w:kern w:val="0"/>
                <w:szCs w:val="21"/>
              </w:rPr>
            </w:pPr>
            <w:r>
              <w:rPr>
                <w:rFonts w:ascii="Times New Roman" w:hAnsi="Times New Roman" w:eastAsia="宋体" w:cs="Times New Roman"/>
                <w:kern w:val="0"/>
                <w:szCs w:val="21"/>
              </w:rPr>
              <w:t>1.</w:t>
            </w:r>
            <w:r>
              <w:rPr>
                <w:rFonts w:hint="eastAsia" w:ascii="宋体" w:hAnsi="Times New Roman" w:eastAsia="宋体" w:cs="宋体"/>
                <w:kern w:val="0"/>
                <w:szCs w:val="21"/>
                <w:lang w:val="zh-CN"/>
              </w:rPr>
              <w:t>按时按量完成作业，不缺交，不抄袭。</w:t>
            </w:r>
          </w:p>
          <w:p>
            <w:pPr>
              <w:autoSpaceDE w:val="0"/>
              <w:autoSpaceDN w:val="0"/>
              <w:adjustRightInd w:val="0"/>
              <w:spacing w:line="276" w:lineRule="auto"/>
              <w:rPr>
                <w:rFonts w:ascii="Times New Roman" w:hAnsi="Times New Roman" w:eastAsia="宋体" w:cs="Times New Roman"/>
                <w:kern w:val="0"/>
                <w:szCs w:val="21"/>
              </w:rPr>
            </w:pPr>
            <w:r>
              <w:rPr>
                <w:rFonts w:ascii="Times New Roman" w:hAnsi="Times New Roman" w:eastAsia="宋体" w:cs="Times New Roman"/>
                <w:kern w:val="0"/>
                <w:szCs w:val="21"/>
              </w:rPr>
              <w:t>2.</w:t>
            </w:r>
            <w:r>
              <w:rPr>
                <w:rFonts w:hint="eastAsia" w:ascii="宋体" w:hAnsi="Times New Roman" w:eastAsia="宋体" w:cs="宋体"/>
                <w:kern w:val="0"/>
                <w:szCs w:val="21"/>
                <w:lang w:val="zh-CN"/>
              </w:rPr>
              <w:t>书写规范、清晰。</w:t>
            </w:r>
          </w:p>
          <w:p>
            <w:pPr>
              <w:autoSpaceDE w:val="0"/>
              <w:autoSpaceDN w:val="0"/>
              <w:adjustRightInd w:val="0"/>
              <w:spacing w:line="276" w:lineRule="auto"/>
              <w:rPr>
                <w:rFonts w:ascii="Times New Roman" w:hAnsi="Times New Roman" w:eastAsia="宋体" w:cs="Times New Roman"/>
                <w:kern w:val="0"/>
                <w:szCs w:val="21"/>
              </w:rPr>
            </w:pPr>
            <w:r>
              <w:rPr>
                <w:rFonts w:ascii="Times New Roman" w:hAnsi="Times New Roman" w:eastAsia="宋体" w:cs="Times New Roman"/>
                <w:kern w:val="0"/>
                <w:szCs w:val="21"/>
              </w:rPr>
              <w:t>3.</w:t>
            </w:r>
            <w:r>
              <w:rPr>
                <w:rFonts w:hint="eastAsia" w:ascii="宋体" w:hAnsi="Times New Roman" w:eastAsia="宋体" w:cs="宋体"/>
                <w:kern w:val="0"/>
                <w:szCs w:val="21"/>
                <w:lang w:val="zh-CN"/>
              </w:rPr>
              <w:t>解题方法和步骤正确。</w:t>
            </w:r>
          </w:p>
          <w:p>
            <w:pPr>
              <w:autoSpaceDE w:val="0"/>
              <w:autoSpaceDN w:val="0"/>
              <w:adjustRightInd w:val="0"/>
              <w:spacing w:line="276" w:lineRule="auto"/>
              <w:rPr>
                <w:rFonts w:ascii="Times New Roman" w:hAnsi="Times New Roman" w:eastAsia="宋体" w:cs="Times New Roman"/>
                <w:kern w:val="0"/>
                <w:szCs w:val="21"/>
              </w:rPr>
            </w:pPr>
            <w:r>
              <w:rPr>
                <w:rFonts w:hint="eastAsia" w:ascii="宋体" w:hAnsi="Times New Roman" w:eastAsia="宋体" w:cs="宋体"/>
                <w:kern w:val="0"/>
                <w:szCs w:val="21"/>
                <w:lang w:val="zh-CN"/>
              </w:rPr>
              <w:t>教师批改和讲评作业要求如下：</w:t>
            </w:r>
          </w:p>
          <w:p>
            <w:pPr>
              <w:autoSpaceDE w:val="0"/>
              <w:autoSpaceDN w:val="0"/>
              <w:adjustRightInd w:val="0"/>
              <w:spacing w:line="276" w:lineRule="auto"/>
              <w:rPr>
                <w:rFonts w:ascii="Times New Roman" w:hAnsi="Times New Roman" w:eastAsia="宋体" w:cs="Times New Roman"/>
                <w:kern w:val="0"/>
                <w:szCs w:val="21"/>
              </w:rPr>
            </w:pPr>
            <w:r>
              <w:rPr>
                <w:rFonts w:ascii="Times New Roman" w:hAnsi="Times New Roman" w:eastAsia="宋体" w:cs="Times New Roman"/>
                <w:kern w:val="0"/>
                <w:szCs w:val="21"/>
              </w:rPr>
              <w:t>1.</w:t>
            </w:r>
            <w:r>
              <w:rPr>
                <w:rFonts w:hint="eastAsia" w:ascii="宋体" w:hAnsi="Times New Roman" w:eastAsia="宋体" w:cs="宋体"/>
                <w:kern w:val="0"/>
                <w:szCs w:val="21"/>
                <w:lang w:val="zh-CN"/>
              </w:rPr>
              <w:t>学生的作业要按时全部批改，并及时进行讲评。</w:t>
            </w:r>
          </w:p>
          <w:p>
            <w:pPr>
              <w:autoSpaceDE w:val="0"/>
              <w:autoSpaceDN w:val="0"/>
              <w:adjustRightInd w:val="0"/>
              <w:spacing w:line="276" w:lineRule="auto"/>
              <w:rPr>
                <w:rFonts w:ascii="Times New Roman" w:hAnsi="Times New Roman" w:eastAsia="宋体" w:cs="Times New Roman"/>
                <w:kern w:val="0"/>
                <w:szCs w:val="21"/>
              </w:rPr>
            </w:pPr>
            <w:r>
              <w:rPr>
                <w:rFonts w:ascii="Times New Roman" w:hAnsi="Times New Roman" w:eastAsia="宋体" w:cs="Times New Roman"/>
                <w:kern w:val="0"/>
                <w:szCs w:val="21"/>
              </w:rPr>
              <w:t>2.</w:t>
            </w:r>
            <w:r>
              <w:rPr>
                <w:rFonts w:hint="eastAsia" w:ascii="宋体" w:hAnsi="Times New Roman" w:eastAsia="宋体" w:cs="宋体"/>
                <w:kern w:val="0"/>
                <w:szCs w:val="21"/>
                <w:lang w:val="zh-CN"/>
              </w:rPr>
              <w:t>教师批改和讲评作业要认真、细致，按百分制评定成绩并写明日期。</w:t>
            </w:r>
          </w:p>
          <w:p>
            <w:pPr>
              <w:autoSpaceDE w:val="0"/>
              <w:autoSpaceDN w:val="0"/>
              <w:adjustRightInd w:val="0"/>
              <w:spacing w:line="276" w:lineRule="auto"/>
              <w:rPr>
                <w:rFonts w:ascii="宋体" w:hAnsi="Times New Roman" w:eastAsia="宋体" w:cs="宋体"/>
                <w:kern w:val="0"/>
                <w:sz w:val="22"/>
                <w:szCs w:val="22"/>
                <w:lang w:val="zh-CN"/>
              </w:rPr>
            </w:pPr>
            <w:r>
              <w:rPr>
                <w:rFonts w:ascii="Times New Roman" w:hAnsi="Times New Roman" w:eastAsia="宋体" w:cs="Times New Roman"/>
                <w:kern w:val="0"/>
                <w:szCs w:val="21"/>
              </w:rPr>
              <w:t>3.</w:t>
            </w:r>
            <w:r>
              <w:rPr>
                <w:rFonts w:hint="eastAsia" w:ascii="宋体" w:hAnsi="Times New Roman" w:eastAsia="宋体" w:cs="宋体"/>
                <w:kern w:val="0"/>
                <w:szCs w:val="21"/>
                <w:lang w:val="zh-CN"/>
              </w:rPr>
              <w:t>学生作业的平均成绩应作为本课程总评成绩中平时成绩的重要组成部分。</w:t>
            </w:r>
          </w:p>
        </w:tc>
      </w:tr>
      <w:tr>
        <w:tblPrEx>
          <w:tblCellMar>
            <w:top w:w="0" w:type="dxa"/>
            <w:left w:w="28" w:type="dxa"/>
            <w:bottom w:w="0" w:type="dxa"/>
            <w:right w:w="28" w:type="dxa"/>
          </w:tblCellMar>
        </w:tblPrEx>
        <w:trPr>
          <w:trHeight w:val="1024" w:hRule="atLeast"/>
          <w:jc w:val="center"/>
        </w:trPr>
        <w:tc>
          <w:tcPr>
            <w:tcW w:w="582"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spacing w:line="276" w:lineRule="auto"/>
              <w:jc w:val="center"/>
              <w:rPr>
                <w:rFonts w:ascii="宋体" w:hAnsi="Times New Roman" w:eastAsia="宋体" w:cs="宋体"/>
                <w:kern w:val="0"/>
                <w:sz w:val="22"/>
                <w:szCs w:val="22"/>
                <w:lang w:val="zh-CN"/>
              </w:rPr>
            </w:pPr>
            <w:r>
              <w:rPr>
                <w:rFonts w:ascii="Times New Roman" w:hAnsi="Times New Roman" w:eastAsia="宋体" w:cs="Times New Roman"/>
                <w:kern w:val="0"/>
                <w:szCs w:val="21"/>
              </w:rPr>
              <w:t>4</w:t>
            </w:r>
          </w:p>
        </w:tc>
        <w:tc>
          <w:tcPr>
            <w:tcW w:w="978"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spacing w:line="276" w:lineRule="auto"/>
              <w:jc w:val="center"/>
              <w:rPr>
                <w:rFonts w:ascii="宋体" w:hAnsi="Times New Roman" w:eastAsia="宋体" w:cs="宋体"/>
                <w:kern w:val="0"/>
                <w:sz w:val="22"/>
                <w:szCs w:val="22"/>
                <w:lang w:val="zh-CN"/>
              </w:rPr>
            </w:pPr>
            <w:r>
              <w:rPr>
                <w:rFonts w:hint="eastAsia" w:ascii="宋体" w:hAnsi="Times New Roman" w:eastAsia="宋体" w:cs="宋体"/>
                <w:kern w:val="0"/>
                <w:szCs w:val="21"/>
                <w:lang w:val="zh-CN"/>
              </w:rPr>
              <w:t>课外答疑</w:t>
            </w:r>
          </w:p>
        </w:tc>
        <w:tc>
          <w:tcPr>
            <w:tcW w:w="6960"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spacing w:line="276" w:lineRule="auto"/>
              <w:rPr>
                <w:rFonts w:ascii="宋体" w:hAnsi="Times New Roman" w:eastAsia="宋体" w:cs="宋体"/>
                <w:kern w:val="0"/>
                <w:sz w:val="22"/>
                <w:szCs w:val="22"/>
                <w:lang w:val="zh-CN"/>
              </w:rPr>
            </w:pPr>
            <w:r>
              <w:rPr>
                <w:rFonts w:hint="eastAsia" w:ascii="宋体" w:hAnsi="Times New Roman" w:eastAsia="宋体" w:cs="宋体"/>
                <w:kern w:val="0"/>
                <w:szCs w:val="21"/>
                <w:lang w:val="zh-CN"/>
              </w:rPr>
              <w:t>为了解学生的学习情况，帮助学生更好地理解和消化所学知识、改进学习方法和思维方式，培养其独立思考问题的能力，课外答疑方式、时间、地点要跟学生商量共同确定，灵活安排。</w:t>
            </w:r>
          </w:p>
        </w:tc>
      </w:tr>
      <w:tr>
        <w:tblPrEx>
          <w:tblCellMar>
            <w:top w:w="0" w:type="dxa"/>
            <w:left w:w="28" w:type="dxa"/>
            <w:bottom w:w="0" w:type="dxa"/>
            <w:right w:w="28" w:type="dxa"/>
          </w:tblCellMar>
        </w:tblPrEx>
        <w:trPr>
          <w:trHeight w:val="1222" w:hRule="atLeast"/>
          <w:jc w:val="center"/>
        </w:trPr>
        <w:tc>
          <w:tcPr>
            <w:tcW w:w="582"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spacing w:line="276" w:lineRule="auto"/>
              <w:jc w:val="center"/>
              <w:rPr>
                <w:rFonts w:ascii="宋体" w:hAnsi="Times New Roman" w:eastAsia="宋体" w:cs="宋体"/>
                <w:kern w:val="0"/>
                <w:sz w:val="22"/>
                <w:szCs w:val="22"/>
                <w:lang w:val="zh-CN"/>
              </w:rPr>
            </w:pPr>
            <w:r>
              <w:rPr>
                <w:rFonts w:ascii="Times New Roman" w:hAnsi="Times New Roman" w:eastAsia="宋体" w:cs="Times New Roman"/>
                <w:kern w:val="0"/>
                <w:szCs w:val="21"/>
              </w:rPr>
              <w:t>5</w:t>
            </w:r>
          </w:p>
        </w:tc>
        <w:tc>
          <w:tcPr>
            <w:tcW w:w="978"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spacing w:line="276" w:lineRule="auto"/>
              <w:jc w:val="center"/>
              <w:rPr>
                <w:rFonts w:ascii="宋体" w:hAnsi="Times New Roman" w:eastAsia="宋体" w:cs="宋体"/>
                <w:kern w:val="0"/>
                <w:sz w:val="22"/>
                <w:szCs w:val="22"/>
                <w:lang w:val="zh-CN"/>
              </w:rPr>
            </w:pPr>
            <w:r>
              <w:rPr>
                <w:rFonts w:hint="eastAsia" w:ascii="宋体" w:hAnsi="Times New Roman" w:eastAsia="宋体" w:cs="宋体"/>
                <w:kern w:val="0"/>
                <w:szCs w:val="21"/>
                <w:lang w:val="zh-CN"/>
              </w:rPr>
              <w:t>成绩考核</w:t>
            </w:r>
          </w:p>
        </w:tc>
        <w:tc>
          <w:tcPr>
            <w:tcW w:w="6960"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spacing w:line="276" w:lineRule="auto"/>
              <w:rPr>
                <w:rFonts w:ascii="Times New Roman" w:hAnsi="Times New Roman" w:eastAsia="宋体" w:cs="Times New Roman"/>
                <w:kern w:val="0"/>
                <w:szCs w:val="21"/>
              </w:rPr>
            </w:pPr>
            <w:r>
              <w:rPr>
                <w:rFonts w:hint="eastAsia" w:ascii="宋体" w:hAnsi="Times New Roman" w:eastAsia="宋体" w:cs="宋体"/>
                <w:kern w:val="0"/>
                <w:szCs w:val="21"/>
                <w:lang w:val="zh-CN"/>
              </w:rPr>
              <w:t>本课程考核的方式为规划撰写和交流等。有下列情况之一者，总评成绩为不及格：（</w:t>
            </w:r>
            <w:r>
              <w:rPr>
                <w:rFonts w:ascii="Times New Roman" w:hAnsi="Times New Roman" w:eastAsia="宋体" w:cs="Times New Roman"/>
                <w:kern w:val="0"/>
                <w:szCs w:val="21"/>
              </w:rPr>
              <w:t>1</w:t>
            </w:r>
            <w:r>
              <w:rPr>
                <w:rFonts w:hint="eastAsia" w:ascii="宋体" w:hAnsi="Times New Roman" w:eastAsia="宋体" w:cs="宋体"/>
                <w:kern w:val="0"/>
                <w:szCs w:val="21"/>
                <w:lang w:val="zh-CN"/>
              </w:rPr>
              <w:t>）缺交作业次数达</w:t>
            </w:r>
            <w:r>
              <w:rPr>
                <w:rFonts w:ascii="Times New Roman" w:hAnsi="Times New Roman" w:eastAsia="宋体" w:cs="Times New Roman"/>
                <w:kern w:val="0"/>
                <w:szCs w:val="21"/>
              </w:rPr>
              <w:t>1/5</w:t>
            </w:r>
            <w:r>
              <w:rPr>
                <w:rFonts w:hint="eastAsia" w:ascii="宋体" w:hAnsi="Times New Roman" w:eastAsia="宋体" w:cs="宋体"/>
                <w:kern w:val="0"/>
                <w:szCs w:val="21"/>
                <w:lang w:val="zh-CN"/>
              </w:rPr>
              <w:t>以上者。</w:t>
            </w:r>
          </w:p>
          <w:p>
            <w:pPr>
              <w:autoSpaceDE w:val="0"/>
              <w:autoSpaceDN w:val="0"/>
              <w:adjustRightInd w:val="0"/>
              <w:spacing w:line="276" w:lineRule="auto"/>
              <w:rPr>
                <w:rFonts w:ascii="宋体" w:hAnsi="Times New Roman" w:eastAsia="宋体" w:cs="宋体"/>
                <w:kern w:val="0"/>
                <w:sz w:val="22"/>
                <w:szCs w:val="22"/>
                <w:lang w:val="zh-CN"/>
              </w:rPr>
            </w:pPr>
            <w:r>
              <w:rPr>
                <w:rFonts w:hint="eastAsia" w:ascii="宋体" w:hAnsi="Times New Roman" w:eastAsia="宋体" w:cs="宋体"/>
                <w:kern w:val="0"/>
                <w:szCs w:val="21"/>
                <w:lang w:val="zh-CN"/>
              </w:rPr>
              <w:t>（</w:t>
            </w:r>
            <w:r>
              <w:rPr>
                <w:rFonts w:ascii="Times New Roman" w:hAnsi="Times New Roman" w:eastAsia="宋体" w:cs="Times New Roman"/>
                <w:kern w:val="0"/>
                <w:szCs w:val="21"/>
              </w:rPr>
              <w:t>2</w:t>
            </w:r>
            <w:r>
              <w:rPr>
                <w:rFonts w:hint="eastAsia" w:ascii="宋体" w:hAnsi="Times New Roman" w:eastAsia="宋体" w:cs="宋体"/>
                <w:kern w:val="0"/>
                <w:szCs w:val="21"/>
                <w:lang w:val="zh-CN"/>
              </w:rPr>
              <w:t>）缺课次数达本学期总授课学时的</w:t>
            </w:r>
            <w:r>
              <w:rPr>
                <w:rFonts w:ascii="Times New Roman" w:hAnsi="Times New Roman" w:eastAsia="宋体" w:cs="Times New Roman"/>
                <w:kern w:val="0"/>
                <w:szCs w:val="21"/>
              </w:rPr>
              <w:t>1/5</w:t>
            </w:r>
            <w:r>
              <w:rPr>
                <w:rFonts w:hint="eastAsia" w:ascii="宋体" w:hAnsi="Times New Roman" w:eastAsia="宋体" w:cs="宋体"/>
                <w:kern w:val="0"/>
                <w:szCs w:val="21"/>
                <w:lang w:val="zh-CN"/>
              </w:rPr>
              <w:t>以上者。</w:t>
            </w:r>
          </w:p>
        </w:tc>
      </w:tr>
    </w:tbl>
    <w:p>
      <w:pPr>
        <w:autoSpaceDE w:val="0"/>
        <w:autoSpaceDN w:val="0"/>
        <w:adjustRightInd w:val="0"/>
        <w:spacing w:line="360" w:lineRule="auto"/>
        <w:rPr>
          <w:rFonts w:ascii="Times New Roman" w:hAnsi="Times New Roman" w:eastAsia="宋体" w:cs="Times New Roman"/>
          <w:b/>
          <w:bCs/>
          <w:kern w:val="0"/>
          <w:sz w:val="28"/>
          <w:szCs w:val="28"/>
        </w:rPr>
      </w:pPr>
      <w:r>
        <w:rPr>
          <w:rFonts w:hint="eastAsia" w:ascii="宋体" w:hAnsi="Times New Roman" w:eastAsia="宋体" w:cs="宋体"/>
          <w:b/>
          <w:bCs/>
          <w:kern w:val="0"/>
          <w:sz w:val="28"/>
          <w:szCs w:val="28"/>
          <w:lang w:val="zh-CN"/>
        </w:rPr>
        <w:t>五、课程考核</w:t>
      </w:r>
    </w:p>
    <w:p>
      <w:pPr>
        <w:autoSpaceDE w:val="0"/>
        <w:autoSpaceDN w:val="0"/>
        <w:adjustRightInd w:val="0"/>
        <w:spacing w:line="360" w:lineRule="auto"/>
        <w:ind w:firstLine="480"/>
        <w:rPr>
          <w:rFonts w:ascii="Times New Roman" w:hAnsi="Times New Roman" w:eastAsia="宋体" w:cs="Times New Roman"/>
          <w:kern w:val="0"/>
          <w:sz w:val="24"/>
        </w:rPr>
      </w:pPr>
      <w:r>
        <w:rPr>
          <w:rFonts w:hint="eastAsia" w:ascii="宋体" w:hAnsi="Times New Roman" w:eastAsia="宋体" w:cs="宋体"/>
          <w:kern w:val="0"/>
          <w:sz w:val="24"/>
          <w:lang w:val="zh-CN"/>
        </w:rPr>
        <w:t>（一）课程考核包括期末考查和平时及作业情况考核，期末考查采用报告形式进行考查。</w:t>
      </w:r>
    </w:p>
    <w:p>
      <w:pPr>
        <w:autoSpaceDE w:val="0"/>
        <w:autoSpaceDN w:val="0"/>
        <w:adjustRightInd w:val="0"/>
        <w:spacing w:line="360" w:lineRule="auto"/>
        <w:ind w:firstLine="480"/>
        <w:rPr>
          <w:rFonts w:ascii="Times New Roman" w:hAnsi="Times New Roman" w:eastAsia="宋体" w:cs="Times New Roman"/>
          <w:kern w:val="0"/>
          <w:sz w:val="24"/>
        </w:rPr>
      </w:pPr>
      <w:r>
        <w:rPr>
          <w:rFonts w:hint="eastAsia" w:ascii="宋体" w:hAnsi="Times New Roman" w:eastAsia="宋体" w:cs="宋体"/>
          <w:kern w:val="0"/>
          <w:sz w:val="24"/>
          <w:lang w:val="zh-CN"/>
        </w:rPr>
        <w:t>（二）课程成绩</w:t>
      </w:r>
      <w:r>
        <w:rPr>
          <w:rFonts w:ascii="Times New Roman" w:hAnsi="Times New Roman" w:eastAsia="宋体" w:cs="Times New Roman"/>
          <w:kern w:val="0"/>
          <w:sz w:val="24"/>
        </w:rPr>
        <w:t>=</w:t>
      </w:r>
      <w:r>
        <w:rPr>
          <w:rFonts w:hint="eastAsia" w:ascii="宋体" w:hAnsi="Times New Roman" w:eastAsia="宋体" w:cs="宋体"/>
          <w:kern w:val="0"/>
          <w:sz w:val="24"/>
          <w:lang w:val="zh-CN"/>
        </w:rPr>
        <w:t>平时成绩×</w:t>
      </w:r>
      <w:r>
        <w:rPr>
          <w:rFonts w:ascii="Times New Roman" w:hAnsi="Times New Roman" w:eastAsia="宋体" w:cs="Times New Roman"/>
          <w:kern w:val="0"/>
          <w:sz w:val="24"/>
        </w:rPr>
        <w:t>40%+</w:t>
      </w:r>
      <w:r>
        <w:rPr>
          <w:rFonts w:hint="eastAsia" w:ascii="宋体" w:hAnsi="Times New Roman" w:eastAsia="宋体" w:cs="宋体"/>
          <w:kern w:val="0"/>
          <w:sz w:val="24"/>
          <w:lang w:val="zh-CN"/>
        </w:rPr>
        <w:t>期末考查成绩×</w:t>
      </w:r>
      <w:r>
        <w:rPr>
          <w:rFonts w:ascii="Times New Roman" w:hAnsi="Times New Roman" w:eastAsia="宋体" w:cs="Times New Roman"/>
          <w:kern w:val="0"/>
          <w:sz w:val="24"/>
        </w:rPr>
        <w:t>60%</w:t>
      </w:r>
      <w:r>
        <w:rPr>
          <w:rFonts w:hint="eastAsia" w:ascii="宋体" w:hAnsi="Times New Roman" w:eastAsia="宋体" w:cs="宋体"/>
          <w:kern w:val="0"/>
          <w:sz w:val="24"/>
          <w:lang w:val="zh-CN"/>
        </w:rPr>
        <w:t>。</w:t>
      </w:r>
    </w:p>
    <w:p>
      <w:pPr>
        <w:autoSpaceDE w:val="0"/>
        <w:autoSpaceDN w:val="0"/>
        <w:adjustRightInd w:val="0"/>
        <w:spacing w:line="360" w:lineRule="auto"/>
        <w:ind w:firstLine="480"/>
        <w:rPr>
          <w:rFonts w:ascii="Times New Roman" w:hAnsi="Times New Roman" w:eastAsia="宋体" w:cs="Times New Roman"/>
          <w:kern w:val="0"/>
          <w:sz w:val="24"/>
        </w:rPr>
      </w:pPr>
      <w:r>
        <w:rPr>
          <w:rFonts w:hint="eastAsia" w:ascii="宋体" w:hAnsi="Times New Roman" w:eastAsia="宋体" w:cs="宋体"/>
          <w:kern w:val="0"/>
          <w:sz w:val="24"/>
          <w:lang w:val="zh-CN"/>
        </w:rPr>
        <w:t>具体内容和比例如表所示。</w:t>
      </w:r>
    </w:p>
    <w:tbl>
      <w:tblPr>
        <w:tblStyle w:val="10"/>
        <w:tblW w:w="9130" w:type="dxa"/>
        <w:tblInd w:w="56" w:type="dxa"/>
        <w:tblLayout w:type="fixed"/>
        <w:tblCellMar>
          <w:top w:w="0" w:type="dxa"/>
          <w:left w:w="56" w:type="dxa"/>
          <w:bottom w:w="0" w:type="dxa"/>
          <w:right w:w="56" w:type="dxa"/>
        </w:tblCellMar>
      </w:tblPr>
      <w:tblGrid>
        <w:gridCol w:w="1043"/>
        <w:gridCol w:w="715"/>
        <w:gridCol w:w="1560"/>
        <w:gridCol w:w="4422"/>
        <w:gridCol w:w="1390"/>
      </w:tblGrid>
      <w:tr>
        <w:tblPrEx>
          <w:tblCellMar>
            <w:top w:w="0" w:type="dxa"/>
            <w:left w:w="56" w:type="dxa"/>
            <w:bottom w:w="0" w:type="dxa"/>
            <w:right w:w="56" w:type="dxa"/>
          </w:tblCellMar>
        </w:tblPrEx>
        <w:trPr>
          <w:trHeight w:val="159" w:hRule="atLeast"/>
        </w:trPr>
        <w:tc>
          <w:tcPr>
            <w:tcW w:w="1043" w:type="dxa"/>
            <w:vMerge w:val="restart"/>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hAnsi="Times New Roman" w:eastAsia="宋体" w:cs="宋体"/>
                <w:kern w:val="0"/>
                <w:sz w:val="22"/>
                <w:szCs w:val="22"/>
                <w:lang w:val="zh-CN"/>
              </w:rPr>
            </w:pPr>
            <w:r>
              <w:rPr>
                <w:rFonts w:hint="eastAsia" w:ascii="宋体" w:hAnsi="Times New Roman" w:eastAsia="宋体" w:cs="宋体"/>
                <w:kern w:val="0"/>
                <w:szCs w:val="21"/>
                <w:lang w:val="zh-CN"/>
              </w:rPr>
              <w:t>考核环节</w:t>
            </w:r>
          </w:p>
        </w:tc>
        <w:tc>
          <w:tcPr>
            <w:tcW w:w="715" w:type="dxa"/>
            <w:vMerge w:val="restart"/>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hAnsi="Times New Roman" w:eastAsia="宋体" w:cs="宋体"/>
                <w:kern w:val="0"/>
                <w:sz w:val="22"/>
                <w:szCs w:val="22"/>
                <w:lang w:val="zh-CN"/>
              </w:rPr>
            </w:pPr>
            <w:r>
              <w:rPr>
                <w:rFonts w:hint="eastAsia" w:ascii="宋体" w:hAnsi="Times New Roman" w:eastAsia="宋体" w:cs="宋体"/>
                <w:kern w:val="0"/>
                <w:szCs w:val="21"/>
                <w:lang w:val="zh-CN"/>
              </w:rPr>
              <w:t>成绩比例</w:t>
            </w:r>
          </w:p>
        </w:tc>
        <w:tc>
          <w:tcPr>
            <w:tcW w:w="5982" w:type="dxa"/>
            <w:gridSpan w:val="2"/>
            <w:vMerge w:val="restart"/>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hAnsi="Times New Roman" w:eastAsia="宋体" w:cs="宋体"/>
                <w:kern w:val="0"/>
                <w:sz w:val="22"/>
                <w:szCs w:val="22"/>
                <w:lang w:val="zh-CN"/>
              </w:rPr>
            </w:pPr>
            <w:r>
              <w:rPr>
                <w:rFonts w:hint="eastAsia" w:ascii="宋体" w:hAnsi="Times New Roman" w:eastAsia="宋体" w:cs="宋体"/>
                <w:kern w:val="0"/>
                <w:szCs w:val="21"/>
                <w:lang w:val="zh-CN"/>
              </w:rPr>
              <w:t>考核内容与评价细则</w:t>
            </w:r>
          </w:p>
        </w:tc>
        <w:tc>
          <w:tcPr>
            <w:tcW w:w="1390" w:type="dxa"/>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hAnsi="Times New Roman" w:eastAsia="宋体" w:cs="宋体"/>
                <w:kern w:val="0"/>
                <w:sz w:val="22"/>
                <w:szCs w:val="22"/>
                <w:lang w:val="zh-CN"/>
              </w:rPr>
            </w:pPr>
            <w:r>
              <w:rPr>
                <w:rFonts w:hint="eastAsia" w:ascii="宋体" w:hAnsi="Times New Roman" w:eastAsia="宋体" w:cs="宋体"/>
                <w:kern w:val="0"/>
                <w:szCs w:val="21"/>
                <w:lang w:val="zh-CN"/>
              </w:rPr>
              <w:t>支撑目标</w:t>
            </w:r>
          </w:p>
        </w:tc>
      </w:tr>
      <w:tr>
        <w:tblPrEx>
          <w:tblCellMar>
            <w:top w:w="0" w:type="dxa"/>
            <w:left w:w="56" w:type="dxa"/>
            <w:bottom w:w="0" w:type="dxa"/>
            <w:right w:w="56" w:type="dxa"/>
          </w:tblCellMar>
        </w:tblPrEx>
        <w:trPr>
          <w:trHeight w:val="159" w:hRule="atLeast"/>
        </w:trPr>
        <w:tc>
          <w:tcPr>
            <w:tcW w:w="1043" w:type="dxa"/>
            <w:vMerge w:val="continue"/>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spacing w:after="200" w:line="276" w:lineRule="auto"/>
              <w:jc w:val="left"/>
              <w:rPr>
                <w:rFonts w:ascii="宋体" w:hAnsi="Times New Roman" w:eastAsia="宋体" w:cs="宋体"/>
                <w:kern w:val="0"/>
                <w:sz w:val="22"/>
                <w:szCs w:val="22"/>
                <w:lang w:val="zh-CN"/>
              </w:rPr>
            </w:pPr>
          </w:p>
        </w:tc>
        <w:tc>
          <w:tcPr>
            <w:tcW w:w="715" w:type="dxa"/>
            <w:vMerge w:val="continue"/>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spacing w:after="200" w:line="276" w:lineRule="auto"/>
              <w:jc w:val="left"/>
              <w:rPr>
                <w:rFonts w:ascii="宋体" w:hAnsi="Times New Roman" w:eastAsia="宋体" w:cs="宋体"/>
                <w:kern w:val="0"/>
                <w:sz w:val="22"/>
                <w:szCs w:val="22"/>
                <w:lang w:val="zh-CN"/>
              </w:rPr>
            </w:pPr>
          </w:p>
        </w:tc>
        <w:tc>
          <w:tcPr>
            <w:tcW w:w="5982" w:type="dxa"/>
            <w:gridSpan w:val="2"/>
            <w:vMerge w:val="continue"/>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spacing w:after="200" w:line="276" w:lineRule="auto"/>
              <w:jc w:val="left"/>
              <w:rPr>
                <w:rFonts w:ascii="宋体" w:hAnsi="Times New Roman" w:eastAsia="宋体" w:cs="宋体"/>
                <w:kern w:val="0"/>
                <w:sz w:val="22"/>
                <w:szCs w:val="22"/>
                <w:lang w:val="zh-CN"/>
              </w:rPr>
            </w:pPr>
          </w:p>
        </w:tc>
        <w:tc>
          <w:tcPr>
            <w:tcW w:w="1390" w:type="dxa"/>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hAnsi="Times New Roman" w:eastAsia="宋体" w:cs="宋体"/>
                <w:kern w:val="0"/>
                <w:sz w:val="22"/>
                <w:szCs w:val="22"/>
                <w:lang w:val="zh-CN"/>
              </w:rPr>
            </w:pPr>
            <w:r>
              <w:rPr>
                <w:rFonts w:hint="eastAsia" w:ascii="宋体" w:hAnsi="Times New Roman" w:eastAsia="宋体" w:cs="宋体"/>
                <w:kern w:val="0"/>
                <w:szCs w:val="21"/>
                <w:lang w:val="zh-CN"/>
              </w:rPr>
              <w:t>目标</w:t>
            </w:r>
            <w:r>
              <w:rPr>
                <w:rFonts w:ascii="Times New Roman" w:hAnsi="Times New Roman" w:eastAsia="宋体" w:cs="Times New Roman"/>
                <w:kern w:val="0"/>
                <w:szCs w:val="21"/>
              </w:rPr>
              <w:t>1</w:t>
            </w:r>
          </w:p>
        </w:tc>
      </w:tr>
      <w:tr>
        <w:tblPrEx>
          <w:tblCellMar>
            <w:top w:w="0" w:type="dxa"/>
            <w:left w:w="56" w:type="dxa"/>
            <w:bottom w:w="0" w:type="dxa"/>
            <w:right w:w="56" w:type="dxa"/>
          </w:tblCellMar>
        </w:tblPrEx>
        <w:trPr>
          <w:trHeight w:val="159" w:hRule="atLeast"/>
        </w:trPr>
        <w:tc>
          <w:tcPr>
            <w:tcW w:w="1043" w:type="dxa"/>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hAnsi="Times New Roman" w:eastAsia="宋体" w:cs="宋体"/>
                <w:kern w:val="0"/>
                <w:sz w:val="22"/>
                <w:szCs w:val="22"/>
                <w:lang w:val="zh-CN"/>
              </w:rPr>
            </w:pPr>
            <w:r>
              <w:rPr>
                <w:rFonts w:hint="eastAsia" w:ascii="宋体" w:hAnsi="Times New Roman" w:eastAsia="宋体" w:cs="宋体"/>
                <w:kern w:val="0"/>
                <w:szCs w:val="21"/>
                <w:lang w:val="zh-CN"/>
              </w:rPr>
              <w:t>考勤</w:t>
            </w:r>
          </w:p>
        </w:tc>
        <w:tc>
          <w:tcPr>
            <w:tcW w:w="715" w:type="dxa"/>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hAnsi="Times New Roman" w:eastAsia="宋体" w:cs="宋体"/>
                <w:kern w:val="0"/>
                <w:sz w:val="22"/>
                <w:szCs w:val="22"/>
                <w:lang w:val="zh-CN"/>
              </w:rPr>
            </w:pPr>
            <w:r>
              <w:rPr>
                <w:rFonts w:hint="eastAsia" w:cs="Times New Roman"/>
                <w:kern w:val="0"/>
                <w:szCs w:val="21"/>
                <w:lang w:val="en-US" w:eastAsia="zh-CN"/>
              </w:rPr>
              <w:t>3</w:t>
            </w:r>
            <w:r>
              <w:rPr>
                <w:rFonts w:ascii="Times New Roman" w:hAnsi="Times New Roman" w:eastAsia="宋体" w:cs="Times New Roman"/>
                <w:kern w:val="0"/>
                <w:szCs w:val="21"/>
              </w:rPr>
              <w:t>0%</w:t>
            </w:r>
          </w:p>
        </w:tc>
        <w:tc>
          <w:tcPr>
            <w:tcW w:w="5982" w:type="dxa"/>
            <w:gridSpan w:val="2"/>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rPr>
                <w:rFonts w:ascii="宋体" w:hAnsi="Times New Roman" w:eastAsia="宋体" w:cs="宋体"/>
                <w:kern w:val="0"/>
                <w:sz w:val="22"/>
                <w:szCs w:val="22"/>
                <w:lang w:val="zh-CN"/>
              </w:rPr>
            </w:pPr>
            <w:r>
              <w:rPr>
                <w:rFonts w:hint="eastAsia" w:ascii="宋体" w:hAnsi="Times New Roman" w:eastAsia="宋体" w:cs="宋体"/>
                <w:kern w:val="0"/>
                <w:szCs w:val="21"/>
                <w:lang w:val="zh-CN"/>
              </w:rPr>
              <w:t>课堂不定期点名，考核能否按时到勤，对于旷课、迟到和早退者适当扣分，最后按</w:t>
            </w:r>
            <w:r>
              <w:rPr>
                <w:rFonts w:hint="eastAsia" w:cs="Times New Roman"/>
                <w:kern w:val="0"/>
                <w:szCs w:val="21"/>
                <w:lang w:val="en-US" w:eastAsia="zh-CN"/>
              </w:rPr>
              <w:t>3</w:t>
            </w:r>
            <w:r>
              <w:rPr>
                <w:rFonts w:ascii="Times New Roman" w:hAnsi="Times New Roman" w:eastAsia="宋体" w:cs="Times New Roman"/>
                <w:kern w:val="0"/>
                <w:szCs w:val="21"/>
              </w:rPr>
              <w:t>0%</w:t>
            </w:r>
            <w:r>
              <w:rPr>
                <w:rFonts w:hint="eastAsia" w:ascii="宋体" w:hAnsi="Times New Roman" w:eastAsia="宋体" w:cs="宋体"/>
                <w:kern w:val="0"/>
                <w:szCs w:val="21"/>
                <w:lang w:val="zh-CN"/>
              </w:rPr>
              <w:t>计入课程总成绩。。</w:t>
            </w:r>
          </w:p>
        </w:tc>
        <w:tc>
          <w:tcPr>
            <w:tcW w:w="1390" w:type="dxa"/>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hAnsi="Times New Roman" w:eastAsia="宋体" w:cs="宋体"/>
                <w:kern w:val="0"/>
                <w:szCs w:val="21"/>
                <w:lang w:val="zh-CN"/>
              </w:rPr>
            </w:pPr>
            <w:r>
              <w:rPr>
                <w:rFonts w:hint="eastAsia" w:cs="Times New Roman"/>
                <w:kern w:val="0"/>
                <w:szCs w:val="21"/>
                <w:lang w:val="en-US" w:eastAsia="zh-CN"/>
              </w:rPr>
              <w:t>3</w:t>
            </w:r>
            <w:r>
              <w:rPr>
                <w:rFonts w:ascii="Times New Roman" w:hAnsi="Times New Roman" w:eastAsia="宋体" w:cs="Times New Roman"/>
                <w:kern w:val="0"/>
                <w:szCs w:val="21"/>
              </w:rPr>
              <w:t>0%</w:t>
            </w:r>
          </w:p>
        </w:tc>
      </w:tr>
      <w:tr>
        <w:tblPrEx>
          <w:tblCellMar>
            <w:top w:w="0" w:type="dxa"/>
            <w:left w:w="56" w:type="dxa"/>
            <w:bottom w:w="0" w:type="dxa"/>
            <w:right w:w="56" w:type="dxa"/>
          </w:tblCellMar>
        </w:tblPrEx>
        <w:trPr>
          <w:trHeight w:val="794" w:hRule="atLeast"/>
        </w:trPr>
        <w:tc>
          <w:tcPr>
            <w:tcW w:w="104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hAnsi="Times New Roman" w:eastAsia="宋体" w:cs="宋体"/>
                <w:kern w:val="0"/>
                <w:sz w:val="22"/>
                <w:szCs w:val="22"/>
                <w:lang w:val="zh-CN"/>
              </w:rPr>
            </w:pPr>
            <w:r>
              <w:rPr>
                <w:rFonts w:hint="eastAsia" w:ascii="宋体" w:hAnsi="Times New Roman" w:eastAsia="宋体" w:cs="宋体"/>
                <w:kern w:val="0"/>
                <w:szCs w:val="21"/>
                <w:lang w:val="zh-CN"/>
              </w:rPr>
              <w:t>平时笔记</w:t>
            </w:r>
          </w:p>
        </w:tc>
        <w:tc>
          <w:tcPr>
            <w:tcW w:w="715"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hAnsi="Times New Roman" w:eastAsia="宋体" w:cs="宋体"/>
                <w:kern w:val="0"/>
                <w:sz w:val="22"/>
                <w:szCs w:val="22"/>
                <w:lang w:val="zh-CN"/>
              </w:rPr>
            </w:pPr>
            <w:r>
              <w:rPr>
                <w:rFonts w:hint="eastAsia" w:cs="Times New Roman"/>
                <w:kern w:val="0"/>
                <w:szCs w:val="21"/>
                <w:lang w:val="en-US" w:eastAsia="zh-CN"/>
              </w:rPr>
              <w:t>3</w:t>
            </w:r>
            <w:r>
              <w:rPr>
                <w:rFonts w:ascii="Times New Roman" w:hAnsi="Times New Roman" w:eastAsia="宋体" w:cs="Times New Roman"/>
                <w:kern w:val="0"/>
                <w:szCs w:val="21"/>
              </w:rPr>
              <w:t>0%</w:t>
            </w:r>
          </w:p>
        </w:tc>
        <w:tc>
          <w:tcPr>
            <w:tcW w:w="5982" w:type="dxa"/>
            <w:gridSpan w:val="2"/>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rPr>
                <w:rFonts w:ascii="宋体" w:hAnsi="Times New Roman" w:eastAsia="宋体" w:cs="宋体"/>
                <w:kern w:val="0"/>
                <w:sz w:val="22"/>
                <w:szCs w:val="22"/>
                <w:lang w:val="zh-CN"/>
              </w:rPr>
            </w:pPr>
            <w:r>
              <w:rPr>
                <w:rFonts w:hint="eastAsia" w:ascii="宋体" w:hAnsi="Times New Roman" w:eastAsia="宋体" w:cs="宋体"/>
                <w:kern w:val="0"/>
                <w:szCs w:val="21"/>
                <w:lang w:val="zh-CN"/>
              </w:rPr>
              <w:t>课后完成课堂笔记整理，主要检查学生对每节课知识点的理解和掌握程度，再按</w:t>
            </w:r>
            <w:r>
              <w:rPr>
                <w:rFonts w:hint="eastAsia" w:cs="Times New Roman"/>
                <w:kern w:val="0"/>
                <w:szCs w:val="21"/>
                <w:lang w:val="en-US" w:eastAsia="zh-CN"/>
              </w:rPr>
              <w:t>3</w:t>
            </w:r>
            <w:r>
              <w:rPr>
                <w:rFonts w:ascii="Times New Roman" w:hAnsi="Times New Roman" w:eastAsia="宋体" w:cs="Times New Roman"/>
                <w:kern w:val="0"/>
                <w:szCs w:val="21"/>
              </w:rPr>
              <w:t>0%</w:t>
            </w:r>
            <w:r>
              <w:rPr>
                <w:rFonts w:hint="eastAsia" w:ascii="宋体" w:hAnsi="Times New Roman" w:eastAsia="宋体" w:cs="宋体"/>
                <w:kern w:val="0"/>
                <w:szCs w:val="21"/>
                <w:lang w:val="zh-CN"/>
              </w:rPr>
              <w:t>计入总成绩。</w:t>
            </w:r>
          </w:p>
        </w:tc>
        <w:tc>
          <w:tcPr>
            <w:tcW w:w="1390" w:type="dxa"/>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hAnsi="Times New Roman" w:eastAsia="宋体" w:cs="宋体"/>
                <w:kern w:val="0"/>
                <w:sz w:val="22"/>
                <w:szCs w:val="22"/>
                <w:lang w:val="zh-CN"/>
              </w:rPr>
            </w:pPr>
            <w:r>
              <w:rPr>
                <w:rFonts w:hint="eastAsia" w:cs="Times New Roman"/>
                <w:color w:val="000000"/>
                <w:kern w:val="0"/>
                <w:szCs w:val="21"/>
                <w:lang w:val="en-US" w:eastAsia="zh-CN"/>
              </w:rPr>
              <w:t>3</w:t>
            </w:r>
            <w:r>
              <w:rPr>
                <w:rFonts w:ascii="Times New Roman" w:hAnsi="Times New Roman" w:eastAsia="宋体" w:cs="Times New Roman"/>
                <w:color w:val="000000"/>
                <w:kern w:val="0"/>
                <w:szCs w:val="21"/>
              </w:rPr>
              <w:t>0%</w:t>
            </w:r>
          </w:p>
        </w:tc>
      </w:tr>
      <w:tr>
        <w:tblPrEx>
          <w:tblCellMar>
            <w:top w:w="0" w:type="dxa"/>
            <w:left w:w="56" w:type="dxa"/>
            <w:bottom w:w="0" w:type="dxa"/>
            <w:right w:w="56" w:type="dxa"/>
          </w:tblCellMar>
        </w:tblPrEx>
        <w:trPr>
          <w:trHeight w:val="475" w:hRule="atLeast"/>
        </w:trPr>
        <w:tc>
          <w:tcPr>
            <w:tcW w:w="1043" w:type="dxa"/>
            <w:vMerge w:val="restart"/>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hAnsi="Times New Roman" w:eastAsia="宋体" w:cs="宋体"/>
                <w:kern w:val="0"/>
                <w:sz w:val="22"/>
                <w:szCs w:val="22"/>
                <w:lang w:val="zh-CN"/>
              </w:rPr>
            </w:pPr>
            <w:r>
              <w:rPr>
                <w:rFonts w:hint="eastAsia" w:ascii="宋体" w:hAnsi="Times New Roman" w:eastAsia="宋体" w:cs="宋体"/>
                <w:kern w:val="0"/>
                <w:szCs w:val="21"/>
                <w:lang w:val="zh-CN"/>
              </w:rPr>
              <w:t>期末试查</w:t>
            </w:r>
          </w:p>
        </w:tc>
        <w:tc>
          <w:tcPr>
            <w:tcW w:w="715" w:type="dxa"/>
            <w:vMerge w:val="restart"/>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hAnsi="Times New Roman" w:eastAsia="宋体" w:cs="宋体"/>
                <w:kern w:val="0"/>
                <w:sz w:val="22"/>
                <w:szCs w:val="22"/>
                <w:lang w:val="zh-CN"/>
              </w:rPr>
            </w:pPr>
            <w:r>
              <w:rPr>
                <w:rFonts w:hint="eastAsia" w:cs="Times New Roman"/>
                <w:kern w:val="0"/>
                <w:szCs w:val="21"/>
                <w:lang w:val="en-US" w:eastAsia="zh-CN"/>
              </w:rPr>
              <w:t>4</w:t>
            </w:r>
            <w:r>
              <w:rPr>
                <w:rFonts w:ascii="Times New Roman" w:hAnsi="Times New Roman" w:eastAsia="宋体" w:cs="Times New Roman"/>
                <w:kern w:val="0"/>
                <w:szCs w:val="21"/>
              </w:rPr>
              <w:t xml:space="preserve">0% </w:t>
            </w:r>
          </w:p>
        </w:tc>
        <w:tc>
          <w:tcPr>
            <w:tcW w:w="1560"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hAnsi="Times New Roman" w:eastAsia="宋体" w:cs="宋体"/>
                <w:kern w:val="0"/>
                <w:sz w:val="22"/>
                <w:szCs w:val="22"/>
                <w:lang w:val="zh-CN"/>
              </w:rPr>
            </w:pPr>
            <w:r>
              <w:rPr>
                <w:rFonts w:hint="eastAsia" w:ascii="宋体" w:hAnsi="Times New Roman" w:eastAsia="宋体" w:cs="宋体"/>
                <w:color w:val="000000"/>
                <w:kern w:val="0"/>
                <w:szCs w:val="21"/>
                <w:lang w:val="zh-CN"/>
              </w:rPr>
              <w:t>题型</w:t>
            </w:r>
          </w:p>
        </w:tc>
        <w:tc>
          <w:tcPr>
            <w:tcW w:w="4422"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hAnsi="Times New Roman" w:eastAsia="宋体" w:cs="宋体"/>
                <w:kern w:val="0"/>
                <w:sz w:val="22"/>
                <w:szCs w:val="22"/>
                <w:lang w:val="zh-CN"/>
              </w:rPr>
            </w:pPr>
            <w:r>
              <w:rPr>
                <w:rFonts w:hint="eastAsia" w:ascii="宋体" w:hAnsi="Times New Roman" w:eastAsia="宋体" w:cs="宋体"/>
                <w:color w:val="000000"/>
                <w:kern w:val="0"/>
                <w:szCs w:val="21"/>
                <w:lang w:val="zh-CN"/>
              </w:rPr>
              <w:t>考核内容</w:t>
            </w:r>
            <w:r>
              <w:rPr>
                <w:rFonts w:hint="eastAsia" w:ascii="宋体" w:hAnsi="Times New Roman" w:eastAsia="宋体" w:cs="宋体"/>
                <w:kern w:val="0"/>
                <w:szCs w:val="21"/>
                <w:lang w:val="zh-CN"/>
              </w:rPr>
              <w:t>与评价细则</w:t>
            </w:r>
          </w:p>
        </w:tc>
        <w:tc>
          <w:tcPr>
            <w:tcW w:w="1390" w:type="dxa"/>
            <w:tcBorders>
              <w:top w:val="single" w:color="000000" w:sz="2" w:space="0"/>
              <w:left w:val="single" w:color="000000" w:sz="2" w:space="0"/>
              <w:bottom w:val="single" w:color="000000" w:sz="2" w:space="0"/>
              <w:right w:val="single" w:color="000000" w:sz="2" w:space="0"/>
            </w:tcBorders>
            <w:shd w:val="clear" w:color="auto" w:fill="FFFFFF"/>
            <w:noWrap w:val="0"/>
            <w:vAlign w:val="top"/>
          </w:tcPr>
          <w:p>
            <w:pPr>
              <w:autoSpaceDE w:val="0"/>
              <w:autoSpaceDN w:val="0"/>
              <w:adjustRightInd w:val="0"/>
              <w:rPr>
                <w:rFonts w:ascii="宋体" w:hAnsi="Times New Roman" w:eastAsia="宋体" w:cs="宋体"/>
                <w:kern w:val="0"/>
                <w:sz w:val="22"/>
                <w:szCs w:val="22"/>
                <w:lang w:val="zh-CN"/>
              </w:rPr>
            </w:pPr>
          </w:p>
        </w:tc>
      </w:tr>
      <w:tr>
        <w:tblPrEx>
          <w:tblCellMar>
            <w:top w:w="0" w:type="dxa"/>
            <w:left w:w="56" w:type="dxa"/>
            <w:bottom w:w="0" w:type="dxa"/>
            <w:right w:w="56" w:type="dxa"/>
          </w:tblCellMar>
        </w:tblPrEx>
        <w:trPr>
          <w:trHeight w:val="942" w:hRule="atLeast"/>
        </w:trPr>
        <w:tc>
          <w:tcPr>
            <w:tcW w:w="1043" w:type="dxa"/>
            <w:vMerge w:val="continue"/>
            <w:tcBorders>
              <w:top w:val="single" w:color="000000" w:sz="2" w:space="0"/>
              <w:left w:val="single" w:color="000000" w:sz="2" w:space="0"/>
              <w:bottom w:val="single" w:color="auto" w:sz="4" w:space="0"/>
              <w:right w:val="single" w:color="000000" w:sz="2" w:space="0"/>
            </w:tcBorders>
            <w:shd w:val="clear" w:color="000000" w:fill="FFFFFF"/>
            <w:noWrap w:val="0"/>
            <w:vAlign w:val="center"/>
          </w:tcPr>
          <w:p>
            <w:pPr>
              <w:autoSpaceDE w:val="0"/>
              <w:autoSpaceDN w:val="0"/>
              <w:adjustRightInd w:val="0"/>
              <w:spacing w:after="200" w:line="276" w:lineRule="auto"/>
              <w:jc w:val="left"/>
              <w:rPr>
                <w:rFonts w:ascii="宋体" w:hAnsi="Times New Roman" w:eastAsia="宋体" w:cs="宋体"/>
                <w:kern w:val="0"/>
                <w:sz w:val="22"/>
                <w:szCs w:val="22"/>
                <w:lang w:val="zh-CN"/>
              </w:rPr>
            </w:pPr>
          </w:p>
        </w:tc>
        <w:tc>
          <w:tcPr>
            <w:tcW w:w="715" w:type="dxa"/>
            <w:vMerge w:val="continue"/>
            <w:tcBorders>
              <w:top w:val="single" w:color="000000" w:sz="2" w:space="0"/>
              <w:left w:val="single" w:color="000000" w:sz="2" w:space="0"/>
              <w:bottom w:val="single" w:color="auto" w:sz="4" w:space="0"/>
              <w:right w:val="single" w:color="000000" w:sz="2" w:space="0"/>
            </w:tcBorders>
            <w:shd w:val="clear" w:color="000000" w:fill="FFFFFF"/>
            <w:noWrap w:val="0"/>
            <w:vAlign w:val="center"/>
          </w:tcPr>
          <w:p>
            <w:pPr>
              <w:autoSpaceDE w:val="0"/>
              <w:autoSpaceDN w:val="0"/>
              <w:adjustRightInd w:val="0"/>
              <w:spacing w:after="200" w:line="276" w:lineRule="auto"/>
              <w:jc w:val="left"/>
              <w:rPr>
                <w:rFonts w:ascii="宋体" w:hAnsi="Times New Roman" w:eastAsia="宋体" w:cs="宋体"/>
                <w:kern w:val="0"/>
                <w:sz w:val="22"/>
                <w:szCs w:val="22"/>
                <w:lang w:val="zh-CN"/>
              </w:rPr>
            </w:pPr>
          </w:p>
        </w:tc>
        <w:tc>
          <w:tcPr>
            <w:tcW w:w="1560" w:type="dxa"/>
            <w:tcBorders>
              <w:top w:val="single" w:color="000000" w:sz="2" w:space="0"/>
              <w:left w:val="single" w:color="000000" w:sz="2" w:space="0"/>
              <w:bottom w:val="single" w:color="auto" w:sz="4" w:space="0"/>
              <w:right w:val="single" w:color="000000" w:sz="2" w:space="0"/>
            </w:tcBorders>
            <w:shd w:val="clear" w:color="000000" w:fill="FFFFFF"/>
            <w:noWrap w:val="0"/>
            <w:vAlign w:val="center"/>
          </w:tcPr>
          <w:p>
            <w:pPr>
              <w:autoSpaceDE w:val="0"/>
              <w:autoSpaceDN w:val="0"/>
              <w:adjustRightInd w:val="0"/>
              <w:jc w:val="center"/>
              <w:rPr>
                <w:rFonts w:ascii="宋体" w:hAnsi="Times New Roman" w:eastAsia="宋体" w:cs="宋体"/>
                <w:kern w:val="0"/>
                <w:sz w:val="22"/>
                <w:szCs w:val="22"/>
                <w:lang w:val="zh-CN"/>
              </w:rPr>
            </w:pPr>
            <w:r>
              <w:rPr>
                <w:rFonts w:ascii="Times New Roman" w:hAnsi="Times New Roman" w:eastAsia="宋体" w:cs="Times New Roman"/>
                <w:kern w:val="0"/>
                <w:szCs w:val="21"/>
              </w:rPr>
              <w:t>PPT</w:t>
            </w:r>
            <w:r>
              <w:rPr>
                <w:rFonts w:hint="eastAsia" w:ascii="宋体" w:hAnsi="Times New Roman" w:eastAsia="宋体" w:cs="宋体"/>
                <w:kern w:val="0"/>
                <w:szCs w:val="21"/>
                <w:lang w:val="zh-CN"/>
              </w:rPr>
              <w:t>制作及交流</w:t>
            </w:r>
          </w:p>
        </w:tc>
        <w:tc>
          <w:tcPr>
            <w:tcW w:w="4422" w:type="dxa"/>
            <w:tcBorders>
              <w:top w:val="single" w:color="000000" w:sz="2" w:space="0"/>
              <w:left w:val="single" w:color="000000" w:sz="2" w:space="0"/>
              <w:bottom w:val="single" w:color="auto" w:sz="4" w:space="0"/>
              <w:right w:val="single" w:color="000000" w:sz="2" w:space="0"/>
            </w:tcBorders>
            <w:shd w:val="clear" w:color="000000" w:fill="FFFFFF"/>
            <w:noWrap w:val="0"/>
            <w:vAlign w:val="center"/>
          </w:tcPr>
          <w:p>
            <w:pPr>
              <w:autoSpaceDE w:val="0"/>
              <w:autoSpaceDN w:val="0"/>
              <w:adjustRightInd w:val="0"/>
              <w:rPr>
                <w:rFonts w:ascii="宋体" w:hAnsi="Times New Roman" w:eastAsia="宋体" w:cs="宋体"/>
                <w:kern w:val="0"/>
                <w:sz w:val="22"/>
                <w:szCs w:val="22"/>
                <w:lang w:val="zh-CN"/>
              </w:rPr>
            </w:pPr>
            <w:r>
              <w:rPr>
                <w:rFonts w:hint="eastAsia" w:ascii="宋体" w:hAnsi="Times New Roman" w:eastAsia="宋体" w:cs="宋体"/>
                <w:color w:val="000000"/>
                <w:kern w:val="0"/>
                <w:szCs w:val="21"/>
                <w:lang w:val="zh-CN"/>
              </w:rPr>
              <w:t>以内容的完整性、规范性、合理性、美观性、用时等进行评分并计入课程总成绩。</w:t>
            </w:r>
          </w:p>
        </w:tc>
        <w:tc>
          <w:tcPr>
            <w:tcW w:w="1390" w:type="dxa"/>
            <w:tcBorders>
              <w:top w:val="single" w:color="000000" w:sz="2" w:space="0"/>
              <w:left w:val="single" w:color="000000" w:sz="2" w:space="0"/>
              <w:bottom w:val="single" w:color="auto" w:sz="4" w:space="0"/>
              <w:right w:val="single" w:color="000000" w:sz="2" w:space="0"/>
            </w:tcBorders>
            <w:shd w:val="clear" w:color="auto" w:fill="FFFFFF"/>
            <w:noWrap w:val="0"/>
            <w:vAlign w:val="center"/>
          </w:tcPr>
          <w:p>
            <w:pPr>
              <w:autoSpaceDE w:val="0"/>
              <w:autoSpaceDN w:val="0"/>
              <w:adjustRightInd w:val="0"/>
              <w:jc w:val="center"/>
              <w:rPr>
                <w:rFonts w:hint="default" w:ascii="宋体" w:hAnsi="Times New Roman" w:eastAsia="宋体" w:cs="宋体"/>
                <w:kern w:val="0"/>
                <w:sz w:val="22"/>
                <w:szCs w:val="22"/>
                <w:lang w:val="en-US" w:eastAsia="zh-CN"/>
              </w:rPr>
            </w:pPr>
            <w:r>
              <w:rPr>
                <w:rFonts w:hint="eastAsia" w:cs="Times New Roman"/>
                <w:kern w:val="0"/>
                <w:szCs w:val="21"/>
                <w:lang w:val="en-US" w:eastAsia="zh-CN"/>
              </w:rPr>
              <w:t>40%</w:t>
            </w:r>
          </w:p>
        </w:tc>
      </w:tr>
      <w:tr>
        <w:tblPrEx>
          <w:tblCellMar>
            <w:top w:w="0" w:type="dxa"/>
            <w:left w:w="56" w:type="dxa"/>
            <w:bottom w:w="0" w:type="dxa"/>
            <w:right w:w="56" w:type="dxa"/>
          </w:tblCellMar>
        </w:tblPrEx>
        <w:trPr>
          <w:trHeight w:val="428" w:hRule="atLeast"/>
        </w:trPr>
        <w:tc>
          <w:tcPr>
            <w:tcW w:w="1043" w:type="dxa"/>
            <w:tcBorders>
              <w:top w:val="single" w:color="auto" w:sz="4"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hAnsi="Times New Roman" w:eastAsia="宋体" w:cs="宋体"/>
                <w:kern w:val="0"/>
                <w:sz w:val="22"/>
                <w:szCs w:val="22"/>
                <w:lang w:val="zh-CN"/>
              </w:rPr>
            </w:pPr>
            <w:r>
              <w:rPr>
                <w:rFonts w:hint="eastAsia" w:ascii="宋体" w:hAnsi="Times New Roman" w:eastAsia="宋体" w:cs="宋体"/>
                <w:kern w:val="0"/>
                <w:szCs w:val="21"/>
                <w:lang w:val="zh-CN"/>
              </w:rPr>
              <w:t>合</w:t>
            </w:r>
            <w:r>
              <w:rPr>
                <w:rFonts w:ascii="Times New Roman" w:hAnsi="Times New Roman" w:eastAsia="宋体" w:cs="Times New Roman"/>
                <w:kern w:val="0"/>
                <w:szCs w:val="21"/>
              </w:rPr>
              <w:t xml:space="preserve">    </w:t>
            </w:r>
            <w:r>
              <w:rPr>
                <w:rFonts w:hint="eastAsia" w:ascii="宋体" w:hAnsi="Times New Roman" w:eastAsia="宋体" w:cs="宋体"/>
                <w:kern w:val="0"/>
                <w:szCs w:val="21"/>
                <w:lang w:val="zh-CN"/>
              </w:rPr>
              <w:t>计</w:t>
            </w:r>
          </w:p>
        </w:tc>
        <w:tc>
          <w:tcPr>
            <w:tcW w:w="715" w:type="dxa"/>
            <w:tcBorders>
              <w:top w:val="single" w:color="auto" w:sz="4"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hAnsi="Times New Roman" w:eastAsia="宋体" w:cs="宋体"/>
                <w:kern w:val="0"/>
                <w:sz w:val="22"/>
                <w:szCs w:val="22"/>
                <w:lang w:val="zh-CN"/>
              </w:rPr>
            </w:pPr>
            <w:r>
              <w:rPr>
                <w:rFonts w:ascii="Times New Roman" w:hAnsi="Times New Roman" w:eastAsia="宋体" w:cs="Times New Roman"/>
                <w:kern w:val="0"/>
                <w:szCs w:val="21"/>
              </w:rPr>
              <w:t>100%</w:t>
            </w:r>
          </w:p>
        </w:tc>
        <w:tc>
          <w:tcPr>
            <w:tcW w:w="5982" w:type="dxa"/>
            <w:gridSpan w:val="2"/>
            <w:tcBorders>
              <w:top w:val="single" w:color="auto" w:sz="4"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rPr>
                <w:rFonts w:ascii="宋体" w:hAnsi="Times New Roman" w:eastAsia="宋体" w:cs="宋体"/>
                <w:kern w:val="0"/>
                <w:sz w:val="22"/>
                <w:szCs w:val="22"/>
                <w:lang w:val="zh-CN"/>
              </w:rPr>
            </w:pPr>
          </w:p>
        </w:tc>
        <w:tc>
          <w:tcPr>
            <w:tcW w:w="1390" w:type="dxa"/>
            <w:tcBorders>
              <w:top w:val="single" w:color="auto" w:sz="4"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hint="default" w:ascii="宋体" w:hAnsi="Times New Roman" w:eastAsia="宋体" w:cs="宋体"/>
                <w:kern w:val="0"/>
                <w:sz w:val="22"/>
                <w:szCs w:val="22"/>
                <w:lang w:val="en-US" w:eastAsia="zh-CN"/>
              </w:rPr>
            </w:pPr>
            <w:r>
              <w:rPr>
                <w:rFonts w:hint="eastAsia" w:cs="Times New Roman"/>
                <w:color w:val="000000"/>
                <w:kern w:val="0"/>
                <w:szCs w:val="21"/>
                <w:lang w:val="en-US" w:eastAsia="zh-CN"/>
              </w:rPr>
              <w:t>100%</w:t>
            </w:r>
          </w:p>
        </w:tc>
      </w:tr>
    </w:tbl>
    <w:p>
      <w:pPr>
        <w:autoSpaceDE w:val="0"/>
        <w:autoSpaceDN w:val="0"/>
        <w:adjustRightInd w:val="0"/>
        <w:spacing w:line="360" w:lineRule="auto"/>
        <w:rPr>
          <w:rFonts w:ascii="Times New Roman" w:hAnsi="Times New Roman" w:eastAsia="宋体" w:cs="Times New Roman"/>
          <w:kern w:val="0"/>
          <w:sz w:val="24"/>
        </w:rPr>
      </w:pPr>
      <w:r>
        <w:rPr>
          <w:rFonts w:hint="eastAsia" w:ascii="宋体" w:hAnsi="Times New Roman" w:eastAsia="宋体" w:cs="宋体"/>
          <w:kern w:val="0"/>
          <w:sz w:val="24"/>
          <w:lang w:val="zh-CN"/>
        </w:rPr>
        <w:t>备注：</w:t>
      </w:r>
      <w:r>
        <w:rPr>
          <w:rFonts w:ascii="Times New Roman" w:hAnsi="Times New Roman" w:eastAsia="宋体" w:cs="Times New Roman"/>
          <w:kern w:val="0"/>
          <w:sz w:val="24"/>
        </w:rPr>
        <w:t xml:space="preserve">1. </w:t>
      </w:r>
      <w:r>
        <w:rPr>
          <w:rFonts w:hint="eastAsia" w:ascii="宋体" w:hAnsi="Times New Roman" w:eastAsia="宋体" w:cs="宋体"/>
          <w:kern w:val="0"/>
          <w:sz w:val="24"/>
          <w:lang w:val="zh-CN"/>
        </w:rPr>
        <w:t>课程目标达成度计算方法如下：</w:t>
      </w:r>
    </w:p>
    <w:p>
      <w:pPr>
        <w:autoSpaceDE w:val="0"/>
        <w:autoSpaceDN w:val="0"/>
        <w:adjustRightInd w:val="0"/>
        <w:spacing w:line="360" w:lineRule="auto"/>
        <w:jc w:val="center"/>
        <w:rPr>
          <w:rFonts w:ascii="Times New Roman" w:hAnsi="Times New Roman" w:eastAsia="宋体" w:cs="Times New Roman"/>
          <w:kern w:val="0"/>
          <w:sz w:val="24"/>
        </w:rPr>
      </w:pPr>
      <w:r>
        <w:rPr>
          <w:rFonts w:ascii="宋体" w:hAnsi="Times New Roman" w:eastAsia="宋体" w:cs="宋体"/>
          <w:kern w:val="0"/>
          <w:sz w:val="22"/>
          <w:szCs w:val="22"/>
          <w:lang w:val="zh-CN"/>
        </w:rPr>
        <w:drawing>
          <wp:inline distT="0" distB="0" distL="114300" distR="114300">
            <wp:extent cx="4333240" cy="411480"/>
            <wp:effectExtent l="0" t="0" r="10160" b="762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7"/>
                    <a:stretch>
                      <a:fillRect/>
                    </a:stretch>
                  </pic:blipFill>
                  <pic:spPr>
                    <a:xfrm>
                      <a:off x="0" y="0"/>
                      <a:ext cx="4333240" cy="411480"/>
                    </a:xfrm>
                    <a:prstGeom prst="rect">
                      <a:avLst/>
                    </a:prstGeom>
                    <a:noFill/>
                    <a:ln>
                      <a:noFill/>
                    </a:ln>
                  </pic:spPr>
                </pic:pic>
              </a:graphicData>
            </a:graphic>
          </wp:inline>
        </w:drawing>
      </w:r>
    </w:p>
    <w:p>
      <w:pPr>
        <w:autoSpaceDE w:val="0"/>
        <w:autoSpaceDN w:val="0"/>
        <w:adjustRightInd w:val="0"/>
        <w:spacing w:line="360" w:lineRule="auto"/>
        <w:ind w:firstLine="720"/>
        <w:rPr>
          <w:rFonts w:ascii="Times New Roman" w:hAnsi="Times New Roman" w:eastAsia="宋体" w:cs="Times New Roman"/>
          <w:kern w:val="0"/>
          <w:sz w:val="24"/>
        </w:rPr>
      </w:pPr>
      <w:r>
        <w:rPr>
          <w:rFonts w:ascii="Times New Roman" w:hAnsi="Times New Roman" w:eastAsia="宋体" w:cs="Times New Roman"/>
          <w:kern w:val="0"/>
          <w:sz w:val="24"/>
        </w:rPr>
        <w:t xml:space="preserve">2. </w:t>
      </w:r>
      <w:r>
        <w:rPr>
          <w:rFonts w:hint="eastAsia" w:ascii="宋体" w:hAnsi="Times New Roman" w:eastAsia="宋体" w:cs="宋体"/>
          <w:kern w:val="0"/>
          <w:sz w:val="24"/>
          <w:lang w:val="zh-CN"/>
        </w:rPr>
        <w:t>作业包括调研报告、课程论文。</w:t>
      </w:r>
    </w:p>
    <w:p>
      <w:pPr>
        <w:autoSpaceDE w:val="0"/>
        <w:autoSpaceDN w:val="0"/>
        <w:adjustRightInd w:val="0"/>
        <w:spacing w:line="360" w:lineRule="auto"/>
        <w:rPr>
          <w:rFonts w:ascii="Times New Roman" w:hAnsi="Times New Roman" w:eastAsia="宋体" w:cs="Times New Roman"/>
          <w:b/>
          <w:bCs/>
          <w:kern w:val="0"/>
          <w:sz w:val="28"/>
          <w:szCs w:val="28"/>
        </w:rPr>
      </w:pPr>
      <w:r>
        <w:rPr>
          <w:rFonts w:hint="eastAsia" w:ascii="宋体" w:hAnsi="Times New Roman" w:eastAsia="宋体" w:cs="宋体"/>
          <w:b/>
          <w:bCs/>
          <w:kern w:val="0"/>
          <w:sz w:val="28"/>
          <w:szCs w:val="28"/>
          <w:lang w:val="zh-CN"/>
        </w:rPr>
        <w:t>六、有关说明</w:t>
      </w:r>
    </w:p>
    <w:p>
      <w:pPr>
        <w:autoSpaceDE w:val="0"/>
        <w:autoSpaceDN w:val="0"/>
        <w:adjustRightInd w:val="0"/>
        <w:spacing w:line="360" w:lineRule="auto"/>
        <w:ind w:firstLine="482"/>
        <w:rPr>
          <w:rFonts w:ascii="Times New Roman" w:hAnsi="Times New Roman" w:eastAsia="宋体" w:cs="Times New Roman"/>
          <w:b/>
          <w:bCs/>
          <w:color w:val="000000"/>
          <w:kern w:val="0"/>
          <w:sz w:val="24"/>
        </w:rPr>
      </w:pPr>
      <w:r>
        <w:rPr>
          <w:rFonts w:hint="eastAsia" w:ascii="宋体" w:hAnsi="Times New Roman" w:eastAsia="宋体" w:cs="宋体"/>
          <w:b/>
          <w:bCs/>
          <w:color w:val="000000"/>
          <w:kern w:val="0"/>
          <w:sz w:val="24"/>
          <w:lang w:val="zh-CN"/>
        </w:rPr>
        <w:t>（一）持续改进</w:t>
      </w:r>
    </w:p>
    <w:p>
      <w:pPr>
        <w:autoSpaceDE w:val="0"/>
        <w:autoSpaceDN w:val="0"/>
        <w:adjustRightInd w:val="0"/>
        <w:spacing w:line="360" w:lineRule="auto"/>
        <w:ind w:firstLine="480"/>
        <w:rPr>
          <w:rFonts w:ascii="Times New Roman" w:hAnsi="Times New Roman" w:eastAsia="宋体" w:cs="Times New Roman"/>
          <w:kern w:val="0"/>
          <w:sz w:val="24"/>
        </w:rPr>
      </w:pPr>
      <w:r>
        <w:rPr>
          <w:rFonts w:hint="eastAsia" w:ascii="宋体" w:hAnsi="Times New Roman" w:eastAsia="宋体" w:cs="宋体"/>
          <w:kern w:val="0"/>
          <w:sz w:val="24"/>
          <w:lang w:val="zh-CN"/>
        </w:rPr>
        <w:t>本课程根据学生作业、课堂讨论、平时考核情况和学生、教学督导等的反馈，及时对教学中的不足之处进行改进，并在下一轮课程教学中整改完善，确保相应毕业要求指标点达成。</w:t>
      </w:r>
    </w:p>
    <w:p>
      <w:pPr>
        <w:autoSpaceDE w:val="0"/>
        <w:autoSpaceDN w:val="0"/>
        <w:adjustRightInd w:val="0"/>
        <w:spacing w:line="360" w:lineRule="auto"/>
        <w:ind w:firstLine="482"/>
        <w:rPr>
          <w:rFonts w:ascii="Times New Roman" w:hAnsi="Times New Roman" w:eastAsia="宋体" w:cs="Times New Roman"/>
          <w:b/>
          <w:bCs/>
          <w:color w:val="000000"/>
          <w:kern w:val="0"/>
          <w:sz w:val="24"/>
        </w:rPr>
      </w:pPr>
      <w:r>
        <w:rPr>
          <w:rFonts w:hint="eastAsia" w:ascii="宋体" w:hAnsi="Times New Roman" w:eastAsia="宋体" w:cs="宋体"/>
          <w:b/>
          <w:bCs/>
          <w:color w:val="000000"/>
          <w:kern w:val="0"/>
          <w:sz w:val="24"/>
          <w:lang w:val="zh-CN"/>
        </w:rPr>
        <w:t>（二）参考书目及学习资料</w:t>
      </w:r>
    </w:p>
    <w:p>
      <w:pPr>
        <w:autoSpaceDE w:val="0"/>
        <w:autoSpaceDN w:val="0"/>
        <w:adjustRightInd w:val="0"/>
        <w:spacing w:line="360" w:lineRule="auto"/>
        <w:ind w:firstLine="480"/>
        <w:rPr>
          <w:rFonts w:ascii="Times New Roman" w:hAnsi="Times New Roman" w:eastAsia="宋体" w:cs="Times New Roman"/>
          <w:kern w:val="0"/>
          <w:sz w:val="24"/>
        </w:rPr>
      </w:pPr>
      <w:r>
        <w:rPr>
          <w:rFonts w:ascii="Times New Roman" w:hAnsi="Times New Roman" w:eastAsia="宋体" w:cs="Times New Roman"/>
          <w:kern w:val="0"/>
          <w:sz w:val="24"/>
        </w:rPr>
        <w:t xml:space="preserve">[1] </w:t>
      </w:r>
      <w:r>
        <w:rPr>
          <w:rFonts w:hint="eastAsia" w:ascii="宋体" w:hAnsi="Times New Roman" w:eastAsia="宋体" w:cs="宋体"/>
          <w:kern w:val="0"/>
          <w:sz w:val="24"/>
          <w:lang w:val="zh-CN"/>
        </w:rPr>
        <w:t>常州工学院</w:t>
      </w:r>
      <w:r>
        <w:rPr>
          <w:rFonts w:ascii="Times New Roman" w:hAnsi="Times New Roman" w:eastAsia="宋体" w:cs="Times New Roman"/>
          <w:kern w:val="0"/>
          <w:sz w:val="24"/>
        </w:rPr>
        <w:t xml:space="preserve"> </w:t>
      </w:r>
      <w:r>
        <w:rPr>
          <w:rFonts w:hint="eastAsia" w:ascii="宋体" w:hAnsi="Times New Roman" w:eastAsia="宋体" w:cs="宋体"/>
          <w:kern w:val="0"/>
          <w:sz w:val="24"/>
          <w:lang w:val="zh-CN"/>
        </w:rPr>
        <w:t>，《学生手册》，</w:t>
      </w:r>
      <w:r>
        <w:rPr>
          <w:rFonts w:ascii="Times New Roman" w:hAnsi="Times New Roman" w:eastAsia="宋体" w:cs="Times New Roman"/>
          <w:kern w:val="0"/>
          <w:sz w:val="24"/>
        </w:rPr>
        <w:t>2020</w:t>
      </w:r>
    </w:p>
    <w:p>
      <w:pPr>
        <w:autoSpaceDE w:val="0"/>
        <w:autoSpaceDN w:val="0"/>
        <w:adjustRightInd w:val="0"/>
        <w:spacing w:line="360" w:lineRule="auto"/>
        <w:ind w:firstLine="480"/>
        <w:rPr>
          <w:rFonts w:ascii="Times New Roman" w:hAnsi="Times New Roman" w:eastAsia="宋体" w:cs="Times New Roman"/>
          <w:kern w:val="0"/>
          <w:sz w:val="24"/>
        </w:rPr>
      </w:pPr>
      <w:r>
        <w:rPr>
          <w:rFonts w:ascii="Times New Roman" w:hAnsi="Times New Roman" w:eastAsia="宋体" w:cs="Times New Roman"/>
          <w:kern w:val="0"/>
          <w:sz w:val="24"/>
        </w:rPr>
        <w:t xml:space="preserve">[2] </w:t>
      </w:r>
      <w:r>
        <w:rPr>
          <w:rFonts w:hint="eastAsia" w:ascii="宋体" w:hAnsi="Times New Roman" w:eastAsia="宋体" w:cs="宋体"/>
          <w:kern w:val="0"/>
          <w:sz w:val="24"/>
          <w:lang w:val="zh-CN"/>
        </w:rPr>
        <w:t>常州工学院</w:t>
      </w:r>
      <w:r>
        <w:rPr>
          <w:rFonts w:ascii="Times New Roman" w:hAnsi="Times New Roman" w:eastAsia="宋体" w:cs="Times New Roman"/>
          <w:kern w:val="0"/>
          <w:sz w:val="24"/>
        </w:rPr>
        <w:t xml:space="preserve"> </w:t>
      </w:r>
      <w:r>
        <w:rPr>
          <w:rFonts w:hint="eastAsia" w:ascii="宋体" w:hAnsi="Times New Roman" w:eastAsia="宋体" w:cs="宋体"/>
          <w:kern w:val="0"/>
          <w:sz w:val="24"/>
          <w:lang w:val="zh-CN"/>
        </w:rPr>
        <w:t>，《</w:t>
      </w:r>
      <w:r>
        <w:rPr>
          <w:rFonts w:ascii="Times New Roman" w:hAnsi="Times New Roman" w:eastAsia="宋体" w:cs="Times New Roman"/>
          <w:kern w:val="0"/>
          <w:sz w:val="24"/>
        </w:rPr>
        <w:t>202</w:t>
      </w:r>
      <w:r>
        <w:rPr>
          <w:rFonts w:hint="eastAsia" w:cs="Times New Roman"/>
          <w:kern w:val="0"/>
          <w:sz w:val="24"/>
          <w:lang w:val="en-US" w:eastAsia="zh-CN"/>
        </w:rPr>
        <w:t>1</w:t>
      </w:r>
      <w:r>
        <w:rPr>
          <w:rFonts w:hint="eastAsia" w:ascii="宋体" w:hAnsi="Times New Roman" w:eastAsia="宋体" w:cs="宋体"/>
          <w:kern w:val="0"/>
          <w:sz w:val="24"/>
          <w:lang w:val="zh-CN"/>
        </w:rPr>
        <w:t>级本科生学业指导手册》，</w:t>
      </w:r>
      <w:r>
        <w:rPr>
          <w:rFonts w:ascii="Times New Roman" w:hAnsi="Times New Roman" w:eastAsia="宋体" w:cs="Times New Roman"/>
          <w:kern w:val="0"/>
          <w:sz w:val="24"/>
        </w:rPr>
        <w:t>2020</w:t>
      </w:r>
    </w:p>
    <w:p>
      <w:pPr>
        <w:autoSpaceDE w:val="0"/>
        <w:autoSpaceDN w:val="0"/>
        <w:adjustRightInd w:val="0"/>
        <w:spacing w:line="360" w:lineRule="auto"/>
        <w:ind w:right="480"/>
        <w:jc w:val="right"/>
        <w:rPr>
          <w:rFonts w:ascii="Times New Roman" w:hAnsi="Times New Roman" w:eastAsia="宋体" w:cs="Times New Roman"/>
          <w:kern w:val="0"/>
          <w:sz w:val="24"/>
        </w:rPr>
      </w:pPr>
      <w:r>
        <w:rPr>
          <w:rFonts w:hint="eastAsia" w:ascii="宋体" w:hAnsi="Times New Roman" w:eastAsia="宋体" w:cs="宋体"/>
          <w:kern w:val="0"/>
          <w:sz w:val="24"/>
          <w:lang w:val="zh-CN"/>
        </w:rPr>
        <w:t>执笔人：</w:t>
      </w:r>
      <w:r>
        <w:rPr>
          <w:rFonts w:hint="eastAsia" w:ascii="宋体" w:cs="宋体"/>
          <w:kern w:val="0"/>
          <w:sz w:val="24"/>
          <w:lang w:val="zh-CN"/>
        </w:rPr>
        <w:t>魏雪姣</w:t>
      </w:r>
    </w:p>
    <w:p>
      <w:pPr>
        <w:autoSpaceDE w:val="0"/>
        <w:autoSpaceDN w:val="0"/>
        <w:adjustRightInd w:val="0"/>
        <w:spacing w:line="360" w:lineRule="auto"/>
        <w:ind w:right="480"/>
        <w:jc w:val="right"/>
        <w:rPr>
          <w:rFonts w:ascii="Times New Roman" w:hAnsi="Times New Roman" w:eastAsia="宋体" w:cs="Times New Roman"/>
          <w:kern w:val="0"/>
          <w:sz w:val="24"/>
        </w:rPr>
      </w:pPr>
      <w:r>
        <w:rPr>
          <w:rFonts w:hint="eastAsia" w:ascii="宋体" w:hAnsi="Times New Roman" w:eastAsia="宋体" w:cs="宋体"/>
          <w:kern w:val="0"/>
          <w:sz w:val="24"/>
          <w:lang w:val="zh-CN"/>
        </w:rPr>
        <w:t>审定人：魏雪姣</w:t>
      </w:r>
    </w:p>
    <w:p>
      <w:pPr>
        <w:autoSpaceDE w:val="0"/>
        <w:autoSpaceDN w:val="0"/>
        <w:adjustRightInd w:val="0"/>
        <w:spacing w:line="360" w:lineRule="auto"/>
        <w:ind w:right="480"/>
        <w:jc w:val="right"/>
        <w:rPr>
          <w:rFonts w:ascii="Times New Roman" w:hAnsi="Times New Roman" w:eastAsia="宋体" w:cs="Times New Roman"/>
          <w:kern w:val="0"/>
          <w:sz w:val="24"/>
        </w:rPr>
      </w:pPr>
      <w:r>
        <w:rPr>
          <w:rFonts w:hint="eastAsia" w:ascii="宋体" w:hAnsi="Times New Roman" w:eastAsia="宋体" w:cs="宋体"/>
          <w:kern w:val="0"/>
          <w:sz w:val="24"/>
          <w:lang w:val="zh-CN"/>
        </w:rPr>
        <w:t>审批人：吴泽颖</w:t>
      </w:r>
    </w:p>
    <w:p>
      <w:pPr>
        <w:autoSpaceDE w:val="0"/>
        <w:autoSpaceDN w:val="0"/>
        <w:adjustRightInd w:val="0"/>
        <w:spacing w:line="360" w:lineRule="auto"/>
        <w:ind w:right="480"/>
        <w:jc w:val="right"/>
        <w:rPr>
          <w:rFonts w:hint="eastAsia" w:ascii="宋体" w:hAnsi="Times New Roman" w:eastAsia="宋体" w:cs="宋体"/>
          <w:kern w:val="0"/>
          <w:sz w:val="24"/>
          <w:lang w:val="zh-CN"/>
        </w:rPr>
      </w:pPr>
      <w:r>
        <w:rPr>
          <w:rFonts w:ascii="Times New Roman" w:hAnsi="Times New Roman" w:eastAsia="宋体" w:cs="Times New Roman"/>
          <w:kern w:val="0"/>
          <w:sz w:val="24"/>
        </w:rPr>
        <w:t>202</w:t>
      </w:r>
      <w:r>
        <w:rPr>
          <w:rFonts w:hint="eastAsia" w:cs="Times New Roman"/>
          <w:kern w:val="0"/>
          <w:sz w:val="24"/>
          <w:lang w:val="en-US" w:eastAsia="zh-CN"/>
        </w:rPr>
        <w:t>1</w:t>
      </w:r>
      <w:r>
        <w:rPr>
          <w:rFonts w:hint="eastAsia" w:ascii="宋体" w:hAnsi="Times New Roman" w:eastAsia="宋体" w:cs="宋体"/>
          <w:kern w:val="0"/>
          <w:sz w:val="24"/>
          <w:lang w:val="zh-CN"/>
        </w:rPr>
        <w:t>年</w:t>
      </w:r>
      <w:r>
        <w:rPr>
          <w:rFonts w:ascii="Times New Roman" w:hAnsi="Times New Roman" w:eastAsia="宋体" w:cs="Times New Roman"/>
          <w:kern w:val="0"/>
          <w:sz w:val="24"/>
        </w:rPr>
        <w:t>8</w:t>
      </w:r>
      <w:r>
        <w:rPr>
          <w:rFonts w:hint="eastAsia" w:ascii="宋体" w:hAnsi="Times New Roman" w:eastAsia="宋体" w:cs="宋体"/>
          <w:kern w:val="0"/>
          <w:sz w:val="24"/>
          <w:lang w:val="zh-CN"/>
        </w:rPr>
        <w:t>月</w:t>
      </w:r>
      <w:r>
        <w:rPr>
          <w:rFonts w:ascii="Times New Roman" w:hAnsi="Times New Roman" w:eastAsia="宋体" w:cs="Times New Roman"/>
          <w:kern w:val="0"/>
          <w:sz w:val="24"/>
        </w:rPr>
        <w:t>20</w:t>
      </w:r>
      <w:r>
        <w:rPr>
          <w:rFonts w:hint="eastAsia" w:ascii="宋体" w:hAnsi="Times New Roman" w:eastAsia="宋体" w:cs="宋体"/>
          <w:kern w:val="0"/>
          <w:sz w:val="24"/>
          <w:lang w:val="zh-CN"/>
        </w:rPr>
        <w:t>日</w:t>
      </w:r>
    </w:p>
    <w:p/>
    <w:p>
      <w:pPr>
        <w:spacing w:line="312" w:lineRule="auto"/>
        <w:jc w:val="center"/>
        <w:rPr>
          <w:rFonts w:hint="eastAsia" w:cs="宋体"/>
          <w:b/>
          <w:bCs/>
          <w:sz w:val="30"/>
          <w:szCs w:val="30"/>
        </w:rPr>
      </w:pPr>
    </w:p>
    <w:p>
      <w:pPr>
        <w:spacing w:line="312" w:lineRule="auto"/>
        <w:jc w:val="center"/>
        <w:rPr>
          <w:rFonts w:hint="eastAsia" w:cs="宋体"/>
          <w:b/>
          <w:bCs/>
          <w:sz w:val="30"/>
          <w:szCs w:val="30"/>
        </w:rPr>
      </w:pPr>
    </w:p>
    <w:p>
      <w:pPr>
        <w:spacing w:line="312" w:lineRule="auto"/>
        <w:jc w:val="center"/>
        <w:rPr>
          <w:rFonts w:hint="eastAsia" w:cs="宋体"/>
          <w:b/>
          <w:bCs/>
          <w:sz w:val="30"/>
          <w:szCs w:val="30"/>
        </w:rPr>
      </w:pPr>
    </w:p>
    <w:p>
      <w:pPr>
        <w:spacing w:line="312" w:lineRule="auto"/>
        <w:jc w:val="center"/>
        <w:rPr>
          <w:rFonts w:hint="eastAsia" w:cs="宋体"/>
          <w:b/>
          <w:bCs/>
          <w:sz w:val="30"/>
          <w:szCs w:val="30"/>
        </w:rPr>
      </w:pPr>
    </w:p>
    <w:p>
      <w:pPr>
        <w:spacing w:line="312" w:lineRule="auto"/>
        <w:jc w:val="center"/>
        <w:rPr>
          <w:rFonts w:hint="eastAsia" w:cs="宋体"/>
          <w:b/>
          <w:bCs/>
          <w:sz w:val="30"/>
          <w:szCs w:val="30"/>
        </w:rPr>
      </w:pPr>
    </w:p>
    <w:p>
      <w:pPr>
        <w:spacing w:line="312" w:lineRule="auto"/>
        <w:jc w:val="center"/>
        <w:rPr>
          <w:rFonts w:hint="eastAsia" w:cs="宋体"/>
          <w:b/>
          <w:bCs/>
          <w:sz w:val="30"/>
          <w:szCs w:val="30"/>
        </w:rPr>
      </w:pPr>
    </w:p>
    <w:p>
      <w:pPr>
        <w:spacing w:line="312" w:lineRule="auto"/>
        <w:jc w:val="center"/>
        <w:rPr>
          <w:rFonts w:hint="eastAsia" w:cs="宋体"/>
          <w:b/>
          <w:bCs/>
          <w:sz w:val="30"/>
          <w:szCs w:val="30"/>
        </w:rPr>
      </w:pPr>
    </w:p>
    <w:p>
      <w:pPr>
        <w:spacing w:line="312" w:lineRule="auto"/>
        <w:jc w:val="center"/>
        <w:rPr>
          <w:rFonts w:hint="eastAsia" w:cs="宋体"/>
          <w:b/>
          <w:bCs/>
          <w:sz w:val="30"/>
          <w:szCs w:val="30"/>
        </w:rPr>
      </w:pPr>
    </w:p>
    <w:p>
      <w:pPr>
        <w:spacing w:line="312" w:lineRule="auto"/>
        <w:jc w:val="center"/>
        <w:rPr>
          <w:rFonts w:hint="eastAsia" w:cs="宋体"/>
          <w:b/>
          <w:bCs/>
          <w:sz w:val="30"/>
          <w:szCs w:val="30"/>
        </w:rPr>
      </w:pPr>
    </w:p>
    <w:p>
      <w:pPr>
        <w:spacing w:line="312" w:lineRule="auto"/>
        <w:jc w:val="center"/>
        <w:rPr>
          <w:rFonts w:hint="eastAsia" w:cs="宋体"/>
          <w:b/>
          <w:bCs/>
          <w:sz w:val="30"/>
          <w:szCs w:val="30"/>
        </w:rPr>
      </w:pPr>
    </w:p>
    <w:p>
      <w:pPr>
        <w:spacing w:line="312" w:lineRule="auto"/>
        <w:jc w:val="center"/>
        <w:rPr>
          <w:rFonts w:hint="eastAsia" w:cs="宋体"/>
          <w:b/>
          <w:bCs/>
          <w:sz w:val="30"/>
          <w:szCs w:val="30"/>
        </w:rPr>
      </w:pPr>
    </w:p>
    <w:p>
      <w:pPr>
        <w:spacing w:line="312" w:lineRule="auto"/>
        <w:jc w:val="center"/>
        <w:rPr>
          <w:rFonts w:hint="eastAsia" w:cs="宋体"/>
          <w:b/>
          <w:bCs/>
          <w:sz w:val="30"/>
          <w:szCs w:val="30"/>
        </w:rPr>
      </w:pPr>
    </w:p>
    <w:p>
      <w:pPr>
        <w:spacing w:line="312" w:lineRule="auto"/>
        <w:jc w:val="center"/>
        <w:rPr>
          <w:rFonts w:hint="eastAsia" w:cs="宋体"/>
          <w:b/>
          <w:bCs/>
          <w:sz w:val="30"/>
          <w:szCs w:val="30"/>
        </w:rPr>
      </w:pPr>
    </w:p>
    <w:p>
      <w:pPr>
        <w:spacing w:line="312" w:lineRule="auto"/>
        <w:jc w:val="center"/>
        <w:rPr>
          <w:rFonts w:hint="eastAsia" w:cs="宋体"/>
          <w:b/>
          <w:bCs/>
          <w:sz w:val="30"/>
          <w:szCs w:val="30"/>
        </w:rPr>
      </w:pPr>
    </w:p>
    <w:p>
      <w:pPr>
        <w:spacing w:line="312" w:lineRule="auto"/>
        <w:jc w:val="center"/>
        <w:rPr>
          <w:rFonts w:hint="eastAsia" w:cs="宋体"/>
          <w:b/>
          <w:bCs/>
          <w:sz w:val="30"/>
          <w:szCs w:val="30"/>
        </w:rPr>
      </w:pPr>
    </w:p>
    <w:p>
      <w:pPr>
        <w:pStyle w:val="3"/>
        <w:bidi w:val="0"/>
        <w:jc w:val="center"/>
      </w:pPr>
      <w:bookmarkStart w:id="1" w:name="_Toc4043"/>
      <w:bookmarkStart w:id="2" w:name="_Toc20470"/>
      <w:r>
        <w:rPr>
          <w:rFonts w:hint="eastAsia"/>
        </w:rPr>
        <w:t>大学生劳动教育课程</w:t>
      </w:r>
      <w:r>
        <w:t>教学大纲</w:t>
      </w:r>
      <w:bookmarkEnd w:id="1"/>
      <w:bookmarkEnd w:id="2"/>
    </w:p>
    <w:p>
      <w:pPr>
        <w:spacing w:line="312" w:lineRule="auto"/>
        <w:jc w:val="center"/>
        <w:rPr>
          <w:b/>
          <w:bCs/>
          <w:sz w:val="30"/>
        </w:rPr>
      </w:pPr>
      <w:r>
        <w:rPr>
          <w:b/>
          <w:bCs/>
          <w:sz w:val="30"/>
        </w:rPr>
        <w:t>（</w:t>
      </w:r>
      <w:r>
        <w:rPr>
          <w:rFonts w:hint="eastAsia"/>
          <w:b/>
          <w:bCs/>
          <w:sz w:val="30"/>
        </w:rPr>
        <w:t>Labour</w:t>
      </w:r>
      <w:r>
        <w:rPr>
          <w:b/>
          <w:bCs/>
          <w:sz w:val="30"/>
        </w:rPr>
        <w:t xml:space="preserve"> </w:t>
      </w:r>
      <w:r>
        <w:rPr>
          <w:rFonts w:hint="eastAsia"/>
          <w:b/>
          <w:bCs/>
          <w:sz w:val="30"/>
        </w:rPr>
        <w:t>Education</w:t>
      </w:r>
      <w:r>
        <w:rPr>
          <w:b/>
          <w:bCs/>
          <w:sz w:val="30"/>
        </w:rPr>
        <w:t>）</w:t>
      </w:r>
    </w:p>
    <w:p>
      <w:pPr>
        <w:spacing w:line="360" w:lineRule="auto"/>
        <w:rPr>
          <w:b/>
          <w:sz w:val="28"/>
          <w:szCs w:val="28"/>
        </w:rPr>
      </w:pPr>
      <w:r>
        <w:rPr>
          <w:b/>
          <w:sz w:val="28"/>
          <w:szCs w:val="28"/>
        </w:rPr>
        <w:t>一、课程概况</w:t>
      </w:r>
    </w:p>
    <w:p>
      <w:pPr>
        <w:spacing w:line="360" w:lineRule="auto"/>
        <w:rPr>
          <w:b/>
          <w:sz w:val="28"/>
          <w:szCs w:val="28"/>
        </w:rPr>
      </w:pPr>
      <w:r>
        <w:rPr>
          <w:b/>
          <w:bCs/>
          <w:kern w:val="0"/>
          <w:sz w:val="24"/>
        </w:rPr>
        <w:t>课程代码</w:t>
      </w:r>
      <w:r>
        <w:rPr>
          <w:b/>
          <w:kern w:val="0"/>
          <w:sz w:val="24"/>
        </w:rPr>
        <w:t>：</w:t>
      </w:r>
      <w:r>
        <w:rPr>
          <w:sz w:val="24"/>
        </w:rPr>
        <w:t xml:space="preserve"> 2501101</w:t>
      </w:r>
    </w:p>
    <w:p>
      <w:pPr>
        <w:spacing w:line="360" w:lineRule="auto"/>
        <w:rPr>
          <w:kern w:val="0"/>
          <w:sz w:val="24"/>
        </w:rPr>
      </w:pPr>
      <w:r>
        <w:rPr>
          <w:b/>
          <w:bCs/>
          <w:kern w:val="0"/>
          <w:sz w:val="24"/>
        </w:rPr>
        <w:t>学    分</w:t>
      </w:r>
      <w:r>
        <w:rPr>
          <w:b/>
          <w:kern w:val="0"/>
          <w:sz w:val="24"/>
        </w:rPr>
        <w:t>：</w:t>
      </w:r>
      <w:r>
        <w:rPr>
          <w:kern w:val="0"/>
          <w:sz w:val="24"/>
        </w:rPr>
        <w:t>2.0</w:t>
      </w:r>
    </w:p>
    <w:p>
      <w:pPr>
        <w:spacing w:line="360" w:lineRule="auto"/>
        <w:rPr>
          <w:kern w:val="0"/>
          <w:sz w:val="24"/>
        </w:rPr>
      </w:pPr>
      <w:r>
        <w:rPr>
          <w:b/>
          <w:bCs/>
          <w:kern w:val="0"/>
          <w:sz w:val="24"/>
        </w:rPr>
        <w:t>学    时</w:t>
      </w:r>
      <w:r>
        <w:rPr>
          <w:b/>
          <w:kern w:val="0"/>
          <w:sz w:val="24"/>
        </w:rPr>
        <w:t>：</w:t>
      </w:r>
      <w:r>
        <w:rPr>
          <w:kern w:val="0"/>
          <w:sz w:val="24"/>
        </w:rPr>
        <w:t>32（其中：讲授学时32</w:t>
      </w:r>
      <w:r>
        <w:rPr>
          <w:rFonts w:hint="eastAsia"/>
          <w:kern w:val="0"/>
          <w:sz w:val="24"/>
        </w:rPr>
        <w:t>，</w:t>
      </w:r>
      <w:r>
        <w:rPr>
          <w:kern w:val="0"/>
          <w:sz w:val="24"/>
        </w:rPr>
        <w:t>实验学时0）</w:t>
      </w:r>
    </w:p>
    <w:p>
      <w:pPr>
        <w:spacing w:line="360" w:lineRule="auto"/>
        <w:rPr>
          <w:bCs/>
          <w:kern w:val="0"/>
          <w:sz w:val="24"/>
        </w:rPr>
      </w:pPr>
      <w:r>
        <w:rPr>
          <w:b/>
          <w:bCs/>
          <w:kern w:val="0"/>
          <w:sz w:val="24"/>
        </w:rPr>
        <w:t>先修课程</w:t>
      </w:r>
      <w:r>
        <w:rPr>
          <w:b/>
          <w:kern w:val="0"/>
          <w:sz w:val="24"/>
        </w:rPr>
        <w:t>：</w:t>
      </w:r>
      <w:r>
        <w:rPr>
          <w:rFonts w:hint="eastAsia"/>
          <w:b/>
          <w:kern w:val="0"/>
          <w:sz w:val="24"/>
        </w:rPr>
        <w:t>无</w:t>
      </w:r>
    </w:p>
    <w:p>
      <w:pPr>
        <w:spacing w:line="360" w:lineRule="auto"/>
        <w:rPr>
          <w:kern w:val="0"/>
          <w:sz w:val="24"/>
        </w:rPr>
      </w:pPr>
      <w:r>
        <w:rPr>
          <w:b/>
          <w:bCs/>
          <w:kern w:val="0"/>
          <w:sz w:val="24"/>
        </w:rPr>
        <w:t>适用专业</w:t>
      </w:r>
      <w:r>
        <w:rPr>
          <w:b/>
          <w:kern w:val="0"/>
          <w:sz w:val="24"/>
        </w:rPr>
        <w:t>：</w:t>
      </w:r>
      <w:r>
        <w:rPr>
          <w:rFonts w:hint="eastAsia"/>
          <w:kern w:val="0"/>
          <w:sz w:val="24"/>
        </w:rPr>
        <w:t>化学工程与工艺</w:t>
      </w:r>
      <w:r>
        <w:rPr>
          <w:rFonts w:eastAsia="黑体"/>
          <w:sz w:val="24"/>
        </w:rPr>
        <w:t xml:space="preserve">  </w:t>
      </w:r>
      <w:r>
        <w:rPr>
          <w:kern w:val="0"/>
          <w:sz w:val="24"/>
        </w:rPr>
        <w:t xml:space="preserve">                          </w:t>
      </w:r>
    </w:p>
    <w:p>
      <w:pPr>
        <w:spacing w:line="360" w:lineRule="auto"/>
        <w:rPr>
          <w:sz w:val="24"/>
          <w:szCs w:val="21"/>
        </w:rPr>
      </w:pPr>
      <w:r>
        <w:rPr>
          <w:rFonts w:hint="eastAsia"/>
          <w:b/>
          <w:bCs/>
          <w:kern w:val="0"/>
          <w:sz w:val="24"/>
        </w:rPr>
        <w:t>建议</w:t>
      </w:r>
      <w:r>
        <w:rPr>
          <w:b/>
          <w:bCs/>
          <w:kern w:val="0"/>
          <w:sz w:val="24"/>
        </w:rPr>
        <w:t>教材</w:t>
      </w:r>
      <w:r>
        <w:rPr>
          <w:b/>
          <w:kern w:val="0"/>
          <w:sz w:val="24"/>
        </w:rPr>
        <w:t>：</w:t>
      </w:r>
      <w:r>
        <w:rPr>
          <w:rFonts w:hint="eastAsia"/>
          <w:sz w:val="24"/>
        </w:rPr>
        <w:t>《新时代大学生劳动教育》丁晓昌、顾建军主编，上海交通大学出版社2021版</w:t>
      </w:r>
    </w:p>
    <w:p>
      <w:pPr>
        <w:spacing w:line="360" w:lineRule="auto"/>
        <w:rPr>
          <w:bCs/>
          <w:kern w:val="0"/>
          <w:sz w:val="24"/>
        </w:rPr>
      </w:pPr>
      <w:r>
        <w:rPr>
          <w:b/>
          <w:bCs/>
          <w:kern w:val="0"/>
          <w:sz w:val="24"/>
        </w:rPr>
        <w:t>课程归口：</w:t>
      </w:r>
      <w:r>
        <w:rPr>
          <w:rFonts w:hint="eastAsia"/>
          <w:b/>
          <w:bCs/>
          <w:kern w:val="0"/>
          <w:sz w:val="24"/>
        </w:rPr>
        <w:t>化工与材料学院</w:t>
      </w:r>
    </w:p>
    <w:p>
      <w:pPr>
        <w:spacing w:line="360" w:lineRule="auto"/>
        <w:rPr>
          <w:kern w:val="0"/>
          <w:sz w:val="24"/>
        </w:rPr>
      </w:pPr>
      <w:r>
        <w:rPr>
          <w:b/>
          <w:bCs/>
          <w:kern w:val="0"/>
          <w:sz w:val="24"/>
        </w:rPr>
        <w:t>课程的性质与任务</w:t>
      </w:r>
      <w:r>
        <w:rPr>
          <w:rFonts w:hint="eastAsia"/>
          <w:b/>
          <w:bCs/>
          <w:kern w:val="0"/>
          <w:sz w:val="24"/>
        </w:rPr>
        <w:t>：</w:t>
      </w:r>
      <w:r>
        <w:rPr>
          <w:rFonts w:hint="eastAsia"/>
          <w:kern w:val="0"/>
          <w:sz w:val="24"/>
        </w:rPr>
        <w:t>本课程性质为公共基础课，任务是让学生能够理解和形成马克思主义劳动观，牢固树立劳动最光荣、劳动最崇高、劳动最伟大、劳动最美丽的观念；体会劳动创造美好生活，体认劳动不分贵贱，热爱劳动，尊重普通劳动者，培养勤俭、奋斗、创新、奉献的劳动精神；具备满足生存发展需要的基本劳动能力，形成良好劳动习惯。</w:t>
      </w:r>
    </w:p>
    <w:p>
      <w:pPr>
        <w:spacing w:line="360" w:lineRule="auto"/>
        <w:rPr>
          <w:b/>
          <w:sz w:val="28"/>
          <w:szCs w:val="28"/>
        </w:rPr>
      </w:pPr>
      <w:r>
        <w:rPr>
          <w:rFonts w:hint="eastAsia"/>
          <w:b/>
          <w:sz w:val="28"/>
          <w:szCs w:val="28"/>
        </w:rPr>
        <w:t>二</w:t>
      </w:r>
      <w:r>
        <w:rPr>
          <w:b/>
          <w:sz w:val="28"/>
          <w:szCs w:val="28"/>
        </w:rPr>
        <w:t>、课程目标</w:t>
      </w:r>
    </w:p>
    <w:p>
      <w:pPr>
        <w:spacing w:line="360" w:lineRule="auto"/>
        <w:ind w:firstLine="480" w:firstLineChars="200"/>
        <w:jc w:val="left"/>
        <w:rPr>
          <w:sz w:val="24"/>
        </w:rPr>
      </w:pPr>
      <w:r>
        <w:rPr>
          <w:rFonts w:hint="eastAsia"/>
          <w:sz w:val="24"/>
        </w:rPr>
        <w:t>目标1.</w:t>
      </w:r>
      <w:r>
        <w:rPr>
          <w:sz w:val="24"/>
        </w:rPr>
        <w:t xml:space="preserve"> </w:t>
      </w:r>
      <w:r>
        <w:rPr>
          <w:rFonts w:hint="eastAsia"/>
          <w:sz w:val="24"/>
        </w:rPr>
        <w:t>培育正确的劳动观念。帮助学生理解和形成马党恩主义劳动观:学会尊重劳动，尊重普通劳动者;牢固树立劳动最光装、努动最崇高、劳动最伟大、劳动最美丽的思想观念。</w:t>
      </w:r>
    </w:p>
    <w:p>
      <w:pPr>
        <w:spacing w:line="360" w:lineRule="auto"/>
        <w:ind w:firstLine="482"/>
        <w:jc w:val="left"/>
        <w:rPr>
          <w:sz w:val="24"/>
        </w:rPr>
      </w:pPr>
      <w:r>
        <w:rPr>
          <w:rFonts w:hint="eastAsia"/>
          <w:sz w:val="24"/>
        </w:rPr>
        <w:t>目标2.</w:t>
      </w:r>
      <w:r>
        <w:rPr>
          <w:sz w:val="24"/>
        </w:rPr>
        <w:t xml:space="preserve"> </w:t>
      </w:r>
      <w:r>
        <w:rPr>
          <w:rFonts w:hint="eastAsia"/>
          <w:sz w:val="24"/>
        </w:rPr>
        <w:t>提升劳动能力。通过科学劳动素养培育，塑造新时代劳动者所需具备的能力与品质，为未来职业发展奠定基好，助力正确择业，培养创新能力，成就职业理想。</w:t>
      </w:r>
    </w:p>
    <w:p>
      <w:pPr>
        <w:spacing w:line="360" w:lineRule="auto"/>
        <w:ind w:firstLine="482"/>
        <w:jc w:val="left"/>
        <w:rPr>
          <w:sz w:val="24"/>
        </w:rPr>
      </w:pPr>
      <w:r>
        <w:rPr>
          <w:rFonts w:hint="eastAsia"/>
          <w:sz w:val="24"/>
        </w:rPr>
        <w:t>目标3.</w:t>
      </w:r>
      <w:r>
        <w:rPr>
          <w:sz w:val="24"/>
        </w:rPr>
        <w:t xml:space="preserve"> </w:t>
      </w:r>
      <w:r>
        <w:rPr>
          <w:rFonts w:hint="eastAsia"/>
          <w:sz w:val="24"/>
        </w:rPr>
        <w:t>培育积极的劳动精神。学习劳动精神、领会工匠精神、深化劳模精神;继承中华民族勤俭节约微业奉献的优良传统;弘扬开拓创新、砥砺奋进的时代精神。</w:t>
      </w:r>
    </w:p>
    <w:p>
      <w:pPr>
        <w:spacing w:line="360" w:lineRule="auto"/>
        <w:ind w:firstLine="482"/>
        <w:jc w:val="left"/>
        <w:rPr>
          <w:rFonts w:hint="eastAsia"/>
          <w:sz w:val="24"/>
        </w:rPr>
      </w:pPr>
      <w:r>
        <w:rPr>
          <w:rFonts w:hint="eastAsia"/>
          <w:sz w:val="24"/>
        </w:rPr>
        <w:t>目标4.</w:t>
      </w:r>
      <w:r>
        <w:rPr>
          <w:sz w:val="24"/>
        </w:rPr>
        <w:t xml:space="preserve"> </w:t>
      </w:r>
      <w:r>
        <w:rPr>
          <w:rFonts w:hint="eastAsia"/>
          <w:sz w:val="24"/>
        </w:rPr>
        <w:t>引导学生养成良好的劳动习惯和品质。能够自觉自愿、认真负责、安全.规范、坚持令解地参与劳动;形成诚实守信、吃苦耐劳的品质;珍惜劳动成果，养成良好的消费习惯，杜绝浪费。</w:t>
      </w:r>
    </w:p>
    <w:p>
      <w:pPr>
        <w:spacing w:line="360" w:lineRule="auto"/>
        <w:rPr>
          <w:sz w:val="24"/>
        </w:rPr>
      </w:pPr>
      <w:r>
        <w:rPr>
          <w:rFonts w:hint="eastAsia"/>
          <w:b/>
          <w:sz w:val="28"/>
          <w:szCs w:val="28"/>
        </w:rPr>
        <w:t>三</w:t>
      </w:r>
      <w:r>
        <w:rPr>
          <w:b/>
          <w:sz w:val="28"/>
          <w:szCs w:val="28"/>
        </w:rPr>
        <w:t>、课程内容及要求</w:t>
      </w:r>
    </w:p>
    <w:p>
      <w:pPr>
        <w:spacing w:line="400" w:lineRule="atLeast"/>
        <w:rPr>
          <w:sz w:val="24"/>
        </w:rPr>
      </w:pPr>
      <w:r>
        <w:rPr>
          <w:sz w:val="24"/>
        </w:rPr>
        <w:t>（一）</w:t>
      </w:r>
      <w:r>
        <w:rPr>
          <w:rStyle w:val="13"/>
          <w:rFonts w:hint="eastAsia"/>
          <w:sz w:val="24"/>
        </w:rPr>
        <w:t>课程内容</w:t>
      </w:r>
    </w:p>
    <w:p>
      <w:pPr>
        <w:spacing w:line="360" w:lineRule="auto"/>
        <w:ind w:firstLine="720" w:firstLineChars="300"/>
        <w:rPr>
          <w:sz w:val="24"/>
        </w:rPr>
      </w:pPr>
      <w:r>
        <w:rPr>
          <w:rFonts w:hint="eastAsia"/>
          <w:sz w:val="24"/>
        </w:rPr>
        <w:t>劳动理论教学双专题课的形式开展，分为八个模块,讲授“理解劳动内涵”“体认劳动价值也“锻造劳动品质”“弘扬劳动精神”“ 保障劳动安全”“遵守劳动法规”发提高职业劳动素养”“劳动托起中国梦”的劳动理论知识。劳动实践教学:围绕生活劳动、生产劳动、服务性劳动展开。可根据教材中讯的实践项目选择性地安排学生进行劳动实践，各学院也可结合学科、专业特自行设计与实习实训、社会实践、创新训练与实践、志愿者活动等相关的劳动实践项目。学生提交实践项目报告作为各学院考核实践成果的依据。</w:t>
      </w:r>
    </w:p>
    <w:p>
      <w:pPr>
        <w:spacing w:line="360" w:lineRule="auto"/>
        <w:ind w:firstLine="720" w:firstLineChars="300"/>
        <w:rPr>
          <w:rFonts w:hint="eastAsia"/>
          <w:sz w:val="24"/>
        </w:rPr>
      </w:pPr>
      <w:r>
        <w:rPr>
          <w:rFonts w:hint="eastAsia"/>
          <w:sz w:val="24"/>
        </w:rPr>
        <w:t>结合专业人才培养需求和特色劳动教育资源，将化学化工专业相关的新技术、新工艺纳入教学内容。一方面充分发挥各类实践教育基地的劳动育人功能，系统开展课程设计、课程实习、毕业实习等环节的劳动实践教育；一方面通过指导学生参与企业帮扶、项目研发、创业实践等劳动过程，满足学生多样化劳动实践需求，增强学生对劳动精神的体验感受和认知理解，锻炼学生在劳动实践中创造性解决实际问题的能力。</w:t>
      </w:r>
    </w:p>
    <w:p>
      <w:pPr>
        <w:spacing w:line="360" w:lineRule="auto"/>
        <w:ind w:firstLine="720" w:firstLineChars="300"/>
        <w:rPr>
          <w:rFonts w:hint="eastAsia"/>
          <w:sz w:val="24"/>
        </w:rPr>
      </w:pPr>
      <w:r>
        <w:rPr>
          <w:rFonts w:hint="eastAsia"/>
          <w:sz w:val="24"/>
        </w:rPr>
        <w:t>化工与材料学院专业特色主要围绕危险化学品展开的，化学品的生产，维护，处理等过程。其背景就是化学化工实验室不仅需要满足日常教学，还需要与外界部门联系，如公安局，环保局，安监局等，日常工作是非常繁重。因此实验室教师一直需要学生来辅助工作。本课程开设主要的内容也围绕本专业特色开展，目的是让同学知道和了解实验室的日常劳动，能够更深入的了解化学化工专业的本质。结合化工与材料专业特色，制定了一下方案。教学内容与</w:t>
      </w:r>
      <w:r>
        <w:rPr>
          <w:sz w:val="24"/>
        </w:rPr>
        <w:t>课程目标的</w:t>
      </w:r>
      <w:r>
        <w:rPr>
          <w:rFonts w:hint="eastAsia"/>
          <w:sz w:val="24"/>
        </w:rPr>
        <w:t>对应关系及</w:t>
      </w:r>
      <w:r>
        <w:rPr>
          <w:sz w:val="24"/>
        </w:rPr>
        <w:t>学时分配</w:t>
      </w:r>
      <w:r>
        <w:rPr>
          <w:rFonts w:hint="eastAsia"/>
          <w:sz w:val="24"/>
        </w:rPr>
        <w:t>如表所示。</w:t>
      </w:r>
    </w:p>
    <w:p>
      <w:pPr>
        <w:spacing w:line="360" w:lineRule="auto"/>
        <w:rPr>
          <w:rFonts w:hint="eastAsia"/>
          <w:sz w:val="24"/>
        </w:rPr>
      </w:pPr>
    </w:p>
    <w:tbl>
      <w:tblPr>
        <w:tblStyle w:val="10"/>
        <w:tblW w:w="9178" w:type="dxa"/>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2803"/>
        <w:gridCol w:w="2041"/>
        <w:gridCol w:w="1361"/>
        <w:gridCol w:w="85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shd w:val="clear" w:color="auto" w:fill="FFFFFF"/>
            <w:vAlign w:val="center"/>
          </w:tcPr>
          <w:p>
            <w:pPr>
              <w:jc w:val="center"/>
              <w:rPr>
                <w:bCs/>
                <w:szCs w:val="21"/>
              </w:rPr>
            </w:pPr>
            <w:r>
              <w:rPr>
                <w:bCs/>
                <w:szCs w:val="21"/>
              </w:rPr>
              <w:t>序号</w:t>
            </w:r>
          </w:p>
        </w:tc>
        <w:tc>
          <w:tcPr>
            <w:tcW w:w="2803" w:type="dxa"/>
            <w:shd w:val="clear" w:color="auto" w:fill="FFFFFF"/>
            <w:vAlign w:val="center"/>
          </w:tcPr>
          <w:p>
            <w:pPr>
              <w:jc w:val="center"/>
              <w:rPr>
                <w:bCs/>
                <w:szCs w:val="21"/>
              </w:rPr>
            </w:pPr>
            <w:r>
              <w:rPr>
                <w:rFonts w:hint="eastAsia"/>
                <w:bCs/>
                <w:szCs w:val="21"/>
              </w:rPr>
              <w:t>教学内容</w:t>
            </w:r>
          </w:p>
        </w:tc>
        <w:tc>
          <w:tcPr>
            <w:tcW w:w="2041" w:type="dxa"/>
            <w:shd w:val="clear" w:color="auto" w:fill="FFFFFF"/>
          </w:tcPr>
          <w:p>
            <w:pPr>
              <w:jc w:val="center"/>
              <w:rPr>
                <w:rFonts w:hint="eastAsia"/>
                <w:bCs/>
                <w:szCs w:val="21"/>
              </w:rPr>
            </w:pPr>
            <w:r>
              <w:rPr>
                <w:bCs/>
                <w:szCs w:val="21"/>
              </w:rPr>
              <w:t>支撑的</w:t>
            </w:r>
          </w:p>
          <w:p>
            <w:pPr>
              <w:jc w:val="center"/>
              <w:rPr>
                <w:bCs/>
                <w:szCs w:val="21"/>
              </w:rPr>
            </w:pPr>
            <w:r>
              <w:rPr>
                <w:bCs/>
                <w:szCs w:val="21"/>
              </w:rPr>
              <w:t>课程目标</w:t>
            </w:r>
          </w:p>
        </w:tc>
        <w:tc>
          <w:tcPr>
            <w:tcW w:w="1361" w:type="dxa"/>
            <w:shd w:val="clear" w:color="auto" w:fill="FFFFFF"/>
            <w:vAlign w:val="center"/>
          </w:tcPr>
          <w:p>
            <w:pPr>
              <w:jc w:val="center"/>
              <w:rPr>
                <w:bCs/>
                <w:szCs w:val="21"/>
              </w:rPr>
            </w:pPr>
            <w:r>
              <w:rPr>
                <w:bCs/>
                <w:szCs w:val="21"/>
              </w:rPr>
              <w:t>支撑的毕业要求指标点</w:t>
            </w:r>
          </w:p>
        </w:tc>
        <w:tc>
          <w:tcPr>
            <w:tcW w:w="851" w:type="dxa"/>
            <w:shd w:val="clear" w:color="auto" w:fill="FFFFFF"/>
            <w:vAlign w:val="center"/>
          </w:tcPr>
          <w:p>
            <w:pPr>
              <w:jc w:val="center"/>
              <w:rPr>
                <w:rFonts w:hint="eastAsia"/>
                <w:bCs/>
                <w:szCs w:val="21"/>
              </w:rPr>
            </w:pPr>
            <w:r>
              <w:rPr>
                <w:bCs/>
                <w:szCs w:val="21"/>
              </w:rPr>
              <w:t>时间分配/</w:t>
            </w:r>
            <w:r>
              <w:rPr>
                <w:rFonts w:hint="eastAsia"/>
                <w:bCs/>
                <w:szCs w:val="21"/>
              </w:rPr>
              <w:t>时</w:t>
            </w:r>
          </w:p>
        </w:tc>
        <w:tc>
          <w:tcPr>
            <w:tcW w:w="1417" w:type="dxa"/>
            <w:shd w:val="clear" w:color="auto" w:fill="FFFFFF"/>
            <w:vAlign w:val="center"/>
          </w:tcPr>
          <w:p>
            <w:pPr>
              <w:jc w:val="center"/>
              <w:rPr>
                <w:bCs/>
                <w:szCs w:val="21"/>
              </w:rPr>
            </w:pPr>
            <w:r>
              <w:rPr>
                <w:bCs/>
                <w:szCs w:val="21"/>
              </w:rPr>
              <w:t>教学形式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05" w:type="dxa"/>
            <w:vAlign w:val="center"/>
          </w:tcPr>
          <w:p>
            <w:pPr>
              <w:jc w:val="center"/>
              <w:rPr>
                <w:szCs w:val="21"/>
              </w:rPr>
            </w:pPr>
            <w:r>
              <w:rPr>
                <w:sz w:val="24"/>
              </w:rPr>
              <w:t>1</w:t>
            </w:r>
          </w:p>
        </w:tc>
        <w:tc>
          <w:tcPr>
            <w:tcW w:w="2803" w:type="dxa"/>
            <w:vAlign w:val="center"/>
          </w:tcPr>
          <w:p>
            <w:pPr>
              <w:rPr>
                <w:rFonts w:hint="eastAsia"/>
              </w:rPr>
            </w:pPr>
            <w:r>
              <w:rPr>
                <w:rFonts w:hint="eastAsia"/>
              </w:rPr>
              <w:t>学习马克思主义劳动观，认识劳动价值</w:t>
            </w:r>
          </w:p>
        </w:tc>
        <w:tc>
          <w:tcPr>
            <w:tcW w:w="2041" w:type="dxa"/>
            <w:vAlign w:val="center"/>
          </w:tcPr>
          <w:p>
            <w:pPr>
              <w:jc w:val="center"/>
              <w:rPr>
                <w:rFonts w:hint="eastAsia"/>
                <w:szCs w:val="21"/>
              </w:rPr>
            </w:pPr>
            <w:r>
              <w:rPr>
                <w:szCs w:val="21"/>
              </w:rPr>
              <w:t>目标1</w:t>
            </w:r>
          </w:p>
        </w:tc>
        <w:tc>
          <w:tcPr>
            <w:tcW w:w="1361" w:type="dxa"/>
            <w:vAlign w:val="center"/>
          </w:tcPr>
          <w:p>
            <w:pPr>
              <w:jc w:val="center"/>
              <w:rPr>
                <w:rFonts w:hint="eastAsia"/>
                <w:szCs w:val="21"/>
              </w:rPr>
            </w:pPr>
            <w:r>
              <w:rPr>
                <w:rFonts w:hint="eastAsia"/>
                <w:szCs w:val="21"/>
              </w:rPr>
              <w:t>1、3、6、8</w:t>
            </w:r>
          </w:p>
        </w:tc>
        <w:tc>
          <w:tcPr>
            <w:tcW w:w="851" w:type="dxa"/>
            <w:vAlign w:val="center"/>
          </w:tcPr>
          <w:p>
            <w:pPr>
              <w:jc w:val="center"/>
              <w:rPr>
                <w:rFonts w:hint="eastAsia"/>
                <w:szCs w:val="21"/>
              </w:rPr>
            </w:pPr>
            <w:r>
              <w:rPr>
                <w:sz w:val="24"/>
              </w:rPr>
              <w:t>4</w:t>
            </w:r>
          </w:p>
        </w:tc>
        <w:tc>
          <w:tcPr>
            <w:tcW w:w="1417" w:type="dxa"/>
            <w:vAlign w:val="center"/>
          </w:tcPr>
          <w:p>
            <w:pPr>
              <w:jc w:val="center"/>
              <w:rPr>
                <w:szCs w:val="21"/>
              </w:rPr>
            </w:pPr>
            <w:r>
              <w:rPr>
                <w:rFonts w:hint="eastAsia"/>
                <w:szCs w:val="21"/>
              </w:rPr>
              <w:t>讲</w:t>
            </w:r>
            <w:r>
              <w:rPr>
                <w:szCs w:val="21"/>
              </w:rPr>
              <w:t>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05" w:type="dxa"/>
            <w:vAlign w:val="center"/>
          </w:tcPr>
          <w:p>
            <w:pPr>
              <w:jc w:val="center"/>
              <w:rPr>
                <w:szCs w:val="21"/>
              </w:rPr>
            </w:pPr>
            <w:r>
              <w:rPr>
                <w:sz w:val="24"/>
              </w:rPr>
              <w:t>2</w:t>
            </w:r>
          </w:p>
        </w:tc>
        <w:tc>
          <w:tcPr>
            <w:tcW w:w="2803" w:type="dxa"/>
            <w:vAlign w:val="center"/>
          </w:tcPr>
          <w:p>
            <w:pPr>
              <w:rPr>
                <w:rFonts w:hint="eastAsia"/>
              </w:rPr>
            </w:pPr>
            <w:r>
              <w:rPr>
                <w:rFonts w:hint="eastAsia"/>
              </w:rPr>
              <w:t>学习劳动安全常识，实验室安全常识</w:t>
            </w:r>
          </w:p>
        </w:tc>
        <w:tc>
          <w:tcPr>
            <w:tcW w:w="2041" w:type="dxa"/>
            <w:vAlign w:val="center"/>
          </w:tcPr>
          <w:p>
            <w:pPr>
              <w:jc w:val="center"/>
              <w:rPr>
                <w:szCs w:val="21"/>
              </w:rPr>
            </w:pPr>
            <w:r>
              <w:rPr>
                <w:szCs w:val="21"/>
              </w:rPr>
              <w:t>目标1</w:t>
            </w:r>
          </w:p>
        </w:tc>
        <w:tc>
          <w:tcPr>
            <w:tcW w:w="1361" w:type="dxa"/>
            <w:vAlign w:val="center"/>
          </w:tcPr>
          <w:p>
            <w:pPr>
              <w:jc w:val="center"/>
              <w:rPr>
                <w:rFonts w:hint="eastAsia"/>
                <w:szCs w:val="21"/>
              </w:rPr>
            </w:pPr>
            <w:r>
              <w:rPr>
                <w:rFonts w:hint="eastAsia"/>
                <w:szCs w:val="21"/>
              </w:rPr>
              <w:t>1、3、6、8</w:t>
            </w:r>
          </w:p>
        </w:tc>
        <w:tc>
          <w:tcPr>
            <w:tcW w:w="851" w:type="dxa"/>
            <w:vAlign w:val="center"/>
          </w:tcPr>
          <w:p>
            <w:pPr>
              <w:jc w:val="center"/>
              <w:rPr>
                <w:rFonts w:hint="eastAsia"/>
              </w:rPr>
            </w:pPr>
            <w:r>
              <w:rPr>
                <w:sz w:val="24"/>
              </w:rPr>
              <w:t>2</w:t>
            </w:r>
          </w:p>
        </w:tc>
        <w:tc>
          <w:tcPr>
            <w:tcW w:w="1417" w:type="dxa"/>
            <w:vAlign w:val="center"/>
          </w:tcPr>
          <w:p>
            <w:pPr>
              <w:jc w:val="center"/>
              <w:rPr>
                <w:szCs w:val="21"/>
              </w:rPr>
            </w:pPr>
            <w:r>
              <w:rPr>
                <w:rFonts w:hint="eastAsia"/>
                <w:szCs w:val="21"/>
              </w:rPr>
              <w:t>讲授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05" w:type="dxa"/>
            <w:vAlign w:val="center"/>
          </w:tcPr>
          <w:p>
            <w:pPr>
              <w:jc w:val="center"/>
              <w:rPr>
                <w:szCs w:val="21"/>
              </w:rPr>
            </w:pPr>
            <w:r>
              <w:rPr>
                <w:sz w:val="24"/>
              </w:rPr>
              <w:t>3</w:t>
            </w:r>
          </w:p>
        </w:tc>
        <w:tc>
          <w:tcPr>
            <w:tcW w:w="2803" w:type="dxa"/>
            <w:vAlign w:val="center"/>
          </w:tcPr>
          <w:p>
            <w:pPr>
              <w:rPr>
                <w:rFonts w:hint="eastAsia"/>
              </w:rPr>
            </w:pPr>
            <w:r>
              <w:rPr>
                <w:rFonts w:hint="eastAsia"/>
              </w:rPr>
              <w:t>锻造劳动品质，感悟劳动精神</w:t>
            </w:r>
          </w:p>
        </w:tc>
        <w:tc>
          <w:tcPr>
            <w:tcW w:w="2041" w:type="dxa"/>
            <w:vAlign w:val="center"/>
          </w:tcPr>
          <w:p>
            <w:pPr>
              <w:jc w:val="center"/>
              <w:rPr>
                <w:rFonts w:hint="eastAsia"/>
                <w:szCs w:val="21"/>
              </w:rPr>
            </w:pPr>
            <w:r>
              <w:rPr>
                <w:szCs w:val="21"/>
              </w:rPr>
              <w:t>目标1</w:t>
            </w:r>
          </w:p>
        </w:tc>
        <w:tc>
          <w:tcPr>
            <w:tcW w:w="1361" w:type="dxa"/>
            <w:vAlign w:val="center"/>
          </w:tcPr>
          <w:p>
            <w:pPr>
              <w:jc w:val="center"/>
              <w:rPr>
                <w:rFonts w:hint="eastAsia"/>
                <w:szCs w:val="21"/>
              </w:rPr>
            </w:pPr>
            <w:r>
              <w:rPr>
                <w:rFonts w:hint="eastAsia"/>
                <w:szCs w:val="21"/>
              </w:rPr>
              <w:t>1、3、6、8</w:t>
            </w:r>
          </w:p>
        </w:tc>
        <w:tc>
          <w:tcPr>
            <w:tcW w:w="851" w:type="dxa"/>
            <w:vAlign w:val="center"/>
          </w:tcPr>
          <w:p>
            <w:pPr>
              <w:jc w:val="center"/>
              <w:rPr>
                <w:rFonts w:hint="eastAsia"/>
              </w:rPr>
            </w:pPr>
            <w:r>
              <w:rPr>
                <w:sz w:val="24"/>
              </w:rPr>
              <w:t>4</w:t>
            </w:r>
          </w:p>
        </w:tc>
        <w:tc>
          <w:tcPr>
            <w:tcW w:w="1417" w:type="dxa"/>
            <w:vAlign w:val="center"/>
          </w:tcPr>
          <w:p>
            <w:pPr>
              <w:jc w:val="center"/>
              <w:rPr>
                <w:szCs w:val="21"/>
              </w:rPr>
            </w:pPr>
            <w:r>
              <w:rPr>
                <w:rFonts w:hint="eastAsia"/>
                <w:szCs w:val="21"/>
              </w:rPr>
              <w:t>讲授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05" w:type="dxa"/>
            <w:vAlign w:val="center"/>
          </w:tcPr>
          <w:p>
            <w:pPr>
              <w:jc w:val="center"/>
              <w:rPr>
                <w:szCs w:val="21"/>
              </w:rPr>
            </w:pPr>
            <w:r>
              <w:rPr>
                <w:sz w:val="24"/>
              </w:rPr>
              <w:t>4</w:t>
            </w:r>
          </w:p>
        </w:tc>
        <w:tc>
          <w:tcPr>
            <w:tcW w:w="2803" w:type="dxa"/>
            <w:vAlign w:val="center"/>
          </w:tcPr>
          <w:p>
            <w:pPr>
              <w:rPr>
                <w:rFonts w:hint="eastAsia"/>
              </w:rPr>
            </w:pPr>
            <w:r>
              <w:rPr>
                <w:rFonts w:hint="eastAsia"/>
              </w:rPr>
              <w:t>学习劳动法规，培养职业劳动素养</w:t>
            </w:r>
          </w:p>
        </w:tc>
        <w:tc>
          <w:tcPr>
            <w:tcW w:w="2041" w:type="dxa"/>
            <w:vAlign w:val="center"/>
          </w:tcPr>
          <w:p>
            <w:pPr>
              <w:jc w:val="center"/>
              <w:rPr>
                <w:szCs w:val="21"/>
              </w:rPr>
            </w:pPr>
            <w:r>
              <w:rPr>
                <w:szCs w:val="21"/>
              </w:rPr>
              <w:t>目标1</w:t>
            </w:r>
          </w:p>
        </w:tc>
        <w:tc>
          <w:tcPr>
            <w:tcW w:w="1361" w:type="dxa"/>
            <w:vAlign w:val="center"/>
          </w:tcPr>
          <w:p>
            <w:pPr>
              <w:jc w:val="center"/>
              <w:rPr>
                <w:szCs w:val="21"/>
              </w:rPr>
            </w:pPr>
            <w:r>
              <w:rPr>
                <w:rFonts w:hint="eastAsia"/>
                <w:szCs w:val="21"/>
              </w:rPr>
              <w:t>1、3、6、8</w:t>
            </w:r>
          </w:p>
        </w:tc>
        <w:tc>
          <w:tcPr>
            <w:tcW w:w="851" w:type="dxa"/>
            <w:vAlign w:val="center"/>
          </w:tcPr>
          <w:p>
            <w:pPr>
              <w:jc w:val="center"/>
              <w:rPr>
                <w:rFonts w:hint="eastAsia"/>
              </w:rPr>
            </w:pPr>
            <w:r>
              <w:rPr>
                <w:sz w:val="24"/>
              </w:rPr>
              <w:t>4</w:t>
            </w:r>
          </w:p>
        </w:tc>
        <w:tc>
          <w:tcPr>
            <w:tcW w:w="1417" w:type="dxa"/>
            <w:vAlign w:val="center"/>
          </w:tcPr>
          <w:p>
            <w:pPr>
              <w:jc w:val="center"/>
              <w:rPr>
                <w:szCs w:val="21"/>
              </w:rPr>
            </w:pPr>
            <w:r>
              <w:rPr>
                <w:rFonts w:hint="eastAsia"/>
                <w:szCs w:val="21"/>
              </w:rPr>
              <w:t>讲授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05" w:type="dxa"/>
            <w:vAlign w:val="center"/>
          </w:tcPr>
          <w:p>
            <w:pPr>
              <w:jc w:val="center"/>
              <w:rPr>
                <w:szCs w:val="21"/>
              </w:rPr>
            </w:pPr>
            <w:r>
              <w:rPr>
                <w:sz w:val="24"/>
              </w:rPr>
              <w:t>5</w:t>
            </w:r>
          </w:p>
        </w:tc>
        <w:tc>
          <w:tcPr>
            <w:tcW w:w="2803" w:type="dxa"/>
            <w:vAlign w:val="center"/>
          </w:tcPr>
          <w:p>
            <w:pPr>
              <w:rPr>
                <w:rFonts w:hint="eastAsia"/>
              </w:rPr>
            </w:pPr>
            <w:r>
              <w:rPr>
                <w:rFonts w:hint="eastAsia"/>
                <w:bCs/>
                <w:szCs w:val="21"/>
              </w:rPr>
              <w:t>学习劳动托起中国梦</w:t>
            </w:r>
          </w:p>
        </w:tc>
        <w:tc>
          <w:tcPr>
            <w:tcW w:w="2041" w:type="dxa"/>
            <w:vAlign w:val="center"/>
          </w:tcPr>
          <w:p>
            <w:pPr>
              <w:jc w:val="center"/>
              <w:rPr>
                <w:rFonts w:hint="eastAsia"/>
                <w:szCs w:val="21"/>
              </w:rPr>
            </w:pPr>
            <w:r>
              <w:rPr>
                <w:szCs w:val="21"/>
              </w:rPr>
              <w:t>目标1</w:t>
            </w:r>
          </w:p>
        </w:tc>
        <w:tc>
          <w:tcPr>
            <w:tcW w:w="1361" w:type="dxa"/>
            <w:vAlign w:val="center"/>
          </w:tcPr>
          <w:p>
            <w:pPr>
              <w:jc w:val="center"/>
              <w:rPr>
                <w:szCs w:val="21"/>
              </w:rPr>
            </w:pPr>
            <w:r>
              <w:rPr>
                <w:rFonts w:hint="eastAsia"/>
                <w:szCs w:val="21"/>
              </w:rPr>
              <w:t>1、3、6、8</w:t>
            </w:r>
          </w:p>
        </w:tc>
        <w:tc>
          <w:tcPr>
            <w:tcW w:w="851" w:type="dxa"/>
            <w:vAlign w:val="center"/>
          </w:tcPr>
          <w:p>
            <w:pPr>
              <w:jc w:val="center"/>
              <w:rPr>
                <w:rFonts w:hint="eastAsia"/>
              </w:rPr>
            </w:pPr>
            <w:r>
              <w:rPr>
                <w:rFonts w:hint="eastAsia"/>
                <w:sz w:val="24"/>
              </w:rPr>
              <w:t>2</w:t>
            </w:r>
          </w:p>
        </w:tc>
        <w:tc>
          <w:tcPr>
            <w:tcW w:w="1417" w:type="dxa"/>
            <w:vAlign w:val="center"/>
          </w:tcPr>
          <w:p>
            <w:pPr>
              <w:jc w:val="center"/>
              <w:rPr>
                <w:szCs w:val="21"/>
              </w:rPr>
            </w:pPr>
            <w:r>
              <w:rPr>
                <w:rFonts w:hint="eastAsia"/>
                <w:szCs w:val="21"/>
              </w:rPr>
              <w:t>讲授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6910" w:type="dxa"/>
            <w:gridSpan w:val="4"/>
            <w:vAlign w:val="center"/>
          </w:tcPr>
          <w:p>
            <w:pPr>
              <w:jc w:val="center"/>
              <w:rPr>
                <w:szCs w:val="21"/>
              </w:rPr>
            </w:pPr>
            <w:r>
              <w:rPr>
                <w:bCs/>
                <w:szCs w:val="21"/>
              </w:rPr>
              <w:t>合    计</w:t>
            </w:r>
          </w:p>
        </w:tc>
        <w:tc>
          <w:tcPr>
            <w:tcW w:w="851" w:type="dxa"/>
            <w:vAlign w:val="center"/>
          </w:tcPr>
          <w:p>
            <w:pPr>
              <w:jc w:val="center"/>
              <w:rPr>
                <w:rFonts w:hint="eastAsia"/>
                <w:szCs w:val="21"/>
              </w:rPr>
            </w:pPr>
            <w:r>
              <w:rPr>
                <w:szCs w:val="21"/>
              </w:rPr>
              <w:t>16</w:t>
            </w:r>
          </w:p>
        </w:tc>
        <w:tc>
          <w:tcPr>
            <w:tcW w:w="1417" w:type="dxa"/>
            <w:vAlign w:val="center"/>
          </w:tcPr>
          <w:p>
            <w:pPr>
              <w:jc w:val="center"/>
              <w:rPr>
                <w:szCs w:val="21"/>
              </w:rPr>
            </w:pPr>
          </w:p>
        </w:tc>
      </w:tr>
    </w:tbl>
    <w:p>
      <w:pPr>
        <w:spacing w:line="360" w:lineRule="auto"/>
        <w:rPr>
          <w:rFonts w:hint="eastAsia"/>
          <w:sz w:val="24"/>
        </w:rPr>
      </w:pPr>
    </w:p>
    <w:p>
      <w:pPr>
        <w:spacing w:line="360" w:lineRule="auto"/>
        <w:rPr>
          <w:sz w:val="24"/>
        </w:rPr>
      </w:pPr>
      <w:r>
        <w:rPr>
          <w:rFonts w:hint="eastAsia"/>
          <w:sz w:val="24"/>
        </w:rPr>
        <w:t>（二）实践内容</w:t>
      </w:r>
    </w:p>
    <w:p>
      <w:pPr>
        <w:spacing w:line="360" w:lineRule="auto"/>
        <w:rPr>
          <w:sz w:val="24"/>
        </w:rPr>
      </w:pPr>
      <w:r>
        <w:rPr>
          <w:rFonts w:hint="eastAsia"/>
          <w:sz w:val="24"/>
        </w:rPr>
        <w:t>1</w:t>
      </w:r>
      <w:r>
        <w:rPr>
          <w:sz w:val="24"/>
        </w:rPr>
        <w:t xml:space="preserve"> </w:t>
      </w:r>
      <w:r>
        <w:rPr>
          <w:rFonts w:hint="eastAsia"/>
          <w:sz w:val="24"/>
        </w:rPr>
        <w:t>实验室安全常识</w:t>
      </w:r>
    </w:p>
    <w:p>
      <w:pPr>
        <w:spacing w:line="360" w:lineRule="auto"/>
        <w:ind w:firstLine="480" w:firstLineChars="200"/>
        <w:rPr>
          <w:sz w:val="24"/>
        </w:rPr>
      </w:pPr>
      <w:r>
        <w:rPr>
          <w:rFonts w:hint="eastAsia"/>
          <w:sz w:val="24"/>
        </w:rPr>
        <w:t>教学基本内容</w:t>
      </w:r>
    </w:p>
    <w:p>
      <w:pPr>
        <w:spacing w:line="360" w:lineRule="auto"/>
        <w:ind w:firstLine="480" w:firstLineChars="200"/>
        <w:rPr>
          <w:sz w:val="24"/>
        </w:rPr>
      </w:pPr>
      <w:r>
        <w:rPr>
          <w:rFonts w:hint="eastAsia"/>
          <w:sz w:val="24"/>
        </w:rPr>
        <w:t>（1）实验安全法律法规，危化品使用条例等</w:t>
      </w:r>
    </w:p>
    <w:p>
      <w:pPr>
        <w:spacing w:line="360" w:lineRule="auto"/>
        <w:ind w:firstLine="480" w:firstLineChars="200"/>
        <w:rPr>
          <w:sz w:val="24"/>
        </w:rPr>
      </w:pPr>
      <w:r>
        <w:rPr>
          <w:rFonts w:hint="eastAsia"/>
          <w:sz w:val="24"/>
        </w:rPr>
        <w:t>（2）实验室穿着规范，防护用品的使用：实验防化服、护目镜、防毒面具、防化手套的穿戴，喷淋设备、灭火器、防火毯、防火砂的使用。</w:t>
      </w:r>
    </w:p>
    <w:p>
      <w:pPr>
        <w:spacing w:line="360" w:lineRule="auto"/>
        <w:ind w:firstLine="480" w:firstLineChars="200"/>
        <w:rPr>
          <w:sz w:val="24"/>
        </w:rPr>
      </w:pPr>
      <w:r>
        <w:rPr>
          <w:rFonts w:hint="eastAsia"/>
          <w:sz w:val="24"/>
        </w:rPr>
        <w:t>（3）实验室用水、用电、用气安全。</w:t>
      </w:r>
    </w:p>
    <w:p>
      <w:pPr>
        <w:spacing w:line="360" w:lineRule="auto"/>
        <w:rPr>
          <w:sz w:val="24"/>
        </w:rPr>
      </w:pPr>
      <w:r>
        <w:rPr>
          <w:rFonts w:hint="eastAsia"/>
          <w:sz w:val="24"/>
        </w:rPr>
        <w:t>2</w:t>
      </w:r>
      <w:r>
        <w:rPr>
          <w:sz w:val="24"/>
        </w:rPr>
        <w:t xml:space="preserve"> </w:t>
      </w:r>
      <w:r>
        <w:rPr>
          <w:rFonts w:hint="eastAsia"/>
          <w:sz w:val="24"/>
        </w:rPr>
        <w:t>实验室卫生打扫</w:t>
      </w:r>
    </w:p>
    <w:p>
      <w:pPr>
        <w:spacing w:line="360" w:lineRule="auto"/>
        <w:ind w:firstLine="480" w:firstLineChars="200"/>
        <w:rPr>
          <w:sz w:val="24"/>
        </w:rPr>
      </w:pPr>
      <w:r>
        <w:rPr>
          <w:rFonts w:hint="eastAsia"/>
          <w:sz w:val="24"/>
        </w:rPr>
        <w:t>教学基本内容</w:t>
      </w:r>
    </w:p>
    <w:p>
      <w:pPr>
        <w:spacing w:line="360" w:lineRule="auto"/>
        <w:ind w:firstLine="480" w:firstLineChars="200"/>
        <w:rPr>
          <w:sz w:val="24"/>
        </w:rPr>
      </w:pPr>
      <w:r>
        <w:rPr>
          <w:rFonts w:hint="eastAsia"/>
          <w:sz w:val="24"/>
        </w:rPr>
        <w:t>实验室卫生打扫，包括通风厨、实验台、实验架、地面、大型仪器、窗台等的清洁。</w:t>
      </w:r>
    </w:p>
    <w:p>
      <w:pPr>
        <w:spacing w:line="360" w:lineRule="auto"/>
        <w:rPr>
          <w:sz w:val="24"/>
        </w:rPr>
      </w:pPr>
      <w:r>
        <w:rPr>
          <w:rFonts w:hint="eastAsia"/>
          <w:sz w:val="24"/>
        </w:rPr>
        <w:t>3</w:t>
      </w:r>
      <w:r>
        <w:rPr>
          <w:sz w:val="24"/>
        </w:rPr>
        <w:t xml:space="preserve"> </w:t>
      </w:r>
      <w:r>
        <w:rPr>
          <w:rFonts w:hint="eastAsia"/>
          <w:sz w:val="24"/>
        </w:rPr>
        <w:t>实验室库房的整理</w:t>
      </w:r>
    </w:p>
    <w:p>
      <w:pPr>
        <w:spacing w:line="360" w:lineRule="auto"/>
        <w:ind w:firstLine="480" w:firstLineChars="200"/>
        <w:rPr>
          <w:sz w:val="24"/>
        </w:rPr>
      </w:pPr>
      <w:r>
        <w:rPr>
          <w:rFonts w:hint="eastAsia"/>
          <w:sz w:val="24"/>
        </w:rPr>
        <w:t>教学基本内容</w:t>
      </w:r>
    </w:p>
    <w:p>
      <w:pPr>
        <w:spacing w:line="360" w:lineRule="auto"/>
        <w:ind w:firstLine="480" w:firstLineChars="200"/>
        <w:rPr>
          <w:sz w:val="24"/>
        </w:rPr>
      </w:pPr>
      <w:r>
        <w:rPr>
          <w:rFonts w:hint="eastAsia"/>
          <w:sz w:val="24"/>
        </w:rPr>
        <w:t>整理库房内物品，包括：检查实验仪器的完好程度，新仪器的整理编号，报废仪器的处置，所有仪器的归类（实验室仪器种类繁多有一千台（件））。</w:t>
      </w:r>
    </w:p>
    <w:p>
      <w:pPr>
        <w:spacing w:line="360" w:lineRule="auto"/>
        <w:rPr>
          <w:sz w:val="24"/>
        </w:rPr>
      </w:pPr>
      <w:r>
        <w:rPr>
          <w:rFonts w:hint="eastAsia"/>
          <w:sz w:val="24"/>
        </w:rPr>
        <w:t>4</w:t>
      </w:r>
      <w:r>
        <w:rPr>
          <w:sz w:val="24"/>
        </w:rPr>
        <w:t xml:space="preserve"> </w:t>
      </w:r>
      <w:r>
        <w:rPr>
          <w:rFonts w:hint="eastAsia"/>
          <w:sz w:val="24"/>
        </w:rPr>
        <w:t>实验室玻璃仪器清洁与规整</w:t>
      </w:r>
    </w:p>
    <w:p>
      <w:pPr>
        <w:spacing w:line="360" w:lineRule="auto"/>
        <w:ind w:firstLine="480" w:firstLineChars="200"/>
        <w:rPr>
          <w:sz w:val="24"/>
        </w:rPr>
      </w:pPr>
      <w:r>
        <w:rPr>
          <w:rFonts w:hint="eastAsia"/>
          <w:sz w:val="24"/>
        </w:rPr>
        <w:t>教学基本内容</w:t>
      </w:r>
    </w:p>
    <w:p>
      <w:pPr>
        <w:spacing w:line="360" w:lineRule="auto"/>
        <w:ind w:firstLine="480" w:firstLineChars="200"/>
        <w:rPr>
          <w:sz w:val="24"/>
        </w:rPr>
      </w:pPr>
      <w:r>
        <w:rPr>
          <w:rFonts w:hint="eastAsia"/>
          <w:sz w:val="24"/>
        </w:rPr>
        <w:t>整理库房内的玻璃仪器，如三口烧瓶，试管，烧杯等五十几种玻璃仪器的归类，仪器的清洗，烘干等</w:t>
      </w:r>
    </w:p>
    <w:p>
      <w:pPr>
        <w:spacing w:line="360" w:lineRule="auto"/>
        <w:rPr>
          <w:sz w:val="24"/>
        </w:rPr>
      </w:pPr>
      <w:r>
        <w:rPr>
          <w:rFonts w:hint="eastAsia"/>
          <w:sz w:val="24"/>
        </w:rPr>
        <w:t>5</w:t>
      </w:r>
      <w:r>
        <w:rPr>
          <w:sz w:val="24"/>
        </w:rPr>
        <w:t xml:space="preserve"> </w:t>
      </w:r>
      <w:r>
        <w:rPr>
          <w:rFonts w:hint="eastAsia"/>
          <w:sz w:val="24"/>
        </w:rPr>
        <w:t>实验室化学药品的管理、归类</w:t>
      </w:r>
    </w:p>
    <w:p>
      <w:pPr>
        <w:spacing w:line="360" w:lineRule="auto"/>
        <w:ind w:firstLine="480" w:firstLineChars="200"/>
        <w:rPr>
          <w:sz w:val="24"/>
        </w:rPr>
      </w:pPr>
      <w:r>
        <w:rPr>
          <w:rFonts w:hint="eastAsia"/>
          <w:sz w:val="24"/>
        </w:rPr>
        <w:t>教学基本内容</w:t>
      </w:r>
    </w:p>
    <w:p>
      <w:pPr>
        <w:spacing w:line="360" w:lineRule="auto"/>
        <w:ind w:firstLine="480" w:firstLineChars="200"/>
        <w:rPr>
          <w:sz w:val="24"/>
        </w:rPr>
      </w:pPr>
      <w:r>
        <w:rPr>
          <w:rFonts w:hint="eastAsia"/>
          <w:sz w:val="24"/>
        </w:rPr>
        <w:t>学习化学药品的识别、使用规范、分类存放标准，并对化学药品进行分类保存</w:t>
      </w:r>
    </w:p>
    <w:p>
      <w:pPr>
        <w:spacing w:line="360" w:lineRule="auto"/>
        <w:ind w:firstLine="480" w:firstLineChars="200"/>
        <w:rPr>
          <w:sz w:val="24"/>
        </w:rPr>
      </w:pPr>
      <w:r>
        <w:rPr>
          <w:rFonts w:hint="eastAsia"/>
          <w:sz w:val="24"/>
        </w:rPr>
        <w:t>（1）识别无机盐、有机试剂、管制品、高危化学品等（现存实验室药品三百多种）</w:t>
      </w:r>
    </w:p>
    <w:p>
      <w:pPr>
        <w:spacing w:line="360" w:lineRule="auto"/>
        <w:ind w:firstLine="480" w:firstLineChars="200"/>
        <w:rPr>
          <w:sz w:val="24"/>
        </w:rPr>
      </w:pPr>
      <w:r>
        <w:rPr>
          <w:rFonts w:hint="eastAsia"/>
          <w:sz w:val="24"/>
        </w:rPr>
        <w:t>（2）常见药品的使用，高危险药品的使用及注意事项，突发情况的处理。</w:t>
      </w:r>
    </w:p>
    <w:p>
      <w:pPr>
        <w:spacing w:line="360" w:lineRule="auto"/>
        <w:ind w:firstLine="480" w:firstLineChars="200"/>
        <w:rPr>
          <w:sz w:val="24"/>
        </w:rPr>
      </w:pPr>
      <w:r>
        <w:rPr>
          <w:rFonts w:hint="eastAsia"/>
          <w:sz w:val="24"/>
        </w:rPr>
        <w:t>（3）药品的分类存放，如：氧化剂和还原剂分开保存，易燃易爆试剂应保存在防爆柜中，易挥发物存放于冰箱中，固体和液体试剂分层摆放等。</w:t>
      </w:r>
    </w:p>
    <w:p>
      <w:pPr>
        <w:spacing w:line="360" w:lineRule="auto"/>
        <w:rPr>
          <w:sz w:val="24"/>
        </w:rPr>
      </w:pPr>
      <w:r>
        <w:rPr>
          <w:rFonts w:hint="eastAsia"/>
          <w:sz w:val="24"/>
        </w:rPr>
        <w:t>6</w:t>
      </w:r>
      <w:r>
        <w:rPr>
          <w:sz w:val="24"/>
        </w:rPr>
        <w:t xml:space="preserve"> </w:t>
      </w:r>
      <w:r>
        <w:rPr>
          <w:rFonts w:hint="eastAsia"/>
          <w:sz w:val="24"/>
        </w:rPr>
        <w:t>实验室化学试剂的配制</w:t>
      </w:r>
    </w:p>
    <w:p>
      <w:pPr>
        <w:spacing w:line="360" w:lineRule="auto"/>
        <w:ind w:firstLine="480" w:firstLineChars="200"/>
        <w:rPr>
          <w:sz w:val="24"/>
        </w:rPr>
      </w:pPr>
      <w:r>
        <w:rPr>
          <w:rFonts w:hint="eastAsia"/>
          <w:sz w:val="24"/>
        </w:rPr>
        <w:t>教学基本内容</w:t>
      </w:r>
    </w:p>
    <w:p>
      <w:pPr>
        <w:spacing w:line="360" w:lineRule="auto"/>
        <w:ind w:firstLine="480" w:firstLineChars="200"/>
        <w:rPr>
          <w:sz w:val="24"/>
        </w:rPr>
      </w:pPr>
      <w:r>
        <w:rPr>
          <w:rFonts w:hint="eastAsia"/>
          <w:sz w:val="24"/>
        </w:rPr>
        <w:t xml:space="preserve"> </w:t>
      </w:r>
      <w:r>
        <w:rPr>
          <w:sz w:val="24"/>
        </w:rPr>
        <w:t xml:space="preserve">   </w:t>
      </w:r>
      <w:r>
        <w:rPr>
          <w:rFonts w:hint="eastAsia"/>
          <w:sz w:val="24"/>
        </w:rPr>
        <w:t>常规化学试剂的配置：配置试剂的安全事项，无机试剂，分析试剂，有机试剂浓度的配置，玻璃仪器和设备的使用。</w:t>
      </w:r>
    </w:p>
    <w:p>
      <w:pPr>
        <w:spacing w:line="360" w:lineRule="auto"/>
        <w:rPr>
          <w:sz w:val="24"/>
        </w:rPr>
      </w:pPr>
      <w:r>
        <w:rPr>
          <w:rFonts w:hint="eastAsia"/>
          <w:sz w:val="24"/>
        </w:rPr>
        <w:t>7</w:t>
      </w:r>
      <w:r>
        <w:rPr>
          <w:sz w:val="24"/>
        </w:rPr>
        <w:t xml:space="preserve"> </w:t>
      </w:r>
      <w:r>
        <w:rPr>
          <w:rFonts w:hint="eastAsia"/>
          <w:sz w:val="24"/>
        </w:rPr>
        <w:t>实验室仪器的维护</w:t>
      </w:r>
    </w:p>
    <w:p>
      <w:pPr>
        <w:spacing w:line="360" w:lineRule="auto"/>
        <w:ind w:firstLine="480" w:firstLineChars="200"/>
        <w:rPr>
          <w:sz w:val="24"/>
        </w:rPr>
      </w:pPr>
      <w:r>
        <w:rPr>
          <w:rFonts w:hint="eastAsia"/>
          <w:sz w:val="24"/>
        </w:rPr>
        <w:t>教学基本内容</w:t>
      </w:r>
    </w:p>
    <w:p>
      <w:pPr>
        <w:spacing w:line="360" w:lineRule="auto"/>
        <w:ind w:firstLine="480" w:firstLineChars="200"/>
        <w:rPr>
          <w:sz w:val="24"/>
        </w:rPr>
      </w:pPr>
      <w:r>
        <w:rPr>
          <w:rFonts w:hint="eastAsia"/>
          <w:sz w:val="24"/>
        </w:rPr>
        <w:t xml:space="preserve"> </w:t>
      </w:r>
      <w:r>
        <w:rPr>
          <w:sz w:val="24"/>
        </w:rPr>
        <w:t xml:space="preserve">   </w:t>
      </w:r>
      <w:r>
        <w:rPr>
          <w:rFonts w:hint="eastAsia"/>
          <w:sz w:val="24"/>
        </w:rPr>
        <w:t>大型仪器的维护和保养：如紫外光谱仪器、气相色谱仪、物理化学仪器、化工原理仪器等大型设备的日常维护，日常清洁等。</w:t>
      </w:r>
    </w:p>
    <w:p>
      <w:pPr>
        <w:spacing w:line="360" w:lineRule="auto"/>
        <w:rPr>
          <w:sz w:val="24"/>
        </w:rPr>
      </w:pPr>
      <w:r>
        <w:rPr>
          <w:rFonts w:hint="eastAsia"/>
          <w:sz w:val="24"/>
        </w:rPr>
        <w:t>8</w:t>
      </w:r>
      <w:r>
        <w:rPr>
          <w:sz w:val="24"/>
        </w:rPr>
        <w:t xml:space="preserve"> </w:t>
      </w:r>
      <w:r>
        <w:rPr>
          <w:rFonts w:hint="eastAsia"/>
          <w:sz w:val="24"/>
        </w:rPr>
        <w:t>实验室危废预处理</w:t>
      </w:r>
    </w:p>
    <w:p>
      <w:pPr>
        <w:spacing w:line="360" w:lineRule="auto"/>
        <w:ind w:firstLine="480" w:firstLineChars="200"/>
        <w:rPr>
          <w:sz w:val="24"/>
        </w:rPr>
      </w:pPr>
      <w:r>
        <w:rPr>
          <w:rFonts w:hint="eastAsia"/>
          <w:sz w:val="24"/>
        </w:rPr>
        <w:t>教学基本内容</w:t>
      </w:r>
    </w:p>
    <w:p>
      <w:pPr>
        <w:spacing w:line="360" w:lineRule="auto"/>
        <w:ind w:firstLine="480" w:firstLineChars="200"/>
        <w:rPr>
          <w:sz w:val="24"/>
        </w:rPr>
      </w:pPr>
      <w:r>
        <w:rPr>
          <w:rFonts w:hint="eastAsia"/>
          <w:sz w:val="24"/>
        </w:rPr>
        <w:t>危险废弃物处置的相关的法律法规，安全注意事项。实验所产生的危险废弃物的分类收集，分类暂存。废弃物仓库标签的识别，标签的制作，标签的张贴等。实验室污水处理系统的运行，注意事项。</w:t>
      </w:r>
    </w:p>
    <w:p>
      <w:pPr>
        <w:spacing w:line="360" w:lineRule="auto"/>
        <w:ind w:firstLine="562" w:firstLineChars="200"/>
        <w:rPr>
          <w:b/>
          <w:sz w:val="28"/>
          <w:szCs w:val="28"/>
        </w:rPr>
      </w:pPr>
      <w:r>
        <w:rPr>
          <w:rFonts w:hint="eastAsia"/>
          <w:b/>
          <w:sz w:val="28"/>
          <w:szCs w:val="28"/>
        </w:rPr>
        <w:t>四</w:t>
      </w:r>
      <w:r>
        <w:rPr>
          <w:b/>
          <w:sz w:val="28"/>
          <w:szCs w:val="28"/>
        </w:rPr>
        <w:t>、</w:t>
      </w:r>
      <w:r>
        <w:rPr>
          <w:rFonts w:hint="eastAsia"/>
          <w:b/>
          <w:sz w:val="28"/>
          <w:szCs w:val="28"/>
        </w:rPr>
        <w:t>课内实验（实践）</w:t>
      </w:r>
    </w:p>
    <w:tbl>
      <w:tblPr>
        <w:tblStyle w:val="10"/>
        <w:tblW w:w="9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1344"/>
        <w:gridCol w:w="3685"/>
        <w:gridCol w:w="709"/>
        <w:gridCol w:w="1504"/>
        <w:gridCol w:w="840"/>
        <w:gridCol w:w="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shd w:val="clear" w:color="auto" w:fill="FFFFFF"/>
            <w:vAlign w:val="center"/>
          </w:tcPr>
          <w:p>
            <w:pPr>
              <w:jc w:val="center"/>
              <w:rPr>
                <w:bCs/>
                <w:spacing w:val="-20"/>
                <w:szCs w:val="21"/>
              </w:rPr>
            </w:pPr>
            <w:r>
              <w:rPr>
                <w:bCs/>
                <w:spacing w:val="-20"/>
                <w:szCs w:val="21"/>
              </w:rPr>
              <w:t>序号</w:t>
            </w:r>
          </w:p>
        </w:tc>
        <w:tc>
          <w:tcPr>
            <w:tcW w:w="1344" w:type="dxa"/>
            <w:shd w:val="clear" w:color="auto" w:fill="FFFFFF"/>
            <w:vAlign w:val="center"/>
          </w:tcPr>
          <w:p>
            <w:pPr>
              <w:jc w:val="center"/>
              <w:rPr>
                <w:bCs/>
                <w:szCs w:val="21"/>
              </w:rPr>
            </w:pPr>
            <w:r>
              <w:rPr>
                <w:bCs/>
                <w:szCs w:val="21"/>
              </w:rPr>
              <w:t>实验项目名称</w:t>
            </w:r>
          </w:p>
        </w:tc>
        <w:tc>
          <w:tcPr>
            <w:tcW w:w="3685" w:type="dxa"/>
            <w:shd w:val="clear" w:color="auto" w:fill="FFFFFF"/>
            <w:vAlign w:val="center"/>
          </w:tcPr>
          <w:p>
            <w:pPr>
              <w:jc w:val="center"/>
              <w:rPr>
                <w:bCs/>
                <w:szCs w:val="21"/>
              </w:rPr>
            </w:pPr>
            <w:r>
              <w:rPr>
                <w:bCs/>
                <w:szCs w:val="21"/>
              </w:rPr>
              <w:t>实验内容及要求</w:t>
            </w:r>
          </w:p>
        </w:tc>
        <w:tc>
          <w:tcPr>
            <w:tcW w:w="709" w:type="dxa"/>
            <w:shd w:val="clear" w:color="auto" w:fill="FFFFFF"/>
            <w:vAlign w:val="center"/>
          </w:tcPr>
          <w:p>
            <w:pPr>
              <w:jc w:val="center"/>
              <w:rPr>
                <w:bCs/>
                <w:szCs w:val="21"/>
              </w:rPr>
            </w:pPr>
            <w:r>
              <w:rPr>
                <w:bCs/>
                <w:szCs w:val="21"/>
              </w:rPr>
              <w:t>学时</w:t>
            </w:r>
          </w:p>
        </w:tc>
        <w:tc>
          <w:tcPr>
            <w:tcW w:w="1504" w:type="dxa"/>
            <w:shd w:val="clear" w:color="auto" w:fill="FFFFFF"/>
            <w:vAlign w:val="center"/>
          </w:tcPr>
          <w:p>
            <w:pPr>
              <w:jc w:val="center"/>
              <w:rPr>
                <w:bCs/>
                <w:szCs w:val="21"/>
              </w:rPr>
            </w:pPr>
            <w:r>
              <w:rPr>
                <w:bCs/>
                <w:szCs w:val="21"/>
              </w:rPr>
              <w:t>对毕业要求的支撑</w:t>
            </w:r>
          </w:p>
        </w:tc>
        <w:tc>
          <w:tcPr>
            <w:tcW w:w="840" w:type="dxa"/>
            <w:shd w:val="clear" w:color="auto" w:fill="FFFFFF"/>
            <w:tcMar>
              <w:left w:w="28" w:type="dxa"/>
              <w:right w:w="28" w:type="dxa"/>
            </w:tcMar>
            <w:vAlign w:val="center"/>
          </w:tcPr>
          <w:p>
            <w:pPr>
              <w:jc w:val="center"/>
              <w:rPr>
                <w:bCs/>
                <w:szCs w:val="21"/>
              </w:rPr>
            </w:pPr>
            <w:r>
              <w:rPr>
                <w:bCs/>
                <w:szCs w:val="21"/>
              </w:rPr>
              <w:t>类型</w:t>
            </w:r>
          </w:p>
        </w:tc>
        <w:tc>
          <w:tcPr>
            <w:tcW w:w="630" w:type="dxa"/>
            <w:shd w:val="clear" w:color="auto" w:fill="FFFFFF"/>
            <w:tcMar>
              <w:left w:w="28" w:type="dxa"/>
              <w:right w:w="28" w:type="dxa"/>
            </w:tcMar>
            <w:vAlign w:val="center"/>
          </w:tcPr>
          <w:p>
            <w:pPr>
              <w:jc w:val="center"/>
              <w:rPr>
                <w:bCs/>
                <w:szCs w:val="21"/>
              </w:rPr>
            </w:pPr>
            <w:r>
              <w:rPr>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636" w:type="dxa"/>
            <w:vAlign w:val="center"/>
          </w:tcPr>
          <w:p>
            <w:pPr>
              <w:jc w:val="center"/>
              <w:rPr>
                <w:bCs/>
                <w:szCs w:val="21"/>
              </w:rPr>
            </w:pPr>
            <w:r>
              <w:rPr>
                <w:bCs/>
                <w:szCs w:val="21"/>
              </w:rPr>
              <w:t>1</w:t>
            </w:r>
          </w:p>
        </w:tc>
        <w:tc>
          <w:tcPr>
            <w:tcW w:w="1344" w:type="dxa"/>
            <w:vAlign w:val="center"/>
          </w:tcPr>
          <w:p>
            <w:pPr>
              <w:jc w:val="center"/>
              <w:rPr>
                <w:bCs/>
                <w:szCs w:val="21"/>
              </w:rPr>
            </w:pPr>
            <w:r>
              <w:rPr>
                <w:rFonts w:hint="eastAsia"/>
                <w:bCs/>
                <w:szCs w:val="21"/>
              </w:rPr>
              <w:t>实践1</w:t>
            </w:r>
          </w:p>
        </w:tc>
        <w:tc>
          <w:tcPr>
            <w:tcW w:w="3685" w:type="dxa"/>
          </w:tcPr>
          <w:p>
            <w:pPr>
              <w:rPr>
                <w:bCs/>
                <w:szCs w:val="21"/>
              </w:rPr>
            </w:pPr>
            <w:r>
              <w:rPr>
                <w:rFonts w:hint="eastAsia"/>
                <w:bCs/>
                <w:szCs w:val="21"/>
              </w:rPr>
              <w:t>实验室卫生打扫，实验室库房的整理</w:t>
            </w:r>
          </w:p>
        </w:tc>
        <w:tc>
          <w:tcPr>
            <w:tcW w:w="709" w:type="dxa"/>
            <w:vAlign w:val="center"/>
          </w:tcPr>
          <w:p>
            <w:pPr>
              <w:jc w:val="center"/>
              <w:rPr>
                <w:bCs/>
                <w:szCs w:val="21"/>
              </w:rPr>
            </w:pPr>
            <w:r>
              <w:rPr>
                <w:rFonts w:hint="eastAsia"/>
                <w:bCs/>
                <w:szCs w:val="21"/>
              </w:rPr>
              <w:t>4</w:t>
            </w:r>
          </w:p>
        </w:tc>
        <w:tc>
          <w:tcPr>
            <w:tcW w:w="1504" w:type="dxa"/>
            <w:vAlign w:val="center"/>
          </w:tcPr>
          <w:p>
            <w:pPr>
              <w:jc w:val="center"/>
              <w:rPr>
                <w:bCs/>
                <w:szCs w:val="21"/>
              </w:rPr>
            </w:pPr>
            <w:r>
              <w:rPr>
                <w:rFonts w:hint="eastAsia"/>
                <w:szCs w:val="21"/>
              </w:rPr>
              <w:t>1、3、6、8</w:t>
            </w:r>
          </w:p>
        </w:tc>
        <w:tc>
          <w:tcPr>
            <w:tcW w:w="840" w:type="dxa"/>
            <w:tcMar>
              <w:left w:w="28" w:type="dxa"/>
              <w:right w:w="28" w:type="dxa"/>
            </w:tcMar>
            <w:vAlign w:val="center"/>
          </w:tcPr>
          <w:p>
            <w:pPr>
              <w:jc w:val="center"/>
              <w:rPr>
                <w:szCs w:val="21"/>
              </w:rPr>
            </w:pPr>
          </w:p>
        </w:tc>
        <w:tc>
          <w:tcPr>
            <w:tcW w:w="630" w:type="dxa"/>
            <w:tcMar>
              <w:left w:w="28" w:type="dxa"/>
              <w:right w:w="28" w:type="dxa"/>
            </w:tcMar>
            <w:vAlign w:val="center"/>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636" w:type="dxa"/>
            <w:vAlign w:val="center"/>
          </w:tcPr>
          <w:p>
            <w:pPr>
              <w:jc w:val="center"/>
              <w:rPr>
                <w:bCs/>
                <w:szCs w:val="21"/>
              </w:rPr>
            </w:pPr>
            <w:r>
              <w:rPr>
                <w:bCs/>
                <w:szCs w:val="21"/>
              </w:rPr>
              <w:t>2</w:t>
            </w:r>
          </w:p>
        </w:tc>
        <w:tc>
          <w:tcPr>
            <w:tcW w:w="1344" w:type="dxa"/>
            <w:vAlign w:val="center"/>
          </w:tcPr>
          <w:p>
            <w:pPr>
              <w:jc w:val="center"/>
              <w:rPr>
                <w:bCs/>
                <w:szCs w:val="21"/>
              </w:rPr>
            </w:pPr>
            <w:r>
              <w:rPr>
                <w:rFonts w:hint="eastAsia"/>
                <w:bCs/>
                <w:szCs w:val="21"/>
              </w:rPr>
              <w:t>实践</w:t>
            </w:r>
            <w:r>
              <w:rPr>
                <w:bCs/>
                <w:szCs w:val="21"/>
              </w:rPr>
              <w:t>2</w:t>
            </w:r>
          </w:p>
        </w:tc>
        <w:tc>
          <w:tcPr>
            <w:tcW w:w="3685" w:type="dxa"/>
          </w:tcPr>
          <w:p>
            <w:pPr>
              <w:rPr>
                <w:bCs/>
                <w:szCs w:val="21"/>
              </w:rPr>
            </w:pPr>
            <w:r>
              <w:rPr>
                <w:rFonts w:hint="eastAsia"/>
                <w:bCs/>
                <w:szCs w:val="21"/>
              </w:rPr>
              <w:t>实验室玻璃仪器清洁与规整</w:t>
            </w:r>
          </w:p>
        </w:tc>
        <w:tc>
          <w:tcPr>
            <w:tcW w:w="709" w:type="dxa"/>
            <w:vAlign w:val="center"/>
          </w:tcPr>
          <w:p>
            <w:pPr>
              <w:jc w:val="center"/>
              <w:rPr>
                <w:bCs/>
                <w:szCs w:val="21"/>
              </w:rPr>
            </w:pPr>
            <w:r>
              <w:rPr>
                <w:rFonts w:hint="eastAsia"/>
                <w:bCs/>
                <w:szCs w:val="21"/>
              </w:rPr>
              <w:t>4</w:t>
            </w:r>
          </w:p>
        </w:tc>
        <w:tc>
          <w:tcPr>
            <w:tcW w:w="1504" w:type="dxa"/>
            <w:vAlign w:val="center"/>
          </w:tcPr>
          <w:p>
            <w:pPr>
              <w:jc w:val="center"/>
              <w:rPr>
                <w:bCs/>
                <w:szCs w:val="21"/>
              </w:rPr>
            </w:pPr>
            <w:r>
              <w:rPr>
                <w:rFonts w:hint="eastAsia"/>
                <w:szCs w:val="21"/>
              </w:rPr>
              <w:t>1、3、6、8</w:t>
            </w:r>
          </w:p>
        </w:tc>
        <w:tc>
          <w:tcPr>
            <w:tcW w:w="840" w:type="dxa"/>
            <w:tcMar>
              <w:left w:w="28" w:type="dxa"/>
              <w:right w:w="28" w:type="dxa"/>
            </w:tcMar>
            <w:vAlign w:val="center"/>
          </w:tcPr>
          <w:p>
            <w:pPr>
              <w:jc w:val="center"/>
              <w:rPr>
                <w:szCs w:val="21"/>
              </w:rPr>
            </w:pPr>
          </w:p>
        </w:tc>
        <w:tc>
          <w:tcPr>
            <w:tcW w:w="630" w:type="dxa"/>
            <w:tcMar>
              <w:left w:w="28" w:type="dxa"/>
              <w:right w:w="28" w:type="dxa"/>
            </w:tcMar>
            <w:vAlign w:val="center"/>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636" w:type="dxa"/>
            <w:vAlign w:val="center"/>
          </w:tcPr>
          <w:p>
            <w:pPr>
              <w:jc w:val="center"/>
              <w:rPr>
                <w:bCs/>
                <w:szCs w:val="21"/>
              </w:rPr>
            </w:pPr>
            <w:r>
              <w:rPr>
                <w:bCs/>
                <w:szCs w:val="21"/>
              </w:rPr>
              <w:t>3</w:t>
            </w:r>
          </w:p>
        </w:tc>
        <w:tc>
          <w:tcPr>
            <w:tcW w:w="1344" w:type="dxa"/>
            <w:vAlign w:val="center"/>
          </w:tcPr>
          <w:p>
            <w:pPr>
              <w:jc w:val="center"/>
              <w:rPr>
                <w:bCs/>
                <w:szCs w:val="21"/>
              </w:rPr>
            </w:pPr>
            <w:r>
              <w:rPr>
                <w:rFonts w:hint="eastAsia"/>
                <w:bCs/>
                <w:szCs w:val="21"/>
              </w:rPr>
              <w:t>实践</w:t>
            </w:r>
            <w:r>
              <w:rPr>
                <w:bCs/>
                <w:szCs w:val="21"/>
              </w:rPr>
              <w:t>3</w:t>
            </w:r>
          </w:p>
        </w:tc>
        <w:tc>
          <w:tcPr>
            <w:tcW w:w="3685" w:type="dxa"/>
          </w:tcPr>
          <w:p>
            <w:pPr>
              <w:rPr>
                <w:bCs/>
                <w:szCs w:val="21"/>
              </w:rPr>
            </w:pPr>
            <w:r>
              <w:rPr>
                <w:rFonts w:hint="eastAsia"/>
                <w:bCs/>
                <w:szCs w:val="21"/>
              </w:rPr>
              <w:t>实验室化学药品的管理、归类</w:t>
            </w:r>
          </w:p>
        </w:tc>
        <w:tc>
          <w:tcPr>
            <w:tcW w:w="709" w:type="dxa"/>
            <w:vAlign w:val="center"/>
          </w:tcPr>
          <w:p>
            <w:pPr>
              <w:jc w:val="center"/>
              <w:rPr>
                <w:bCs/>
                <w:szCs w:val="21"/>
              </w:rPr>
            </w:pPr>
            <w:r>
              <w:rPr>
                <w:rFonts w:hint="eastAsia"/>
                <w:bCs/>
                <w:szCs w:val="21"/>
              </w:rPr>
              <w:t>4</w:t>
            </w:r>
          </w:p>
        </w:tc>
        <w:tc>
          <w:tcPr>
            <w:tcW w:w="1504" w:type="dxa"/>
            <w:vAlign w:val="center"/>
          </w:tcPr>
          <w:p>
            <w:pPr>
              <w:jc w:val="center"/>
              <w:rPr>
                <w:bCs/>
                <w:szCs w:val="21"/>
              </w:rPr>
            </w:pPr>
            <w:r>
              <w:rPr>
                <w:rFonts w:hint="eastAsia"/>
                <w:szCs w:val="21"/>
              </w:rPr>
              <w:t>1、3、6、8</w:t>
            </w:r>
          </w:p>
        </w:tc>
        <w:tc>
          <w:tcPr>
            <w:tcW w:w="840" w:type="dxa"/>
            <w:tcMar>
              <w:left w:w="28" w:type="dxa"/>
              <w:right w:w="28" w:type="dxa"/>
            </w:tcMar>
            <w:vAlign w:val="center"/>
          </w:tcPr>
          <w:p>
            <w:pPr>
              <w:jc w:val="center"/>
              <w:rPr>
                <w:szCs w:val="21"/>
              </w:rPr>
            </w:pPr>
          </w:p>
        </w:tc>
        <w:tc>
          <w:tcPr>
            <w:tcW w:w="630" w:type="dxa"/>
            <w:tcMar>
              <w:left w:w="28" w:type="dxa"/>
              <w:right w:w="28" w:type="dxa"/>
            </w:tcMar>
            <w:vAlign w:val="center"/>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636" w:type="dxa"/>
            <w:vAlign w:val="center"/>
          </w:tcPr>
          <w:p>
            <w:pPr>
              <w:jc w:val="center"/>
              <w:rPr>
                <w:bCs/>
                <w:szCs w:val="21"/>
              </w:rPr>
            </w:pPr>
            <w:r>
              <w:rPr>
                <w:rFonts w:hint="eastAsia"/>
                <w:bCs/>
                <w:szCs w:val="21"/>
              </w:rPr>
              <w:t>4</w:t>
            </w:r>
          </w:p>
        </w:tc>
        <w:tc>
          <w:tcPr>
            <w:tcW w:w="1344" w:type="dxa"/>
            <w:vAlign w:val="center"/>
          </w:tcPr>
          <w:p>
            <w:pPr>
              <w:jc w:val="center"/>
              <w:rPr>
                <w:bCs/>
                <w:szCs w:val="21"/>
              </w:rPr>
            </w:pPr>
            <w:r>
              <w:rPr>
                <w:rFonts w:hint="eastAsia"/>
                <w:bCs/>
                <w:szCs w:val="21"/>
              </w:rPr>
              <w:t>实践</w:t>
            </w:r>
            <w:r>
              <w:rPr>
                <w:bCs/>
                <w:szCs w:val="21"/>
              </w:rPr>
              <w:t>4</w:t>
            </w:r>
          </w:p>
        </w:tc>
        <w:tc>
          <w:tcPr>
            <w:tcW w:w="3685" w:type="dxa"/>
            <w:vAlign w:val="center"/>
          </w:tcPr>
          <w:p>
            <w:pPr>
              <w:rPr>
                <w:rFonts w:hint="eastAsia"/>
                <w:bCs/>
                <w:szCs w:val="21"/>
              </w:rPr>
            </w:pPr>
            <w:r>
              <w:rPr>
                <w:rFonts w:hint="eastAsia"/>
                <w:bCs/>
                <w:szCs w:val="21"/>
              </w:rPr>
              <w:t>实验室化学试剂的配制</w:t>
            </w:r>
          </w:p>
        </w:tc>
        <w:tc>
          <w:tcPr>
            <w:tcW w:w="709" w:type="dxa"/>
            <w:vAlign w:val="center"/>
          </w:tcPr>
          <w:p>
            <w:pPr>
              <w:jc w:val="center"/>
              <w:rPr>
                <w:bCs/>
                <w:szCs w:val="21"/>
              </w:rPr>
            </w:pPr>
            <w:r>
              <w:rPr>
                <w:rFonts w:hint="eastAsia"/>
                <w:bCs/>
                <w:szCs w:val="21"/>
              </w:rPr>
              <w:t>2</w:t>
            </w:r>
          </w:p>
        </w:tc>
        <w:tc>
          <w:tcPr>
            <w:tcW w:w="1504" w:type="dxa"/>
            <w:vAlign w:val="center"/>
          </w:tcPr>
          <w:p>
            <w:pPr>
              <w:jc w:val="center"/>
              <w:rPr>
                <w:bCs/>
                <w:szCs w:val="21"/>
              </w:rPr>
            </w:pPr>
            <w:r>
              <w:rPr>
                <w:rFonts w:hint="eastAsia"/>
                <w:szCs w:val="21"/>
              </w:rPr>
              <w:t>1、3、6、8</w:t>
            </w:r>
          </w:p>
        </w:tc>
        <w:tc>
          <w:tcPr>
            <w:tcW w:w="840" w:type="dxa"/>
            <w:tcMar>
              <w:left w:w="28" w:type="dxa"/>
              <w:right w:w="28" w:type="dxa"/>
            </w:tcMar>
            <w:vAlign w:val="center"/>
          </w:tcPr>
          <w:p>
            <w:pPr>
              <w:jc w:val="center"/>
              <w:rPr>
                <w:szCs w:val="21"/>
              </w:rPr>
            </w:pPr>
          </w:p>
        </w:tc>
        <w:tc>
          <w:tcPr>
            <w:tcW w:w="630" w:type="dxa"/>
            <w:tcMar>
              <w:left w:w="28" w:type="dxa"/>
              <w:right w:w="28" w:type="dxa"/>
            </w:tcMar>
            <w:vAlign w:val="center"/>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636" w:type="dxa"/>
            <w:vAlign w:val="center"/>
          </w:tcPr>
          <w:p>
            <w:pPr>
              <w:jc w:val="center"/>
              <w:rPr>
                <w:bCs/>
                <w:szCs w:val="21"/>
              </w:rPr>
            </w:pPr>
            <w:r>
              <w:rPr>
                <w:rFonts w:hint="eastAsia"/>
                <w:bCs/>
                <w:szCs w:val="21"/>
              </w:rPr>
              <w:t>5</w:t>
            </w:r>
          </w:p>
        </w:tc>
        <w:tc>
          <w:tcPr>
            <w:tcW w:w="1344" w:type="dxa"/>
            <w:vAlign w:val="center"/>
          </w:tcPr>
          <w:p>
            <w:pPr>
              <w:jc w:val="center"/>
              <w:rPr>
                <w:bCs/>
                <w:szCs w:val="21"/>
              </w:rPr>
            </w:pPr>
            <w:r>
              <w:rPr>
                <w:rFonts w:hint="eastAsia"/>
                <w:bCs/>
                <w:szCs w:val="21"/>
              </w:rPr>
              <w:t>实践</w:t>
            </w:r>
            <w:r>
              <w:rPr>
                <w:bCs/>
                <w:szCs w:val="21"/>
              </w:rPr>
              <w:t>5</w:t>
            </w:r>
          </w:p>
        </w:tc>
        <w:tc>
          <w:tcPr>
            <w:tcW w:w="3685" w:type="dxa"/>
            <w:vAlign w:val="center"/>
          </w:tcPr>
          <w:p>
            <w:pPr>
              <w:rPr>
                <w:rFonts w:hint="eastAsia"/>
                <w:bCs/>
                <w:szCs w:val="21"/>
              </w:rPr>
            </w:pPr>
            <w:r>
              <w:rPr>
                <w:rFonts w:hint="eastAsia"/>
                <w:bCs/>
                <w:szCs w:val="21"/>
              </w:rPr>
              <w:t>实验室仪器的维护，实验室危废预处理</w:t>
            </w:r>
          </w:p>
        </w:tc>
        <w:tc>
          <w:tcPr>
            <w:tcW w:w="709" w:type="dxa"/>
            <w:vAlign w:val="center"/>
          </w:tcPr>
          <w:p>
            <w:pPr>
              <w:jc w:val="center"/>
              <w:rPr>
                <w:bCs/>
                <w:szCs w:val="21"/>
              </w:rPr>
            </w:pPr>
            <w:r>
              <w:rPr>
                <w:rFonts w:hint="eastAsia"/>
                <w:bCs/>
                <w:szCs w:val="21"/>
              </w:rPr>
              <w:t>2</w:t>
            </w:r>
          </w:p>
        </w:tc>
        <w:tc>
          <w:tcPr>
            <w:tcW w:w="1504" w:type="dxa"/>
            <w:vAlign w:val="center"/>
          </w:tcPr>
          <w:p>
            <w:pPr>
              <w:jc w:val="center"/>
              <w:rPr>
                <w:bCs/>
                <w:szCs w:val="21"/>
              </w:rPr>
            </w:pPr>
            <w:r>
              <w:rPr>
                <w:rFonts w:hint="eastAsia"/>
                <w:szCs w:val="21"/>
              </w:rPr>
              <w:t>1、3、6、8</w:t>
            </w:r>
          </w:p>
        </w:tc>
        <w:tc>
          <w:tcPr>
            <w:tcW w:w="840" w:type="dxa"/>
            <w:tcMar>
              <w:left w:w="28" w:type="dxa"/>
              <w:right w:w="28" w:type="dxa"/>
            </w:tcMar>
            <w:vAlign w:val="center"/>
          </w:tcPr>
          <w:p>
            <w:pPr>
              <w:jc w:val="center"/>
              <w:rPr>
                <w:szCs w:val="21"/>
              </w:rPr>
            </w:pPr>
          </w:p>
        </w:tc>
        <w:tc>
          <w:tcPr>
            <w:tcW w:w="630" w:type="dxa"/>
            <w:tcMar>
              <w:left w:w="28" w:type="dxa"/>
              <w:right w:w="28" w:type="dxa"/>
            </w:tcMar>
            <w:vAlign w:val="center"/>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636" w:type="dxa"/>
            <w:vAlign w:val="center"/>
          </w:tcPr>
          <w:p>
            <w:pPr>
              <w:jc w:val="center"/>
              <w:rPr>
                <w:rFonts w:hint="eastAsia"/>
                <w:bCs/>
                <w:szCs w:val="21"/>
              </w:rPr>
            </w:pPr>
          </w:p>
        </w:tc>
        <w:tc>
          <w:tcPr>
            <w:tcW w:w="1344" w:type="dxa"/>
            <w:vAlign w:val="center"/>
          </w:tcPr>
          <w:p>
            <w:pPr>
              <w:jc w:val="center"/>
              <w:rPr>
                <w:rFonts w:hint="eastAsia"/>
                <w:bCs/>
                <w:szCs w:val="21"/>
              </w:rPr>
            </w:pPr>
            <w:r>
              <w:rPr>
                <w:rFonts w:hint="eastAsia"/>
                <w:bCs/>
                <w:szCs w:val="21"/>
              </w:rPr>
              <w:t>合计</w:t>
            </w:r>
          </w:p>
        </w:tc>
        <w:tc>
          <w:tcPr>
            <w:tcW w:w="3685" w:type="dxa"/>
            <w:vAlign w:val="center"/>
          </w:tcPr>
          <w:p>
            <w:pPr>
              <w:rPr>
                <w:rFonts w:hint="eastAsia"/>
                <w:bCs/>
                <w:szCs w:val="21"/>
              </w:rPr>
            </w:pPr>
          </w:p>
        </w:tc>
        <w:tc>
          <w:tcPr>
            <w:tcW w:w="709" w:type="dxa"/>
            <w:vAlign w:val="center"/>
          </w:tcPr>
          <w:p>
            <w:pPr>
              <w:jc w:val="center"/>
              <w:rPr>
                <w:rFonts w:hint="eastAsia"/>
                <w:bCs/>
                <w:szCs w:val="21"/>
              </w:rPr>
            </w:pPr>
            <w:r>
              <w:rPr>
                <w:rFonts w:hint="eastAsia"/>
                <w:bCs/>
                <w:szCs w:val="21"/>
              </w:rPr>
              <w:t>1</w:t>
            </w:r>
            <w:r>
              <w:rPr>
                <w:bCs/>
                <w:szCs w:val="21"/>
              </w:rPr>
              <w:t>6</w:t>
            </w:r>
          </w:p>
        </w:tc>
        <w:tc>
          <w:tcPr>
            <w:tcW w:w="1504" w:type="dxa"/>
            <w:vAlign w:val="center"/>
          </w:tcPr>
          <w:p>
            <w:pPr>
              <w:jc w:val="center"/>
              <w:rPr>
                <w:rFonts w:hint="eastAsia"/>
                <w:bCs/>
                <w:szCs w:val="21"/>
              </w:rPr>
            </w:pPr>
          </w:p>
        </w:tc>
        <w:tc>
          <w:tcPr>
            <w:tcW w:w="840" w:type="dxa"/>
            <w:tcMar>
              <w:left w:w="28" w:type="dxa"/>
              <w:right w:w="28" w:type="dxa"/>
            </w:tcMar>
            <w:vAlign w:val="center"/>
          </w:tcPr>
          <w:p>
            <w:pPr>
              <w:jc w:val="center"/>
              <w:rPr>
                <w:szCs w:val="21"/>
              </w:rPr>
            </w:pPr>
          </w:p>
        </w:tc>
        <w:tc>
          <w:tcPr>
            <w:tcW w:w="630" w:type="dxa"/>
            <w:tcMar>
              <w:left w:w="28" w:type="dxa"/>
              <w:right w:w="28" w:type="dxa"/>
            </w:tcMar>
            <w:vAlign w:val="center"/>
          </w:tcPr>
          <w:p>
            <w:pPr>
              <w:jc w:val="center"/>
              <w:rPr>
                <w:bCs/>
                <w:szCs w:val="21"/>
              </w:rPr>
            </w:pPr>
          </w:p>
        </w:tc>
      </w:tr>
    </w:tbl>
    <w:p>
      <w:pPr>
        <w:spacing w:line="360" w:lineRule="auto"/>
        <w:ind w:firstLine="562" w:firstLineChars="200"/>
        <w:rPr>
          <w:b/>
          <w:sz w:val="28"/>
          <w:szCs w:val="28"/>
        </w:rPr>
      </w:pPr>
      <w:r>
        <w:rPr>
          <w:rFonts w:hint="eastAsia"/>
          <w:b/>
          <w:sz w:val="28"/>
          <w:szCs w:val="28"/>
        </w:rPr>
        <w:t>五、课程实施</w:t>
      </w:r>
    </w:p>
    <w:p>
      <w:pPr>
        <w:spacing w:line="400" w:lineRule="atLeast"/>
        <w:ind w:firstLine="480" w:firstLineChars="200"/>
        <w:rPr>
          <w:sz w:val="24"/>
        </w:rPr>
      </w:pPr>
      <w:r>
        <w:rPr>
          <w:sz w:val="24"/>
        </w:rPr>
        <w:t>（一）强化课前预习要求，以课堂讲授为主，适时安排客场讨论和习题课，强化各章学后小结要求，每周一定数量的作业要求，作业要求一定的质量。</w:t>
      </w:r>
    </w:p>
    <w:p>
      <w:pPr>
        <w:spacing w:line="360" w:lineRule="auto"/>
        <w:ind w:firstLine="480" w:firstLineChars="200"/>
        <w:rPr>
          <w:sz w:val="24"/>
        </w:rPr>
      </w:pPr>
      <w:r>
        <w:rPr>
          <w:sz w:val="24"/>
        </w:rPr>
        <w:t>（二）反应部分以</w:t>
      </w:r>
      <w:r>
        <w:rPr>
          <w:rFonts w:hint="eastAsia"/>
          <w:sz w:val="24"/>
        </w:rPr>
        <w:t>马克思劳动理论教育</w:t>
      </w:r>
      <w:r>
        <w:rPr>
          <w:sz w:val="24"/>
        </w:rPr>
        <w:t>为主线，结构部分加强</w:t>
      </w:r>
      <w:r>
        <w:rPr>
          <w:rFonts w:hint="eastAsia"/>
          <w:sz w:val="24"/>
        </w:rPr>
        <w:t>理论</w:t>
      </w:r>
      <w:r>
        <w:rPr>
          <w:sz w:val="24"/>
        </w:rPr>
        <w:t>与</w:t>
      </w:r>
      <w:r>
        <w:rPr>
          <w:rFonts w:hint="eastAsia"/>
          <w:sz w:val="24"/>
        </w:rPr>
        <w:t>实践</w:t>
      </w:r>
      <w:r>
        <w:rPr>
          <w:sz w:val="24"/>
        </w:rPr>
        <w:t>之间的联系，加</w:t>
      </w:r>
      <w:r>
        <w:rPr>
          <w:rFonts w:hint="eastAsia"/>
          <w:sz w:val="24"/>
        </w:rPr>
        <w:t>深学生对劳动意识、劳动精神的认识</w:t>
      </w:r>
      <w:r>
        <w:rPr>
          <w:sz w:val="24"/>
        </w:rPr>
        <w:t>。</w:t>
      </w:r>
    </w:p>
    <w:p>
      <w:pPr>
        <w:spacing w:line="360" w:lineRule="auto"/>
        <w:ind w:firstLine="480" w:firstLineChars="200"/>
        <w:rPr>
          <w:sz w:val="24"/>
        </w:rPr>
      </w:pPr>
      <w:r>
        <w:rPr>
          <w:sz w:val="24"/>
        </w:rPr>
        <w:t>（三）本课程在教学方法和手段等方面，应努力利用多媒体、教学录像等辅助教学手段，以提高本门课程的课堂教学效益。</w:t>
      </w:r>
    </w:p>
    <w:p>
      <w:pPr>
        <w:spacing w:line="360" w:lineRule="auto"/>
        <w:ind w:firstLine="480" w:firstLineChars="200"/>
        <w:rPr>
          <w:b/>
          <w:sz w:val="24"/>
        </w:rPr>
      </w:pPr>
      <w:r>
        <w:rPr>
          <w:bCs/>
          <w:sz w:val="24"/>
        </w:rPr>
        <w:t>（四）主要教学环节的质量要求如表所示。</w:t>
      </w:r>
    </w:p>
    <w:tbl>
      <w:tblPr>
        <w:tblStyle w:val="10"/>
        <w:tblW w:w="9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2"/>
        <w:gridCol w:w="1701"/>
        <w:gridCol w:w="6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3" w:type="dxa"/>
            <w:gridSpan w:val="2"/>
            <w:tcBorders>
              <w:top w:val="single" w:color="auto" w:sz="8" w:space="0"/>
              <w:left w:val="single" w:color="auto" w:sz="8" w:space="0"/>
              <w:right w:val="single" w:color="auto" w:sz="8" w:space="0"/>
            </w:tcBorders>
            <w:tcMar>
              <w:left w:w="28" w:type="dxa"/>
              <w:right w:w="28" w:type="dxa"/>
            </w:tcMar>
            <w:vAlign w:val="center"/>
          </w:tcPr>
          <w:p>
            <w:pPr>
              <w:spacing w:line="276" w:lineRule="auto"/>
              <w:jc w:val="center"/>
              <w:rPr>
                <w:szCs w:val="21"/>
              </w:rPr>
            </w:pPr>
            <w:r>
              <w:rPr>
                <w:bCs/>
                <w:szCs w:val="21"/>
              </w:rPr>
              <w:t>主要教学环节</w:t>
            </w:r>
          </w:p>
        </w:tc>
        <w:tc>
          <w:tcPr>
            <w:tcW w:w="6817" w:type="dxa"/>
            <w:tcBorders>
              <w:top w:val="single" w:color="auto" w:sz="8" w:space="0"/>
              <w:left w:val="single" w:color="auto" w:sz="8" w:space="0"/>
              <w:right w:val="single" w:color="auto" w:sz="8" w:space="0"/>
            </w:tcBorders>
            <w:vAlign w:val="center"/>
          </w:tcPr>
          <w:p>
            <w:pPr>
              <w:spacing w:line="276" w:lineRule="auto"/>
              <w:jc w:val="center"/>
              <w:rPr>
                <w:szCs w:val="21"/>
              </w:rPr>
            </w:pPr>
            <w:r>
              <w:rPr>
                <w:bCs/>
                <w:szCs w:val="21"/>
              </w:rPr>
              <w:t>质量</w:t>
            </w:r>
            <w:r>
              <w:rPr>
                <w:rFonts w:hint="eastAsia"/>
                <w:bCs/>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6" w:hRule="atLeast"/>
          <w:jc w:val="center"/>
        </w:trPr>
        <w:tc>
          <w:tcPr>
            <w:tcW w:w="582" w:type="dxa"/>
            <w:tcBorders>
              <w:left w:val="single" w:color="auto" w:sz="8" w:space="0"/>
            </w:tcBorders>
            <w:vAlign w:val="center"/>
          </w:tcPr>
          <w:p>
            <w:pPr>
              <w:spacing w:line="276" w:lineRule="auto"/>
              <w:jc w:val="center"/>
              <w:rPr>
                <w:szCs w:val="21"/>
              </w:rPr>
            </w:pPr>
            <w:r>
              <w:rPr>
                <w:szCs w:val="21"/>
              </w:rPr>
              <w:t>1</w:t>
            </w:r>
          </w:p>
        </w:tc>
        <w:tc>
          <w:tcPr>
            <w:tcW w:w="1701" w:type="dxa"/>
            <w:tcMar>
              <w:left w:w="28" w:type="dxa"/>
              <w:right w:w="28" w:type="dxa"/>
            </w:tcMar>
            <w:vAlign w:val="center"/>
          </w:tcPr>
          <w:p>
            <w:pPr>
              <w:spacing w:line="276" w:lineRule="auto"/>
              <w:jc w:val="center"/>
              <w:rPr>
                <w:szCs w:val="21"/>
              </w:rPr>
            </w:pPr>
            <w:r>
              <w:rPr>
                <w:szCs w:val="21"/>
              </w:rPr>
              <w:t>备课</w:t>
            </w:r>
          </w:p>
        </w:tc>
        <w:tc>
          <w:tcPr>
            <w:tcW w:w="6817" w:type="dxa"/>
            <w:tcBorders>
              <w:right w:val="single" w:color="auto" w:sz="8" w:space="0"/>
            </w:tcBorders>
            <w:vAlign w:val="center"/>
          </w:tcPr>
          <w:p>
            <w:pPr>
              <w:spacing w:line="276" w:lineRule="auto"/>
              <w:rPr>
                <w:szCs w:val="21"/>
              </w:rPr>
            </w:pPr>
            <w:r>
              <w:rPr>
                <w:szCs w:val="21"/>
              </w:rPr>
              <w:t>（1）掌握本课程教学大纲内容，严格按照教学大纲要求进行课程教学内容的组织。</w:t>
            </w:r>
          </w:p>
          <w:p>
            <w:pPr>
              <w:spacing w:line="276" w:lineRule="auto"/>
              <w:rPr>
                <w:szCs w:val="21"/>
              </w:rPr>
            </w:pPr>
            <w:r>
              <w:rPr>
                <w:szCs w:val="21"/>
              </w:rPr>
              <w:t>（2）熟悉教材各章节，借助专业书籍资料，并依据教学大纲编写授课计划，编写每次授课的教案。教案内容包括章节标题、教学目的、教法设计、课堂类型、时间分配、授课内容、课后作业、教学效果分析等方面。</w:t>
            </w:r>
          </w:p>
          <w:p>
            <w:pPr>
              <w:spacing w:line="276" w:lineRule="auto"/>
              <w:rPr>
                <w:szCs w:val="21"/>
              </w:rPr>
            </w:pPr>
            <w:r>
              <w:rPr>
                <w:szCs w:val="21"/>
              </w:rPr>
              <w:t>（3）</w:t>
            </w:r>
            <w:r>
              <w:rPr>
                <w:rFonts w:hint="eastAsia"/>
                <w:szCs w:val="21"/>
              </w:rPr>
              <w:t>根据</w:t>
            </w:r>
            <w:r>
              <w:rPr>
                <w:szCs w:val="21"/>
              </w:rPr>
              <w:t>各部分</w:t>
            </w:r>
            <w:r>
              <w:rPr>
                <w:rFonts w:hint="eastAsia"/>
                <w:szCs w:val="21"/>
              </w:rPr>
              <w:t>教学</w:t>
            </w:r>
            <w:r>
              <w:rPr>
                <w:szCs w:val="21"/>
              </w:rPr>
              <w:t>内容</w:t>
            </w:r>
            <w:r>
              <w:rPr>
                <w:rFonts w:hint="eastAsia"/>
                <w:szCs w:val="21"/>
              </w:rPr>
              <w:t>，</w:t>
            </w:r>
            <w:r>
              <w:rPr>
                <w:szCs w:val="21"/>
              </w:rPr>
              <w:t>构思授课思路、技巧</w:t>
            </w:r>
            <w:r>
              <w:rPr>
                <w:rFonts w:hint="eastAsia"/>
                <w:szCs w:val="21"/>
              </w:rPr>
              <w:t>，选择合适的</w:t>
            </w:r>
            <w:r>
              <w:rPr>
                <w:szCs w:val="21"/>
              </w:rPr>
              <w:t>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tcBorders>
              <w:left w:val="single" w:color="auto" w:sz="8" w:space="0"/>
            </w:tcBorders>
            <w:vAlign w:val="center"/>
          </w:tcPr>
          <w:p>
            <w:pPr>
              <w:spacing w:line="276" w:lineRule="auto"/>
              <w:jc w:val="center"/>
              <w:rPr>
                <w:szCs w:val="21"/>
              </w:rPr>
            </w:pPr>
            <w:r>
              <w:rPr>
                <w:szCs w:val="21"/>
              </w:rPr>
              <w:t>2</w:t>
            </w:r>
          </w:p>
        </w:tc>
        <w:tc>
          <w:tcPr>
            <w:tcW w:w="1701" w:type="dxa"/>
            <w:tcMar>
              <w:left w:w="28" w:type="dxa"/>
              <w:right w:w="28" w:type="dxa"/>
            </w:tcMar>
            <w:vAlign w:val="center"/>
          </w:tcPr>
          <w:p>
            <w:pPr>
              <w:spacing w:line="276" w:lineRule="auto"/>
              <w:jc w:val="center"/>
              <w:rPr>
                <w:szCs w:val="21"/>
              </w:rPr>
            </w:pPr>
            <w:r>
              <w:rPr>
                <w:szCs w:val="21"/>
              </w:rPr>
              <w:t>讲授</w:t>
            </w:r>
          </w:p>
        </w:tc>
        <w:tc>
          <w:tcPr>
            <w:tcW w:w="6817" w:type="dxa"/>
            <w:tcBorders>
              <w:right w:val="single" w:color="auto" w:sz="8" w:space="0"/>
            </w:tcBorders>
            <w:vAlign w:val="center"/>
          </w:tcPr>
          <w:p>
            <w:pPr>
              <w:spacing w:line="276" w:lineRule="auto"/>
              <w:rPr>
                <w:szCs w:val="21"/>
              </w:rPr>
            </w:pPr>
            <w:r>
              <w:rPr>
                <w:rFonts w:hint="eastAsia"/>
                <w:szCs w:val="21"/>
              </w:rPr>
              <w:t>（1）</w:t>
            </w:r>
            <w:r>
              <w:rPr>
                <w:szCs w:val="21"/>
              </w:rPr>
              <w:t>要点准确</w:t>
            </w:r>
            <w:r>
              <w:rPr>
                <w:rFonts w:hint="eastAsia"/>
                <w:szCs w:val="21"/>
              </w:rPr>
              <w:t>、</w:t>
            </w:r>
            <w:r>
              <w:rPr>
                <w:szCs w:val="21"/>
              </w:rPr>
              <w:t>推理正确</w:t>
            </w:r>
            <w:r>
              <w:rPr>
                <w:rFonts w:hint="eastAsia"/>
                <w:szCs w:val="21"/>
              </w:rPr>
              <w:t>、</w:t>
            </w:r>
            <w:r>
              <w:rPr>
                <w:szCs w:val="21"/>
              </w:rPr>
              <w:t>条理清晰</w:t>
            </w:r>
            <w:r>
              <w:rPr>
                <w:rFonts w:hint="eastAsia"/>
                <w:szCs w:val="21"/>
              </w:rPr>
              <w:t>、</w:t>
            </w:r>
            <w:r>
              <w:rPr>
                <w:szCs w:val="21"/>
              </w:rPr>
              <w:t>重点突出，</w:t>
            </w:r>
            <w:r>
              <w:rPr>
                <w:rFonts w:hint="eastAsia"/>
                <w:szCs w:val="21"/>
              </w:rPr>
              <w:t>能够</w:t>
            </w:r>
            <w:r>
              <w:rPr>
                <w:szCs w:val="21"/>
              </w:rPr>
              <w:t>理论联系实际，熟练地解答和讲解例题。</w:t>
            </w:r>
          </w:p>
          <w:p>
            <w:pPr>
              <w:spacing w:line="276" w:lineRule="auto"/>
              <w:rPr>
                <w:szCs w:val="21"/>
              </w:rPr>
            </w:pPr>
            <w:r>
              <w:rPr>
                <w:rFonts w:hint="eastAsia"/>
                <w:szCs w:val="21"/>
              </w:rPr>
              <w:t>（2）</w:t>
            </w:r>
            <w:r>
              <w:rPr>
                <w:szCs w:val="21"/>
              </w:rPr>
              <w:t>采用多种教学方式（如启发式教学、</w:t>
            </w:r>
            <w:r>
              <w:rPr>
                <w:rFonts w:hint="eastAsia"/>
                <w:szCs w:val="21"/>
              </w:rPr>
              <w:t>例题</w:t>
            </w:r>
            <w:r>
              <w:rPr>
                <w:szCs w:val="21"/>
              </w:rPr>
              <w:t>教学、讨论式教学、多媒体示范教学等），注重培养学生发现、分析和解决问题的能力。</w:t>
            </w:r>
          </w:p>
          <w:p>
            <w:pPr>
              <w:spacing w:line="276" w:lineRule="auto"/>
              <w:rPr>
                <w:szCs w:val="21"/>
              </w:rPr>
            </w:pPr>
            <w:r>
              <w:rPr>
                <w:rFonts w:hint="eastAsia"/>
                <w:szCs w:val="21"/>
              </w:rPr>
              <w:t>（3）能够采用现代信息技术辅助</w:t>
            </w:r>
            <w:r>
              <w:rPr>
                <w:szCs w:val="21"/>
              </w:rPr>
              <w:t>教学。</w:t>
            </w:r>
          </w:p>
          <w:p>
            <w:pPr>
              <w:spacing w:line="276" w:lineRule="auto"/>
              <w:rPr>
                <w:szCs w:val="21"/>
              </w:rPr>
            </w:pPr>
            <w:r>
              <w:rPr>
                <w:rFonts w:hint="eastAsia"/>
                <w:szCs w:val="21"/>
              </w:rPr>
              <w:t>（4）</w:t>
            </w:r>
            <w:r>
              <w:rPr>
                <w:szCs w:val="21"/>
              </w:rPr>
              <w:t>表达方式</w:t>
            </w:r>
            <w:r>
              <w:rPr>
                <w:rFonts w:hint="eastAsia"/>
                <w:szCs w:val="21"/>
              </w:rPr>
              <w:t>应能</w:t>
            </w:r>
            <w:r>
              <w:rPr>
                <w:szCs w:val="21"/>
              </w:rPr>
              <w:t>便于学生理解、接受，力求形象生动，使学生在掌握知识的过程中，保持较为浓厚的</w:t>
            </w:r>
            <w:r>
              <w:rPr>
                <w:rFonts w:hint="eastAsia"/>
                <w:szCs w:val="21"/>
              </w:rPr>
              <w:t>学习</w:t>
            </w:r>
            <w:r>
              <w:rPr>
                <w:szCs w:val="21"/>
              </w:rPr>
              <w:t>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jc w:val="center"/>
        </w:trPr>
        <w:tc>
          <w:tcPr>
            <w:tcW w:w="582" w:type="dxa"/>
            <w:tcBorders>
              <w:left w:val="single" w:color="auto" w:sz="8" w:space="0"/>
            </w:tcBorders>
            <w:vAlign w:val="center"/>
          </w:tcPr>
          <w:p>
            <w:pPr>
              <w:spacing w:line="276" w:lineRule="auto"/>
              <w:jc w:val="center"/>
              <w:rPr>
                <w:szCs w:val="21"/>
              </w:rPr>
            </w:pPr>
            <w:r>
              <w:rPr>
                <w:szCs w:val="21"/>
              </w:rPr>
              <w:t>3</w:t>
            </w:r>
          </w:p>
        </w:tc>
        <w:tc>
          <w:tcPr>
            <w:tcW w:w="1701" w:type="dxa"/>
            <w:tcMar>
              <w:left w:w="28" w:type="dxa"/>
              <w:right w:w="28" w:type="dxa"/>
            </w:tcMar>
            <w:vAlign w:val="center"/>
          </w:tcPr>
          <w:p>
            <w:pPr>
              <w:spacing w:line="276" w:lineRule="auto"/>
              <w:jc w:val="center"/>
              <w:rPr>
                <w:szCs w:val="21"/>
              </w:rPr>
            </w:pPr>
            <w:r>
              <w:rPr>
                <w:szCs w:val="21"/>
              </w:rPr>
              <w:t>作业布置与批改</w:t>
            </w:r>
          </w:p>
        </w:tc>
        <w:tc>
          <w:tcPr>
            <w:tcW w:w="6817" w:type="dxa"/>
            <w:tcBorders>
              <w:right w:val="single" w:color="auto" w:sz="8" w:space="0"/>
            </w:tcBorders>
            <w:vAlign w:val="center"/>
          </w:tcPr>
          <w:p>
            <w:pPr>
              <w:spacing w:line="276" w:lineRule="auto"/>
              <w:rPr>
                <w:szCs w:val="21"/>
              </w:rPr>
            </w:pPr>
            <w:r>
              <w:rPr>
                <w:szCs w:val="21"/>
              </w:rPr>
              <w:t>学生必须完成</w:t>
            </w:r>
            <w:r>
              <w:rPr>
                <w:rFonts w:hint="eastAsia"/>
                <w:szCs w:val="21"/>
              </w:rPr>
              <w:t>规定</w:t>
            </w:r>
            <w:r>
              <w:rPr>
                <w:szCs w:val="21"/>
              </w:rPr>
              <w:t>数量的作业</w:t>
            </w:r>
            <w:r>
              <w:rPr>
                <w:rFonts w:hint="eastAsia"/>
                <w:szCs w:val="21"/>
              </w:rPr>
              <w:t>，</w:t>
            </w:r>
            <w:r>
              <w:rPr>
                <w:szCs w:val="21"/>
              </w:rPr>
              <w:t>作业必须达到以下基本要求：</w:t>
            </w:r>
          </w:p>
          <w:p>
            <w:pPr>
              <w:spacing w:line="276" w:lineRule="auto"/>
              <w:rPr>
                <w:szCs w:val="21"/>
              </w:rPr>
            </w:pPr>
            <w:r>
              <w:rPr>
                <w:rFonts w:hint="eastAsia"/>
                <w:szCs w:val="21"/>
              </w:rPr>
              <w:t>（1）</w:t>
            </w:r>
            <w:r>
              <w:rPr>
                <w:szCs w:val="21"/>
              </w:rPr>
              <w:t>按时按量完成作业，不缺交，不抄袭</w:t>
            </w:r>
            <w:r>
              <w:rPr>
                <w:rFonts w:hint="eastAsia"/>
                <w:szCs w:val="21"/>
              </w:rPr>
              <w:t>。</w:t>
            </w:r>
          </w:p>
          <w:p>
            <w:pPr>
              <w:spacing w:line="276" w:lineRule="auto"/>
              <w:rPr>
                <w:szCs w:val="21"/>
              </w:rPr>
            </w:pPr>
            <w:r>
              <w:rPr>
                <w:rFonts w:hint="eastAsia"/>
                <w:szCs w:val="21"/>
              </w:rPr>
              <w:t>（2）书写</w:t>
            </w:r>
            <w:r>
              <w:rPr>
                <w:szCs w:val="21"/>
              </w:rPr>
              <w:t>规范</w:t>
            </w:r>
            <w:r>
              <w:rPr>
                <w:rFonts w:hint="eastAsia"/>
                <w:szCs w:val="21"/>
              </w:rPr>
              <w:t>、</w:t>
            </w:r>
            <w:r>
              <w:rPr>
                <w:szCs w:val="21"/>
              </w:rPr>
              <w:t>清晰</w:t>
            </w:r>
            <w:r>
              <w:rPr>
                <w:rFonts w:hint="eastAsia"/>
                <w:szCs w:val="21"/>
              </w:rPr>
              <w:t>。</w:t>
            </w:r>
          </w:p>
          <w:p>
            <w:pPr>
              <w:spacing w:line="276" w:lineRule="auto"/>
              <w:rPr>
                <w:szCs w:val="21"/>
              </w:rPr>
            </w:pPr>
            <w:r>
              <w:rPr>
                <w:rFonts w:hint="eastAsia"/>
                <w:szCs w:val="21"/>
              </w:rPr>
              <w:t>（3）</w:t>
            </w:r>
            <w:r>
              <w:rPr>
                <w:szCs w:val="21"/>
              </w:rPr>
              <w:t>解题方法和步骤正确。</w:t>
            </w:r>
          </w:p>
          <w:p>
            <w:pPr>
              <w:spacing w:line="276" w:lineRule="auto"/>
              <w:rPr>
                <w:szCs w:val="21"/>
              </w:rPr>
            </w:pPr>
            <w:r>
              <w:rPr>
                <w:szCs w:val="21"/>
              </w:rPr>
              <w:t>教师批改</w:t>
            </w:r>
            <w:r>
              <w:rPr>
                <w:rFonts w:hint="eastAsia"/>
                <w:szCs w:val="21"/>
              </w:rPr>
              <w:t>和</w:t>
            </w:r>
            <w:r>
              <w:rPr>
                <w:szCs w:val="21"/>
              </w:rPr>
              <w:t>讲评作业要求如下：</w:t>
            </w:r>
          </w:p>
          <w:p>
            <w:pPr>
              <w:spacing w:line="276" w:lineRule="auto"/>
              <w:rPr>
                <w:szCs w:val="21"/>
              </w:rPr>
            </w:pPr>
            <w:r>
              <w:rPr>
                <w:rFonts w:hint="eastAsia"/>
                <w:szCs w:val="21"/>
              </w:rPr>
              <w:t>（1）</w:t>
            </w:r>
            <w:r>
              <w:rPr>
                <w:szCs w:val="21"/>
              </w:rPr>
              <w:t>学生的作业要</w:t>
            </w:r>
            <w:r>
              <w:rPr>
                <w:rFonts w:hint="eastAsia"/>
                <w:szCs w:val="21"/>
              </w:rPr>
              <w:t>按时</w:t>
            </w:r>
            <w:r>
              <w:rPr>
                <w:szCs w:val="21"/>
              </w:rPr>
              <w:t>全</w:t>
            </w:r>
            <w:r>
              <w:rPr>
                <w:rFonts w:hint="eastAsia"/>
                <w:szCs w:val="21"/>
              </w:rPr>
              <w:t>部</w:t>
            </w:r>
            <w:r>
              <w:rPr>
                <w:szCs w:val="21"/>
              </w:rPr>
              <w:t>批改，并</w:t>
            </w:r>
            <w:r>
              <w:rPr>
                <w:rFonts w:hint="eastAsia"/>
                <w:szCs w:val="21"/>
              </w:rPr>
              <w:t>及时进行</w:t>
            </w:r>
            <w:r>
              <w:rPr>
                <w:szCs w:val="21"/>
              </w:rPr>
              <w:t>讲评</w:t>
            </w:r>
            <w:r>
              <w:rPr>
                <w:rFonts w:hint="eastAsia"/>
                <w:szCs w:val="21"/>
              </w:rPr>
              <w:t>。</w:t>
            </w:r>
          </w:p>
          <w:p>
            <w:pPr>
              <w:spacing w:line="276" w:lineRule="auto"/>
              <w:rPr>
                <w:szCs w:val="21"/>
              </w:rPr>
            </w:pPr>
            <w:r>
              <w:rPr>
                <w:rFonts w:hint="eastAsia"/>
                <w:szCs w:val="21"/>
              </w:rPr>
              <w:t>（2）</w:t>
            </w:r>
            <w:r>
              <w:rPr>
                <w:szCs w:val="21"/>
              </w:rPr>
              <w:t>教师批改</w:t>
            </w:r>
            <w:r>
              <w:rPr>
                <w:rFonts w:hint="eastAsia"/>
                <w:szCs w:val="21"/>
              </w:rPr>
              <w:t>和</w:t>
            </w:r>
            <w:r>
              <w:rPr>
                <w:szCs w:val="21"/>
              </w:rPr>
              <w:t>讲评作业要认真、细致，</w:t>
            </w:r>
            <w:r>
              <w:rPr>
                <w:rFonts w:hint="eastAsia"/>
                <w:szCs w:val="21"/>
              </w:rPr>
              <w:t>表明出现的错误</w:t>
            </w:r>
            <w:r>
              <w:rPr>
                <w:szCs w:val="21"/>
              </w:rPr>
              <w:t>并写明日期</w:t>
            </w:r>
            <w:r>
              <w:rPr>
                <w:rFonts w:hint="eastAsia"/>
                <w:szCs w:val="21"/>
              </w:rPr>
              <w:t>。</w:t>
            </w:r>
          </w:p>
          <w:p>
            <w:pPr>
              <w:spacing w:line="276" w:lineRule="auto"/>
              <w:rPr>
                <w:szCs w:val="21"/>
              </w:rPr>
            </w:pPr>
            <w:r>
              <w:rPr>
                <w:rFonts w:hint="eastAsia"/>
                <w:szCs w:val="21"/>
              </w:rPr>
              <w:t>（3）</w:t>
            </w:r>
            <w:r>
              <w:rPr>
                <w:szCs w:val="21"/>
              </w:rPr>
              <w:t>学生作业的平均成绩</w:t>
            </w:r>
            <w:r>
              <w:rPr>
                <w:rFonts w:hint="eastAsia"/>
                <w:szCs w:val="21"/>
              </w:rPr>
              <w:t>应</w:t>
            </w:r>
            <w:r>
              <w:rPr>
                <w:szCs w:val="21"/>
              </w:rPr>
              <w:t>作为本课程总评成绩中平时成绩的重要组成部分。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582" w:type="dxa"/>
            <w:tcBorders>
              <w:left w:val="single" w:color="auto" w:sz="8" w:space="0"/>
            </w:tcBorders>
            <w:vAlign w:val="center"/>
          </w:tcPr>
          <w:p>
            <w:pPr>
              <w:spacing w:line="276" w:lineRule="auto"/>
              <w:jc w:val="center"/>
              <w:rPr>
                <w:szCs w:val="21"/>
              </w:rPr>
            </w:pPr>
            <w:r>
              <w:rPr>
                <w:szCs w:val="21"/>
              </w:rPr>
              <w:t>4</w:t>
            </w:r>
          </w:p>
        </w:tc>
        <w:tc>
          <w:tcPr>
            <w:tcW w:w="1701" w:type="dxa"/>
            <w:tcMar>
              <w:left w:w="28" w:type="dxa"/>
              <w:right w:w="28" w:type="dxa"/>
            </w:tcMar>
            <w:vAlign w:val="center"/>
          </w:tcPr>
          <w:p>
            <w:pPr>
              <w:spacing w:line="276" w:lineRule="auto"/>
              <w:jc w:val="center"/>
              <w:rPr>
                <w:szCs w:val="21"/>
              </w:rPr>
            </w:pPr>
            <w:r>
              <w:rPr>
                <w:szCs w:val="21"/>
              </w:rPr>
              <w:t>课外答疑</w:t>
            </w:r>
          </w:p>
        </w:tc>
        <w:tc>
          <w:tcPr>
            <w:tcW w:w="6817" w:type="dxa"/>
            <w:tcBorders>
              <w:right w:val="single" w:color="auto" w:sz="8" w:space="0"/>
            </w:tcBorders>
            <w:vAlign w:val="center"/>
          </w:tcPr>
          <w:p>
            <w:pPr>
              <w:spacing w:line="276" w:lineRule="auto"/>
              <w:rPr>
                <w:szCs w:val="21"/>
              </w:rPr>
            </w:pPr>
            <w:r>
              <w:rPr>
                <w:szCs w:val="21"/>
              </w:rPr>
              <w:t>为了解学生的学习情况，帮助学生</w:t>
            </w:r>
            <w:r>
              <w:rPr>
                <w:rFonts w:hint="eastAsia"/>
                <w:szCs w:val="21"/>
              </w:rPr>
              <w:t>更好地</w:t>
            </w:r>
            <w:r>
              <w:rPr>
                <w:szCs w:val="21"/>
              </w:rPr>
              <w:t>理解和消化所学知识、改进学习方法和思维方式，培养其独立思考问题的能力，任课教师</w:t>
            </w:r>
            <w:r>
              <w:rPr>
                <w:rFonts w:hint="eastAsia"/>
                <w:szCs w:val="21"/>
              </w:rPr>
              <w:t>需</w:t>
            </w:r>
            <w:r>
              <w:rPr>
                <w:szCs w:val="21"/>
              </w:rPr>
              <w:t>每周安排</w:t>
            </w:r>
            <w:r>
              <w:rPr>
                <w:rFonts w:hint="eastAsia"/>
                <w:szCs w:val="21"/>
              </w:rPr>
              <w:t>一定</w:t>
            </w:r>
            <w:r>
              <w:rPr>
                <w:szCs w:val="21"/>
              </w:rPr>
              <w:t>时间进行课外答疑与辅导。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582" w:type="dxa"/>
            <w:tcBorders>
              <w:left w:val="single" w:color="auto" w:sz="8" w:space="0"/>
            </w:tcBorders>
            <w:vAlign w:val="center"/>
          </w:tcPr>
          <w:p>
            <w:pPr>
              <w:spacing w:line="276" w:lineRule="auto"/>
              <w:jc w:val="center"/>
              <w:rPr>
                <w:szCs w:val="21"/>
              </w:rPr>
            </w:pPr>
            <w:r>
              <w:rPr>
                <w:szCs w:val="21"/>
              </w:rPr>
              <w:t>5</w:t>
            </w:r>
          </w:p>
        </w:tc>
        <w:tc>
          <w:tcPr>
            <w:tcW w:w="1701" w:type="dxa"/>
            <w:tcMar>
              <w:left w:w="28" w:type="dxa"/>
              <w:right w:w="28" w:type="dxa"/>
            </w:tcMar>
            <w:vAlign w:val="center"/>
          </w:tcPr>
          <w:p>
            <w:pPr>
              <w:spacing w:line="276" w:lineRule="auto"/>
              <w:jc w:val="center"/>
              <w:rPr>
                <w:szCs w:val="21"/>
              </w:rPr>
            </w:pPr>
            <w:r>
              <w:rPr>
                <w:szCs w:val="21"/>
              </w:rPr>
              <w:t>成绩考核</w:t>
            </w:r>
          </w:p>
        </w:tc>
        <w:tc>
          <w:tcPr>
            <w:tcW w:w="6817" w:type="dxa"/>
            <w:tcBorders>
              <w:right w:val="single" w:color="auto" w:sz="8" w:space="0"/>
            </w:tcBorders>
            <w:vAlign w:val="center"/>
          </w:tcPr>
          <w:p>
            <w:pPr>
              <w:spacing w:line="276" w:lineRule="auto"/>
              <w:rPr>
                <w:szCs w:val="21"/>
              </w:rPr>
            </w:pPr>
            <w:r>
              <w:rPr>
                <w:szCs w:val="21"/>
              </w:rPr>
              <w:t>本课程考核的方式</w:t>
            </w:r>
            <w:r>
              <w:rPr>
                <w:rFonts w:hint="eastAsia"/>
                <w:szCs w:val="21"/>
              </w:rPr>
              <w:t>为闭卷笔试</w:t>
            </w:r>
            <w:r>
              <w:rPr>
                <w:szCs w:val="21"/>
              </w:rPr>
              <w:t>。考试采取教考分离，监考</w:t>
            </w:r>
            <w:r>
              <w:rPr>
                <w:rFonts w:hint="eastAsia"/>
                <w:szCs w:val="21"/>
              </w:rPr>
              <w:t>由学院</w:t>
            </w:r>
            <w:r>
              <w:rPr>
                <w:szCs w:val="21"/>
              </w:rPr>
              <w:t>统一安排。有下列情况之一者，总评成绩为不及格：</w:t>
            </w:r>
          </w:p>
          <w:p>
            <w:pPr>
              <w:spacing w:line="276" w:lineRule="auto"/>
              <w:rPr>
                <w:szCs w:val="21"/>
              </w:rPr>
            </w:pPr>
            <w:r>
              <w:rPr>
                <w:rFonts w:hint="eastAsia"/>
                <w:szCs w:val="21"/>
              </w:rPr>
              <w:t>（1）</w:t>
            </w:r>
            <w:r>
              <w:rPr>
                <w:szCs w:val="21"/>
              </w:rPr>
              <w:t>缺交作业次数达1/3以上者</w:t>
            </w:r>
            <w:r>
              <w:rPr>
                <w:rFonts w:hint="eastAsia"/>
                <w:szCs w:val="21"/>
              </w:rPr>
              <w:t>。</w:t>
            </w:r>
          </w:p>
          <w:p>
            <w:pPr>
              <w:spacing w:line="276" w:lineRule="auto"/>
              <w:rPr>
                <w:szCs w:val="21"/>
              </w:rPr>
            </w:pPr>
            <w:r>
              <w:rPr>
                <w:rFonts w:hint="eastAsia"/>
                <w:szCs w:val="21"/>
              </w:rPr>
              <w:t>（2）</w:t>
            </w:r>
            <w:r>
              <w:rPr>
                <w:szCs w:val="21"/>
              </w:rPr>
              <w:t>缺课次数达本学期总授课学时的1/3以上者</w:t>
            </w:r>
            <w:r>
              <w:rPr>
                <w:rFonts w:hint="eastAsia"/>
                <w:szCs w:val="21"/>
              </w:rPr>
              <w:t>。</w:t>
            </w:r>
          </w:p>
          <w:p>
            <w:pPr>
              <w:spacing w:line="276" w:lineRule="auto"/>
              <w:rPr>
                <w:szCs w:val="21"/>
              </w:rPr>
            </w:pPr>
            <w:r>
              <w:rPr>
                <w:rFonts w:hint="eastAsia"/>
                <w:szCs w:val="21"/>
              </w:rPr>
              <w:t>（3）</w:t>
            </w:r>
            <w:r>
              <w:rPr>
                <w:szCs w:val="21"/>
              </w:rPr>
              <w:t>课程目标小于0.6。</w:t>
            </w:r>
          </w:p>
        </w:tc>
      </w:tr>
    </w:tbl>
    <w:p>
      <w:pPr>
        <w:spacing w:line="360" w:lineRule="auto"/>
        <w:ind w:firstLine="562" w:firstLineChars="200"/>
        <w:rPr>
          <w:b/>
          <w:sz w:val="28"/>
          <w:szCs w:val="28"/>
        </w:rPr>
      </w:pPr>
      <w:r>
        <w:rPr>
          <w:rFonts w:hint="eastAsia"/>
          <w:b/>
          <w:sz w:val="28"/>
          <w:szCs w:val="28"/>
        </w:rPr>
        <w:t>六、考核方式</w:t>
      </w:r>
    </w:p>
    <w:p>
      <w:pPr>
        <w:spacing w:line="360" w:lineRule="auto"/>
        <w:ind w:firstLine="480" w:firstLineChars="200"/>
        <w:rPr>
          <w:sz w:val="24"/>
        </w:rPr>
      </w:pPr>
      <w:r>
        <w:rPr>
          <w:rFonts w:hint="eastAsia"/>
          <w:sz w:val="24"/>
        </w:rPr>
        <w:t>（一）</w:t>
      </w:r>
      <w:r>
        <w:rPr>
          <w:sz w:val="24"/>
        </w:rPr>
        <w:t>课程考核包括期末考试、平时及作业情况考核，期末考试采用闭卷笔试。</w:t>
      </w:r>
    </w:p>
    <w:p>
      <w:pPr>
        <w:spacing w:line="360" w:lineRule="auto"/>
        <w:ind w:firstLine="480" w:firstLineChars="200"/>
        <w:rPr>
          <w:sz w:val="24"/>
        </w:rPr>
      </w:pPr>
      <w:r>
        <w:rPr>
          <w:rFonts w:hint="eastAsia"/>
          <w:sz w:val="24"/>
        </w:rPr>
        <w:t>（二）</w:t>
      </w:r>
      <w:r>
        <w:rPr>
          <w:sz w:val="24"/>
        </w:rPr>
        <w:t>课程成绩=平时</w:t>
      </w:r>
      <w:r>
        <w:rPr>
          <w:rFonts w:hint="eastAsia"/>
          <w:sz w:val="24"/>
        </w:rPr>
        <w:t>及作业</w:t>
      </w:r>
      <w:r>
        <w:rPr>
          <w:sz w:val="24"/>
        </w:rPr>
        <w:t>成绩×60%+期末考试成绩×40%。</w:t>
      </w:r>
      <w:r>
        <w:rPr>
          <w:rFonts w:hint="eastAsia"/>
          <w:sz w:val="24"/>
        </w:rPr>
        <w:t>具体内容和比例如表所示。</w:t>
      </w:r>
    </w:p>
    <w:tbl>
      <w:tblPr>
        <w:tblStyle w:val="10"/>
        <w:tblW w:w="92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1565"/>
        <w:gridCol w:w="808"/>
        <w:gridCol w:w="4410"/>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FFFFFF"/>
            <w:tcMar>
              <w:left w:w="57" w:type="dxa"/>
              <w:right w:w="57" w:type="dxa"/>
            </w:tcMar>
            <w:vAlign w:val="center"/>
          </w:tcPr>
          <w:p>
            <w:pPr>
              <w:pStyle w:val="14"/>
              <w:jc w:val="center"/>
              <w:rPr>
                <w:rFonts w:eastAsia="宋体"/>
              </w:rPr>
            </w:pPr>
            <w:r>
              <w:rPr>
                <w:rFonts w:eastAsia="宋体"/>
              </w:rPr>
              <w:t>成绩组成</w:t>
            </w:r>
          </w:p>
        </w:tc>
        <w:tc>
          <w:tcPr>
            <w:tcW w:w="1565" w:type="dxa"/>
            <w:shd w:val="clear" w:color="auto" w:fill="FFFFFF"/>
            <w:vAlign w:val="center"/>
          </w:tcPr>
          <w:p>
            <w:pPr>
              <w:pStyle w:val="14"/>
              <w:jc w:val="center"/>
              <w:rPr>
                <w:rFonts w:eastAsia="宋体"/>
              </w:rPr>
            </w:pPr>
            <w:r>
              <w:rPr>
                <w:rFonts w:eastAsia="宋体"/>
              </w:rPr>
              <w:t>考核/评价环节</w:t>
            </w:r>
          </w:p>
        </w:tc>
        <w:tc>
          <w:tcPr>
            <w:tcW w:w="808" w:type="dxa"/>
            <w:shd w:val="clear" w:color="auto" w:fill="FFFFFF"/>
            <w:vAlign w:val="center"/>
          </w:tcPr>
          <w:p>
            <w:pPr>
              <w:pStyle w:val="14"/>
              <w:jc w:val="center"/>
              <w:rPr>
                <w:rFonts w:eastAsia="宋体"/>
              </w:rPr>
            </w:pPr>
            <w:r>
              <w:rPr>
                <w:rFonts w:hint="eastAsia" w:eastAsia="宋体"/>
              </w:rPr>
              <w:t>权重</w:t>
            </w:r>
          </w:p>
        </w:tc>
        <w:tc>
          <w:tcPr>
            <w:tcW w:w="4410" w:type="dxa"/>
            <w:shd w:val="clear" w:color="auto" w:fill="FFFFFF"/>
            <w:vAlign w:val="center"/>
          </w:tcPr>
          <w:p>
            <w:pPr>
              <w:pStyle w:val="14"/>
              <w:jc w:val="center"/>
              <w:rPr>
                <w:rFonts w:eastAsia="宋体"/>
              </w:rPr>
            </w:pPr>
            <w:r>
              <w:rPr>
                <w:rFonts w:eastAsia="宋体"/>
              </w:rPr>
              <w:t>考核/评价细则</w:t>
            </w:r>
          </w:p>
        </w:tc>
        <w:tc>
          <w:tcPr>
            <w:tcW w:w="1470" w:type="dxa"/>
            <w:shd w:val="clear" w:color="auto" w:fill="FFFFFF"/>
            <w:vAlign w:val="center"/>
          </w:tcPr>
          <w:p>
            <w:pPr>
              <w:pStyle w:val="14"/>
              <w:jc w:val="center"/>
              <w:rPr>
                <w:rFonts w:eastAsia="宋体"/>
              </w:rPr>
            </w:pPr>
            <w:r>
              <w:rPr>
                <w:rFonts w:eastAsia="宋体"/>
              </w:rPr>
              <w:t>对应的毕业要求指标点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044" w:type="dxa"/>
            <w:vMerge w:val="restart"/>
            <w:tcMar>
              <w:left w:w="57" w:type="dxa"/>
              <w:right w:w="57" w:type="dxa"/>
            </w:tcMar>
            <w:vAlign w:val="center"/>
          </w:tcPr>
          <w:p>
            <w:pPr>
              <w:pStyle w:val="14"/>
              <w:jc w:val="center"/>
              <w:rPr>
                <w:rFonts w:eastAsia="宋体"/>
              </w:rPr>
            </w:pPr>
            <w:r>
              <w:rPr>
                <w:rFonts w:eastAsia="宋体"/>
              </w:rPr>
              <w:t>平时成绩</w:t>
            </w:r>
          </w:p>
        </w:tc>
        <w:tc>
          <w:tcPr>
            <w:tcW w:w="1565" w:type="dxa"/>
            <w:vAlign w:val="center"/>
          </w:tcPr>
          <w:p>
            <w:pPr>
              <w:pStyle w:val="14"/>
              <w:jc w:val="center"/>
              <w:rPr>
                <w:rFonts w:eastAsia="宋体"/>
              </w:rPr>
            </w:pPr>
            <w:r>
              <w:rPr>
                <w:rFonts w:eastAsia="宋体"/>
              </w:rPr>
              <w:t>平时作业</w:t>
            </w:r>
          </w:p>
        </w:tc>
        <w:tc>
          <w:tcPr>
            <w:tcW w:w="808" w:type="dxa"/>
            <w:vAlign w:val="center"/>
          </w:tcPr>
          <w:p>
            <w:pPr>
              <w:pStyle w:val="14"/>
              <w:jc w:val="center"/>
              <w:rPr>
                <w:rFonts w:eastAsia="宋体"/>
              </w:rPr>
            </w:pPr>
            <w:r>
              <w:rPr>
                <w:rFonts w:eastAsia="宋体"/>
              </w:rPr>
              <w:t>20%</w:t>
            </w:r>
          </w:p>
        </w:tc>
        <w:tc>
          <w:tcPr>
            <w:tcW w:w="4410" w:type="dxa"/>
            <w:vAlign w:val="center"/>
          </w:tcPr>
          <w:p>
            <w:pPr>
              <w:pStyle w:val="14"/>
              <w:rPr>
                <w:rFonts w:eastAsia="宋体"/>
              </w:rPr>
            </w:pPr>
            <w:r>
              <w:rPr>
                <w:rFonts w:eastAsia="宋体"/>
              </w:rPr>
              <w:t>课后完成</w:t>
            </w:r>
            <w:r>
              <w:rPr>
                <w:rFonts w:hint="eastAsia" w:eastAsia="宋体"/>
              </w:rPr>
              <w:t>不少于十次作业</w:t>
            </w:r>
            <w:r>
              <w:rPr>
                <w:rFonts w:eastAsia="宋体"/>
              </w:rPr>
              <w:t>，主要考核学生对每节课知识点的复习、理解和掌握程度，计算全部作业的平均成绩再按15%计入总成绩。</w:t>
            </w:r>
          </w:p>
        </w:tc>
        <w:tc>
          <w:tcPr>
            <w:tcW w:w="1470" w:type="dxa"/>
            <w:vAlign w:val="center"/>
          </w:tcPr>
          <w:p>
            <w:pPr>
              <w:pStyle w:val="14"/>
              <w:jc w:val="center"/>
              <w:rPr>
                <w:rFonts w:eastAsia="宋体"/>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trPr>
        <w:tc>
          <w:tcPr>
            <w:tcW w:w="1044" w:type="dxa"/>
            <w:vMerge w:val="continue"/>
            <w:tcMar>
              <w:left w:w="57" w:type="dxa"/>
              <w:right w:w="57" w:type="dxa"/>
            </w:tcMar>
            <w:vAlign w:val="center"/>
          </w:tcPr>
          <w:p>
            <w:pPr>
              <w:pStyle w:val="14"/>
              <w:jc w:val="center"/>
              <w:rPr>
                <w:rFonts w:eastAsia="宋体"/>
              </w:rPr>
            </w:pPr>
          </w:p>
        </w:tc>
        <w:tc>
          <w:tcPr>
            <w:tcW w:w="1565" w:type="dxa"/>
            <w:vAlign w:val="center"/>
          </w:tcPr>
          <w:p>
            <w:pPr>
              <w:pStyle w:val="14"/>
              <w:jc w:val="center"/>
              <w:rPr>
                <w:rFonts w:eastAsia="宋体"/>
              </w:rPr>
            </w:pPr>
            <w:r>
              <w:rPr>
                <w:rFonts w:hint="eastAsia" w:eastAsia="宋体"/>
              </w:rPr>
              <w:t>考勤</w:t>
            </w:r>
            <w:r>
              <w:rPr>
                <w:rFonts w:eastAsia="宋体"/>
              </w:rPr>
              <w:t>及</w:t>
            </w:r>
          </w:p>
          <w:p>
            <w:pPr>
              <w:pStyle w:val="14"/>
              <w:jc w:val="center"/>
              <w:rPr>
                <w:rFonts w:eastAsia="宋体"/>
              </w:rPr>
            </w:pPr>
            <w:r>
              <w:rPr>
                <w:rFonts w:eastAsia="宋体"/>
              </w:rPr>
              <w:t>课堂练习</w:t>
            </w:r>
          </w:p>
        </w:tc>
        <w:tc>
          <w:tcPr>
            <w:tcW w:w="808" w:type="dxa"/>
            <w:vAlign w:val="center"/>
          </w:tcPr>
          <w:p>
            <w:pPr>
              <w:pStyle w:val="14"/>
              <w:jc w:val="center"/>
              <w:rPr>
                <w:rFonts w:eastAsia="宋体"/>
              </w:rPr>
            </w:pPr>
            <w:r>
              <w:rPr>
                <w:rFonts w:eastAsia="宋体"/>
              </w:rPr>
              <w:t>20%</w:t>
            </w:r>
          </w:p>
        </w:tc>
        <w:tc>
          <w:tcPr>
            <w:tcW w:w="4410" w:type="dxa"/>
            <w:vAlign w:val="center"/>
          </w:tcPr>
          <w:p>
            <w:pPr>
              <w:pStyle w:val="14"/>
              <w:rPr>
                <w:rFonts w:eastAsia="宋体"/>
                <w:szCs w:val="21"/>
              </w:rPr>
            </w:pPr>
            <w:r>
              <w:rPr>
                <w:rFonts w:eastAsia="宋体"/>
                <w:color w:val="000000"/>
                <w:szCs w:val="21"/>
              </w:rPr>
              <w:t>以随机的形式，在每章内容进行中或结束后，随堂测试1-3题，主要考核学生课堂的听课效果和课后及时复习消化本章知识的能力</w:t>
            </w:r>
            <w:r>
              <w:rPr>
                <w:rFonts w:eastAsia="宋体"/>
                <w:szCs w:val="21"/>
              </w:rPr>
              <w:t>，结合平时</w:t>
            </w:r>
            <w:r>
              <w:rPr>
                <w:rFonts w:hint="eastAsia" w:eastAsia="宋体"/>
                <w:szCs w:val="21"/>
              </w:rPr>
              <w:t>考勤</w:t>
            </w:r>
            <w:r>
              <w:rPr>
                <w:rFonts w:eastAsia="宋体"/>
                <w:szCs w:val="21"/>
              </w:rPr>
              <w:t>，最后按15%计入课程总成绩。</w:t>
            </w:r>
          </w:p>
        </w:tc>
        <w:tc>
          <w:tcPr>
            <w:tcW w:w="1470" w:type="dxa"/>
            <w:vAlign w:val="center"/>
          </w:tcPr>
          <w:p>
            <w:pPr>
              <w:pStyle w:val="14"/>
              <w:jc w:val="center"/>
              <w:rPr>
                <w:rFonts w:eastAsia="宋体"/>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trPr>
        <w:tc>
          <w:tcPr>
            <w:tcW w:w="1044" w:type="dxa"/>
            <w:vMerge w:val="continue"/>
            <w:tcMar>
              <w:left w:w="57" w:type="dxa"/>
              <w:right w:w="57" w:type="dxa"/>
            </w:tcMar>
            <w:vAlign w:val="center"/>
          </w:tcPr>
          <w:p>
            <w:pPr>
              <w:pStyle w:val="14"/>
              <w:jc w:val="center"/>
              <w:rPr>
                <w:rFonts w:eastAsia="宋体"/>
              </w:rPr>
            </w:pPr>
          </w:p>
        </w:tc>
        <w:tc>
          <w:tcPr>
            <w:tcW w:w="1565" w:type="dxa"/>
            <w:vAlign w:val="center"/>
          </w:tcPr>
          <w:p>
            <w:pPr>
              <w:pStyle w:val="14"/>
              <w:jc w:val="center"/>
              <w:rPr>
                <w:rFonts w:hint="eastAsia" w:eastAsia="宋体"/>
              </w:rPr>
            </w:pPr>
            <w:r>
              <w:rPr>
                <w:rFonts w:hint="eastAsia" w:eastAsia="宋体"/>
              </w:rPr>
              <w:t>课堂实践</w:t>
            </w:r>
          </w:p>
        </w:tc>
        <w:tc>
          <w:tcPr>
            <w:tcW w:w="808" w:type="dxa"/>
            <w:vAlign w:val="center"/>
          </w:tcPr>
          <w:p>
            <w:pPr>
              <w:pStyle w:val="14"/>
              <w:jc w:val="center"/>
              <w:rPr>
                <w:rFonts w:eastAsia="宋体"/>
              </w:rPr>
            </w:pPr>
            <w:r>
              <w:rPr>
                <w:rFonts w:hint="eastAsia" w:eastAsia="宋体"/>
              </w:rPr>
              <w:t>2</w:t>
            </w:r>
            <w:r>
              <w:rPr>
                <w:rFonts w:eastAsia="宋体"/>
              </w:rPr>
              <w:t>0</w:t>
            </w:r>
            <w:r>
              <w:rPr>
                <w:rFonts w:hint="eastAsia" w:eastAsia="宋体"/>
              </w:rPr>
              <w:t>%</w:t>
            </w:r>
          </w:p>
        </w:tc>
        <w:tc>
          <w:tcPr>
            <w:tcW w:w="4410" w:type="dxa"/>
            <w:vAlign w:val="center"/>
          </w:tcPr>
          <w:p>
            <w:pPr>
              <w:pStyle w:val="14"/>
              <w:rPr>
                <w:rFonts w:eastAsia="宋体"/>
                <w:color w:val="000000"/>
                <w:szCs w:val="21"/>
              </w:rPr>
            </w:pPr>
            <w:r>
              <w:rPr>
                <w:rFonts w:hint="eastAsia" w:eastAsia="宋体"/>
                <w:color w:val="000000"/>
                <w:szCs w:val="21"/>
              </w:rPr>
              <w:t>以参加实验室的劳动形式考查学生的动手能力，最后以2</w:t>
            </w:r>
            <w:r>
              <w:rPr>
                <w:rFonts w:eastAsia="宋体"/>
                <w:color w:val="000000"/>
                <w:szCs w:val="21"/>
              </w:rPr>
              <w:t>0</w:t>
            </w:r>
            <w:r>
              <w:rPr>
                <w:rFonts w:hint="eastAsia" w:eastAsia="宋体"/>
                <w:color w:val="000000"/>
                <w:szCs w:val="21"/>
              </w:rPr>
              <w:t>%及入总成绩。</w:t>
            </w:r>
          </w:p>
        </w:tc>
        <w:tc>
          <w:tcPr>
            <w:tcW w:w="1470" w:type="dxa"/>
            <w:vAlign w:val="center"/>
          </w:tcPr>
          <w:p>
            <w:pPr>
              <w:pStyle w:val="14"/>
              <w:jc w:val="center"/>
              <w:rPr>
                <w:rFonts w:eastAsia="宋体"/>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0" w:hRule="atLeast"/>
        </w:trPr>
        <w:tc>
          <w:tcPr>
            <w:tcW w:w="1044" w:type="dxa"/>
            <w:tcMar>
              <w:left w:w="57" w:type="dxa"/>
              <w:right w:w="57" w:type="dxa"/>
            </w:tcMar>
            <w:vAlign w:val="center"/>
          </w:tcPr>
          <w:p>
            <w:pPr>
              <w:pStyle w:val="14"/>
              <w:jc w:val="center"/>
              <w:rPr>
                <w:rFonts w:eastAsia="宋体"/>
              </w:rPr>
            </w:pPr>
            <w:r>
              <w:rPr>
                <w:rFonts w:eastAsia="宋体"/>
              </w:rPr>
              <w:t>期末考试</w:t>
            </w:r>
          </w:p>
          <w:p>
            <w:pPr>
              <w:pStyle w:val="14"/>
              <w:jc w:val="center"/>
              <w:rPr>
                <w:rFonts w:eastAsia="宋体"/>
              </w:rPr>
            </w:pPr>
          </w:p>
        </w:tc>
        <w:tc>
          <w:tcPr>
            <w:tcW w:w="1565" w:type="dxa"/>
            <w:vAlign w:val="center"/>
          </w:tcPr>
          <w:p>
            <w:pPr>
              <w:pStyle w:val="14"/>
              <w:jc w:val="center"/>
              <w:rPr>
                <w:rFonts w:eastAsia="宋体"/>
              </w:rPr>
            </w:pPr>
            <w:r>
              <w:rPr>
                <w:rFonts w:eastAsia="宋体"/>
              </w:rPr>
              <w:t>期末考试</w:t>
            </w:r>
          </w:p>
          <w:p>
            <w:pPr>
              <w:pStyle w:val="14"/>
              <w:jc w:val="center"/>
              <w:rPr>
                <w:rFonts w:eastAsia="宋体"/>
              </w:rPr>
            </w:pPr>
            <w:r>
              <w:rPr>
                <w:rFonts w:hint="eastAsia" w:eastAsia="宋体"/>
              </w:rPr>
              <w:t>+调研报告1</w:t>
            </w:r>
          </w:p>
        </w:tc>
        <w:tc>
          <w:tcPr>
            <w:tcW w:w="808" w:type="dxa"/>
            <w:vAlign w:val="center"/>
          </w:tcPr>
          <w:p>
            <w:pPr>
              <w:pStyle w:val="14"/>
              <w:jc w:val="center"/>
              <w:rPr>
                <w:rFonts w:eastAsia="宋体"/>
              </w:rPr>
            </w:pPr>
            <w:r>
              <w:rPr>
                <w:rFonts w:eastAsia="宋体"/>
              </w:rPr>
              <w:t>30%</w:t>
            </w:r>
            <w:r>
              <w:rPr>
                <w:rFonts w:hint="eastAsia" w:eastAsia="宋体"/>
              </w:rPr>
              <w:t>+</w:t>
            </w:r>
            <w:r>
              <w:rPr>
                <w:rFonts w:eastAsia="宋体"/>
              </w:rPr>
              <w:t>30</w:t>
            </w:r>
            <w:r>
              <w:rPr>
                <w:rFonts w:hint="eastAsia" w:eastAsia="宋体"/>
              </w:rPr>
              <w:t>%</w:t>
            </w:r>
          </w:p>
        </w:tc>
        <w:tc>
          <w:tcPr>
            <w:tcW w:w="4410" w:type="dxa"/>
            <w:vAlign w:val="center"/>
          </w:tcPr>
          <w:p>
            <w:pPr>
              <w:pStyle w:val="14"/>
              <w:rPr>
                <w:rFonts w:eastAsia="宋体"/>
                <w:color w:val="000000"/>
                <w:szCs w:val="21"/>
              </w:rPr>
            </w:pPr>
            <w:r>
              <w:rPr>
                <w:rFonts w:eastAsia="宋体"/>
                <w:color w:val="000000"/>
                <w:szCs w:val="21"/>
              </w:rPr>
              <w:t>试卷题型包括填空题、简答题、数据分析计算题和综合应用题等，以卷面成绩的60%计入课程总成绩。其中考核误差理论与数据处理知识型题目占30%，包括误差与精度理论基础知识占20%；与本专业常用的国家标准和国际规范相关内容占10%；考核对测控系统和仪器工程的实验结果进行数据计算和分析能力题目占30%；考核针对测量控制与仪器工程问题综合分析与验证的能力占40%。</w:t>
            </w:r>
          </w:p>
        </w:tc>
        <w:tc>
          <w:tcPr>
            <w:tcW w:w="1470" w:type="dxa"/>
            <w:vAlign w:val="center"/>
          </w:tcPr>
          <w:p>
            <w:pPr>
              <w:pStyle w:val="14"/>
              <w:jc w:val="center"/>
              <w:rPr>
                <w:rFonts w:eastAsia="宋体"/>
              </w:rPr>
            </w:pPr>
          </w:p>
        </w:tc>
      </w:tr>
    </w:tbl>
    <w:p>
      <w:pPr>
        <w:spacing w:line="360" w:lineRule="auto"/>
        <w:ind w:firstLine="480" w:firstLineChars="200"/>
        <w:rPr>
          <w:kern w:val="0"/>
          <w:position w:val="-22"/>
          <w:szCs w:val="21"/>
        </w:rPr>
      </w:pPr>
      <w:r>
        <w:rPr>
          <w:sz w:val="24"/>
          <w:szCs w:val="22"/>
        </w:rPr>
        <w:t>（三）所有课程目标均</w:t>
      </w:r>
      <w:r>
        <w:rPr>
          <w:rFonts w:hint="eastAsia"/>
          <w:sz w:val="24"/>
          <w:szCs w:val="22"/>
        </w:rPr>
        <w:t>需</w:t>
      </w:r>
      <w:r>
        <w:rPr>
          <w:sz w:val="24"/>
          <w:szCs w:val="22"/>
        </w:rPr>
        <w:t>大于等于0.6，否则总评成绩不及格，需要补考或重</w:t>
      </w:r>
      <w:r>
        <w:rPr>
          <w:rFonts w:hint="eastAsia"/>
          <w:sz w:val="24"/>
          <w:szCs w:val="22"/>
        </w:rPr>
        <w:t>修。</w:t>
      </w:r>
      <w:r>
        <w:rPr>
          <w:sz w:val="24"/>
          <w:szCs w:val="22"/>
        </w:rPr>
        <w:t>每</w:t>
      </w:r>
      <w:r>
        <w:rPr>
          <w:rFonts w:hint="eastAsia"/>
          <w:sz w:val="24"/>
          <w:szCs w:val="22"/>
        </w:rPr>
        <w:t>个</w:t>
      </w:r>
      <w:r>
        <w:rPr>
          <w:sz w:val="24"/>
          <w:szCs w:val="22"/>
        </w:rPr>
        <w:t>课程目标达成度计算方法如下：</w:t>
      </w:r>
      <w:r>
        <w:rPr>
          <w:rFonts w:hint="eastAsia"/>
          <w:kern w:val="0"/>
          <w:position w:val="-22"/>
          <w:szCs w:val="21"/>
        </w:rPr>
        <w:t xml:space="preserve"> </w:t>
      </w:r>
      <w:r>
        <w:rPr>
          <w:kern w:val="0"/>
          <w:position w:val="-22"/>
          <w:szCs w:val="21"/>
        </w:rPr>
        <w:t xml:space="preserve">           </w:t>
      </w:r>
    </w:p>
    <w:p>
      <w:pPr>
        <w:rPr>
          <w:sz w:val="24"/>
          <w:szCs w:val="22"/>
        </w:rPr>
      </w:pPr>
      <w:r>
        <w:rPr>
          <w:rFonts w:hint="eastAsia"/>
          <w:kern w:val="0"/>
          <w:position w:val="-22"/>
          <w:szCs w:val="21"/>
        </w:rPr>
        <mc:AlternateContent>
          <mc:Choice Requires="wps">
            <w:drawing>
              <wp:anchor distT="0" distB="0" distL="114300" distR="114300" simplePos="0" relativeHeight="251668480" behindDoc="0" locked="0" layoutInCell="1" allowOverlap="1">
                <wp:simplePos x="0" y="0"/>
                <wp:positionH relativeFrom="column">
                  <wp:posOffset>-5080</wp:posOffset>
                </wp:positionH>
                <wp:positionV relativeFrom="paragraph">
                  <wp:posOffset>100965</wp:posOffset>
                </wp:positionV>
                <wp:extent cx="1562100" cy="266700"/>
                <wp:effectExtent l="0" t="0" r="0" b="0"/>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1562100" cy="266700"/>
                        </a:xfrm>
                        <a:prstGeom prst="rect">
                          <a:avLst/>
                        </a:prstGeom>
                        <a:solidFill>
                          <a:srgbClr val="FFFFFF"/>
                        </a:solidFill>
                        <a:ln>
                          <a:noFill/>
                        </a:ln>
                        <a:effectLst/>
                      </wps:spPr>
                      <wps:txbx>
                        <w:txbxContent>
                          <w:p>
                            <w:r>
                              <w:rPr>
                                <w:rFonts w:hint="eastAsia"/>
                                <w:sz w:val="24"/>
                                <w:szCs w:val="22"/>
                              </w:rPr>
                              <w:t>课程目标i达成度=</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0.4pt;margin-top:7.95pt;height:21pt;width:123pt;z-index:251668480;mso-width-relative:page;mso-height-relative:page;" fillcolor="#FFFFFF" filled="t" stroked="f" coordsize="21600,21600" o:gfxdata="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AsR7BfUAAAABwEAAA8AAAAAAAAAAQAgAAAAIgAAAGRycy9kb3ducmV2LnhtbFBLAQIUABQA&#10;AAAIAIdO4kAwzR2JLQIAAEwEAAAOAAAAAAAAAAEAIAAAACMBAABkcnMvZTJvRG9jLnhtbFBLBQYA&#10;AAAABgAGAFkBAADCBQAAAAA=&#10;">
                <v:fill on="t" focussize="0,0"/>
                <v:stroke on="f"/>
                <v:imagedata o:title=""/>
                <o:lock v:ext="edit" aspectratio="f"/>
                <v:textbox>
                  <w:txbxContent>
                    <w:p>
                      <w:r>
                        <w:rPr>
                          <w:rFonts w:hint="eastAsia"/>
                          <w:sz w:val="24"/>
                          <w:szCs w:val="22"/>
                        </w:rPr>
                        <w:t>课程目标i达成度=</w:t>
                      </w:r>
                    </w:p>
                  </w:txbxContent>
                </v:textbox>
              </v:shape>
            </w:pict>
          </mc:Fallback>
        </mc:AlternateContent>
      </w:r>
      <w:r>
        <w:rPr>
          <w:rFonts w:hint="eastAsia"/>
          <w:sz w:val="24"/>
          <w:szCs w:val="22"/>
        </w:rPr>
        <w:t xml:space="preserve"> </w:t>
      </w:r>
      <w:r>
        <w:rPr>
          <w:sz w:val="24"/>
          <w:szCs w:val="22"/>
        </w:rPr>
        <w:t xml:space="preserve">                    </w:t>
      </w:r>
      <w:r>
        <w:rPr>
          <w:rFonts w:hint="eastAsia"/>
          <w:sz w:val="24"/>
          <w:szCs w:val="22"/>
        </w:rPr>
        <w:t>平时成绩×</w:t>
      </w:r>
      <w:r>
        <w:rPr>
          <w:sz w:val="24"/>
          <w:szCs w:val="22"/>
        </w:rPr>
        <w:t>A</w:t>
      </w:r>
      <w:r>
        <w:rPr>
          <w:rFonts w:hint="eastAsia"/>
          <w:sz w:val="24"/>
          <w:szCs w:val="22"/>
        </w:rPr>
        <w:t>i＋期末成绩×Bi</w:t>
      </w:r>
    </w:p>
    <w:p>
      <w:pPr>
        <w:spacing w:before="156" w:beforeLines="50" w:after="156" w:afterLines="50"/>
        <w:rPr>
          <w:sz w:val="24"/>
          <w:szCs w:val="22"/>
        </w:rPr>
      </w:pPr>
      <w:r>
        <w:rPr>
          <w:rFonts w:hint="eastAsia"/>
          <w:sz w:val="24"/>
          <w:szCs w:val="22"/>
        </w:rPr>
        <mc:AlternateContent>
          <mc:Choice Requires="wps">
            <w:drawing>
              <wp:anchor distT="0" distB="0" distL="114300" distR="114300" simplePos="0" relativeHeight="251667456" behindDoc="0" locked="0" layoutInCell="1" allowOverlap="1">
                <wp:simplePos x="0" y="0"/>
                <wp:positionH relativeFrom="column">
                  <wp:posOffset>1557020</wp:posOffset>
                </wp:positionH>
                <wp:positionV relativeFrom="paragraph">
                  <wp:posOffset>23495</wp:posOffset>
                </wp:positionV>
                <wp:extent cx="2647950" cy="12700"/>
                <wp:effectExtent l="0" t="4445" r="0" b="11430"/>
                <wp:wrapNone/>
                <wp:docPr id="8" name="直接箭头连接符 8"/>
                <wp:cNvGraphicFramePr/>
                <a:graphic xmlns:a="http://schemas.openxmlformats.org/drawingml/2006/main">
                  <a:graphicData uri="http://schemas.microsoft.com/office/word/2010/wordprocessingShape">
                    <wps:wsp>
                      <wps:cNvCnPr>
                        <a:cxnSpLocks noChangeShapeType="1"/>
                      </wps:cNvCnPr>
                      <wps:spPr bwMode="auto">
                        <a:xfrm>
                          <a:off x="0" y="0"/>
                          <a:ext cx="2647950" cy="12700"/>
                        </a:xfrm>
                        <a:prstGeom prst="straightConnector1">
                          <a:avLst/>
                        </a:prstGeom>
                        <a:noFill/>
                        <a:ln w="9525">
                          <a:solidFill>
                            <a:srgbClr val="000000"/>
                          </a:solidFill>
                          <a:round/>
                        </a:ln>
                        <a:effectLst/>
                      </wps:spPr>
                      <wps:bodyPr/>
                    </wps:wsp>
                  </a:graphicData>
                </a:graphic>
              </wp:anchor>
            </w:drawing>
          </mc:Choice>
          <mc:Fallback>
            <w:pict>
              <v:shape id="_x0000_s1026" o:spid="_x0000_s1026" o:spt="32" type="#_x0000_t32" style="position:absolute;left:0pt;margin-left:122.6pt;margin-top:1.85pt;height:1pt;width:208.5pt;z-index:251667456;mso-width-relative:page;mso-height-relative:page;" filled="f" stroked="t" coordsize="21600,21600" o:gfxdata="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JjUcjLVAAAABwEAAA8AAAAAAAAAAQAgAAAAIgAAAGRycy9kb3ducmV2&#10;LnhtbFBLAQIUABQAAAAIAIdO4kCmszre/wEAANADAAAOAAAAAAAAAAEAIAAAACQBAABkcnMvZTJv&#10;RG9jLnhtbFBLBQYAAAAABgAGAFkBAACVBQAAAAA=&#10;">
                <v:fill on="f" focussize="0,0"/>
                <v:stroke color="#000000" joinstyle="round"/>
                <v:imagedata o:title=""/>
                <o:lock v:ext="edit" aspectratio="f"/>
              </v:shape>
            </w:pict>
          </mc:Fallback>
        </mc:AlternateContent>
      </w:r>
      <w:r>
        <w:rPr>
          <w:rFonts w:hint="eastAsia"/>
          <w:sz w:val="24"/>
          <w:szCs w:val="22"/>
        </w:rPr>
        <w:t xml:space="preserve"> </w:t>
      </w:r>
      <w:r>
        <w:rPr>
          <w:sz w:val="24"/>
          <w:szCs w:val="22"/>
        </w:rPr>
        <w:t xml:space="preserve">                         100</w:t>
      </w:r>
      <w:r>
        <w:rPr>
          <w:rFonts w:hint="eastAsia"/>
          <w:sz w:val="24"/>
          <w:szCs w:val="22"/>
        </w:rPr>
        <w:t>×（Ai＋Bi）</w:t>
      </w:r>
    </w:p>
    <w:p>
      <w:pPr>
        <w:spacing w:line="360" w:lineRule="auto"/>
        <w:rPr>
          <w:sz w:val="24"/>
          <w:szCs w:val="22"/>
        </w:rPr>
      </w:pPr>
      <w:r>
        <w:rPr>
          <w:sz w:val="24"/>
          <w:szCs w:val="22"/>
        </w:rPr>
        <w:t>式中：Ai=平时成绩占总评成绩的权重×课程目标i在平时成绩中的权重，</w:t>
      </w:r>
    </w:p>
    <w:p>
      <w:pPr>
        <w:spacing w:line="360" w:lineRule="auto"/>
        <w:ind w:firstLine="720" w:firstLineChars="300"/>
        <w:rPr>
          <w:sz w:val="24"/>
          <w:szCs w:val="22"/>
        </w:rPr>
      </w:pPr>
      <w:r>
        <w:rPr>
          <w:sz w:val="24"/>
          <w:szCs w:val="22"/>
        </w:rPr>
        <w:t>Bi=</w:t>
      </w:r>
      <w:r>
        <w:rPr>
          <w:rFonts w:hint="eastAsia"/>
          <w:sz w:val="24"/>
          <w:szCs w:val="22"/>
        </w:rPr>
        <w:t>期末</w:t>
      </w:r>
      <w:r>
        <w:rPr>
          <w:sz w:val="24"/>
          <w:szCs w:val="22"/>
        </w:rPr>
        <w:t>成绩占总评成绩的权重×课程目标i在实</w:t>
      </w:r>
      <w:r>
        <w:rPr>
          <w:rFonts w:hint="eastAsia"/>
          <w:sz w:val="24"/>
          <w:szCs w:val="22"/>
        </w:rPr>
        <w:t>验</w:t>
      </w:r>
      <w:r>
        <w:rPr>
          <w:sz w:val="24"/>
          <w:szCs w:val="22"/>
        </w:rPr>
        <w:t>成绩中的权重，</w:t>
      </w:r>
    </w:p>
    <w:p>
      <w:pPr>
        <w:spacing w:line="360" w:lineRule="auto"/>
        <w:ind w:firstLine="562" w:firstLineChars="200"/>
        <w:rPr>
          <w:b/>
          <w:sz w:val="28"/>
          <w:szCs w:val="28"/>
        </w:rPr>
      </w:pPr>
      <w:r>
        <w:rPr>
          <w:rFonts w:hint="eastAsia"/>
          <w:b/>
          <w:sz w:val="28"/>
          <w:szCs w:val="28"/>
        </w:rPr>
        <w:t>七</w:t>
      </w:r>
      <w:r>
        <w:rPr>
          <w:b/>
          <w:sz w:val="28"/>
          <w:szCs w:val="28"/>
        </w:rPr>
        <w:t>、</w:t>
      </w:r>
      <w:r>
        <w:rPr>
          <w:rFonts w:hint="eastAsia"/>
          <w:b/>
          <w:sz w:val="28"/>
          <w:szCs w:val="28"/>
        </w:rPr>
        <w:t>有关说明</w:t>
      </w:r>
    </w:p>
    <w:p>
      <w:pPr>
        <w:spacing w:line="360" w:lineRule="auto"/>
        <w:ind w:firstLine="482" w:firstLineChars="200"/>
        <w:rPr>
          <w:b/>
          <w:color w:val="000000"/>
          <w:sz w:val="24"/>
        </w:rPr>
      </w:pPr>
      <w:r>
        <w:rPr>
          <w:rFonts w:hint="eastAsia"/>
          <w:b/>
          <w:color w:val="000000"/>
          <w:sz w:val="24"/>
        </w:rPr>
        <w:t>（一）持续改进</w:t>
      </w:r>
    </w:p>
    <w:p>
      <w:pPr>
        <w:spacing w:line="360" w:lineRule="auto"/>
        <w:ind w:firstLine="480" w:firstLineChars="200"/>
        <w:rPr>
          <w:sz w:val="24"/>
          <w:szCs w:val="22"/>
        </w:rPr>
      </w:pPr>
      <w:r>
        <w:rPr>
          <w:sz w:val="24"/>
          <w:szCs w:val="22"/>
        </w:rPr>
        <w:t>本课程根据学生作业、课堂讨论、实验环节、平时考核情况和学生、教学督导等</w:t>
      </w:r>
      <w:r>
        <w:rPr>
          <w:rFonts w:hint="eastAsia"/>
          <w:sz w:val="24"/>
          <w:szCs w:val="22"/>
        </w:rPr>
        <w:t>的</w:t>
      </w:r>
      <w:r>
        <w:rPr>
          <w:sz w:val="24"/>
          <w:szCs w:val="22"/>
        </w:rPr>
        <w:t>反馈，及时对教学中</w:t>
      </w:r>
      <w:r>
        <w:rPr>
          <w:rFonts w:hint="eastAsia"/>
          <w:sz w:val="24"/>
          <w:szCs w:val="22"/>
        </w:rPr>
        <w:t>的</w:t>
      </w:r>
      <w:r>
        <w:rPr>
          <w:sz w:val="24"/>
          <w:szCs w:val="22"/>
        </w:rPr>
        <w:t>不足之处进行改进，并在下一轮课程教学中</w:t>
      </w:r>
      <w:r>
        <w:rPr>
          <w:rFonts w:hint="eastAsia"/>
          <w:sz w:val="24"/>
          <w:szCs w:val="22"/>
        </w:rPr>
        <w:t>整改完善</w:t>
      </w:r>
      <w:r>
        <w:rPr>
          <w:sz w:val="24"/>
          <w:szCs w:val="22"/>
        </w:rPr>
        <w:t>，确保相应毕业要求指标点达成。</w:t>
      </w:r>
    </w:p>
    <w:p>
      <w:pPr>
        <w:spacing w:line="360" w:lineRule="auto"/>
        <w:rPr>
          <w:b/>
          <w:color w:val="000000"/>
          <w:sz w:val="24"/>
        </w:rPr>
      </w:pPr>
      <w:r>
        <w:rPr>
          <w:rFonts w:hint="eastAsia"/>
          <w:b/>
          <w:color w:val="000000"/>
          <w:sz w:val="24"/>
        </w:rPr>
        <w:t>（二）</w:t>
      </w:r>
      <w:r>
        <w:rPr>
          <w:b/>
          <w:color w:val="000000"/>
          <w:sz w:val="24"/>
        </w:rPr>
        <w:t>参考书目及学习资料</w:t>
      </w:r>
    </w:p>
    <w:p>
      <w:pPr>
        <w:spacing w:line="360" w:lineRule="auto"/>
        <w:rPr>
          <w:sz w:val="24"/>
        </w:rPr>
      </w:pPr>
      <w:r>
        <w:rPr>
          <w:rFonts w:hint="eastAsia"/>
          <w:sz w:val="24"/>
        </w:rPr>
        <w:t>[1] 中央不忘初心牢记使命主题教育办公室.习近平关于“不忘初心、牢记使命”论述摘编[M].北京:中央文献出版社，2019.</w:t>
      </w:r>
    </w:p>
    <w:p>
      <w:pPr>
        <w:spacing w:line="360" w:lineRule="auto"/>
        <w:rPr>
          <w:sz w:val="24"/>
        </w:rPr>
      </w:pPr>
      <w:r>
        <w:rPr>
          <w:rFonts w:hint="eastAsia"/>
          <w:sz w:val="24"/>
        </w:rPr>
        <w:t>[2] 马克思，恩格斯.马克思恩格斯全集第31卷[M].中共中央马克思恩格斯列宁斯大林著作编译局，译.北京:人民出版社，2016.</w:t>
      </w:r>
    </w:p>
    <w:p>
      <w:pPr>
        <w:spacing w:line="360" w:lineRule="auto"/>
        <w:rPr>
          <w:sz w:val="24"/>
        </w:rPr>
      </w:pPr>
      <w:r>
        <w:rPr>
          <w:rFonts w:hint="eastAsia"/>
          <w:sz w:val="24"/>
        </w:rPr>
        <w:t>[3]习近平，习近平谈治国理政[M].北京:外文出版社，2010</w:t>
      </w:r>
    </w:p>
    <w:p>
      <w:pPr>
        <w:spacing w:line="360" w:lineRule="auto"/>
        <w:rPr>
          <w:sz w:val="24"/>
        </w:rPr>
      </w:pPr>
      <w:r>
        <w:rPr>
          <w:rFonts w:hint="eastAsia"/>
          <w:sz w:val="24"/>
        </w:rPr>
        <w:t>[4] 中共中央文献研究室.厉行节约反对浪费-- 重要论述摘编[M].北京:中央文献出版社，2013.</w:t>
      </w:r>
    </w:p>
    <w:p>
      <w:pPr>
        <w:spacing w:line="360" w:lineRule="auto"/>
        <w:rPr>
          <w:sz w:val="24"/>
        </w:rPr>
      </w:pPr>
      <w:r>
        <w:rPr>
          <w:rFonts w:hint="eastAsia"/>
          <w:sz w:val="24"/>
        </w:rPr>
        <w:t>[5] 马克思，资本论[M]. 姜晶花，张梅，译.北起北京出版社，2012.</w:t>
      </w:r>
    </w:p>
    <w:p>
      <w:pPr>
        <w:spacing w:line="400" w:lineRule="atLeast"/>
        <w:ind w:firstLine="5964" w:firstLineChars="2485"/>
        <w:rPr>
          <w:sz w:val="24"/>
        </w:rPr>
      </w:pPr>
      <w:r>
        <w:rPr>
          <w:sz w:val="24"/>
        </w:rPr>
        <w:t>执笔人：</w:t>
      </w:r>
      <w:r>
        <w:rPr>
          <w:rFonts w:hint="eastAsia"/>
          <w:sz w:val="24"/>
        </w:rPr>
        <w:t>张震威</w:t>
      </w:r>
    </w:p>
    <w:p>
      <w:pPr>
        <w:spacing w:line="400" w:lineRule="atLeast"/>
        <w:ind w:firstLine="5964" w:firstLineChars="2485"/>
        <w:rPr>
          <w:rFonts w:hint="eastAsia" w:eastAsia="宋体"/>
          <w:sz w:val="24"/>
          <w:lang w:eastAsia="zh-CN"/>
        </w:rPr>
      </w:pPr>
      <w:r>
        <w:rPr>
          <w:sz w:val="24"/>
        </w:rPr>
        <w:t>审定人：</w:t>
      </w:r>
      <w:r>
        <w:rPr>
          <w:rFonts w:hint="eastAsia"/>
          <w:sz w:val="24"/>
          <w:lang w:eastAsia="zh-CN"/>
        </w:rPr>
        <w:t>魏雪姣</w:t>
      </w:r>
    </w:p>
    <w:p>
      <w:pPr>
        <w:spacing w:line="400" w:lineRule="atLeast"/>
        <w:ind w:firstLine="5964" w:firstLineChars="2485"/>
        <w:rPr>
          <w:rFonts w:hint="eastAsia"/>
          <w:sz w:val="24"/>
          <w:lang w:eastAsia="zh-CN"/>
        </w:rPr>
      </w:pPr>
      <w:r>
        <w:rPr>
          <w:sz w:val="24"/>
        </w:rPr>
        <w:t>批准人：</w:t>
      </w:r>
      <w:r>
        <w:rPr>
          <w:rFonts w:hint="eastAsia"/>
          <w:sz w:val="24"/>
          <w:lang w:eastAsia="zh-CN"/>
        </w:rPr>
        <w:t>吴泽颖</w:t>
      </w:r>
    </w:p>
    <w:p>
      <w:pPr>
        <w:spacing w:line="400" w:lineRule="atLeast"/>
        <w:ind w:firstLine="5964" w:firstLineChars="2485"/>
        <w:rPr>
          <w:rFonts w:hint="default"/>
          <w:sz w:val="24"/>
          <w:lang w:val="en-US" w:eastAsia="zh-CN"/>
        </w:rPr>
      </w:pPr>
      <w:r>
        <w:rPr>
          <w:rFonts w:hint="eastAsia"/>
          <w:sz w:val="24"/>
          <w:lang w:val="en-US" w:eastAsia="zh-CN"/>
        </w:rPr>
        <w:t xml:space="preserve"> </w:t>
      </w:r>
    </w:p>
    <w:p>
      <w:pPr>
        <w:wordWrap w:val="0"/>
        <w:ind w:right="960"/>
        <w:jc w:val="right"/>
      </w:pPr>
      <w:r>
        <w:rPr>
          <w:rFonts w:hint="eastAsia"/>
          <w:sz w:val="24"/>
          <w:lang w:val="en-US" w:eastAsia="zh-CN"/>
        </w:rPr>
        <w:t xml:space="preserve">          </w:t>
      </w:r>
      <w:r>
        <w:rPr>
          <w:rFonts w:hint="eastAsia"/>
          <w:sz w:val="24"/>
        </w:rPr>
        <w:t>批准时间</w:t>
      </w:r>
      <w:r>
        <w:rPr>
          <w:rFonts w:hint="eastAsia"/>
          <w:sz w:val="24"/>
          <w:lang w:eastAsia="zh-CN"/>
        </w:rPr>
        <w:t>：</w:t>
      </w:r>
      <w:r>
        <w:rPr>
          <w:rFonts w:hint="eastAsia"/>
          <w:sz w:val="24"/>
          <w:lang w:val="en-US" w:eastAsia="zh-CN"/>
        </w:rPr>
        <w:t>2021.9.1</w:t>
      </w:r>
      <w:r>
        <w:rPr>
          <w:rFonts w:hint="eastAsia"/>
          <w:sz w:val="24"/>
        </w:rPr>
        <w:t xml:space="preserve"> </w:t>
      </w:r>
      <w:r>
        <w:rPr>
          <w:sz w:val="24"/>
        </w:rPr>
        <w:t xml:space="preserve">    </w:t>
      </w:r>
    </w:p>
    <w:p>
      <w:pPr>
        <w:spacing w:line="312" w:lineRule="auto"/>
        <w:jc w:val="center"/>
        <w:rPr>
          <w:rFonts w:hint="eastAsia" w:cs="宋体"/>
          <w:b/>
          <w:bCs/>
          <w:sz w:val="30"/>
          <w:szCs w:val="30"/>
        </w:rPr>
      </w:pPr>
    </w:p>
    <w:p>
      <w:pPr>
        <w:spacing w:line="312" w:lineRule="auto"/>
        <w:jc w:val="center"/>
        <w:rPr>
          <w:rFonts w:hint="eastAsia" w:cs="宋体"/>
          <w:b/>
          <w:bCs/>
          <w:sz w:val="30"/>
          <w:szCs w:val="30"/>
        </w:rPr>
      </w:pPr>
    </w:p>
    <w:p>
      <w:pPr>
        <w:spacing w:line="312" w:lineRule="auto"/>
        <w:jc w:val="center"/>
        <w:rPr>
          <w:rFonts w:hint="eastAsia" w:cs="宋体"/>
          <w:b/>
          <w:bCs/>
          <w:sz w:val="30"/>
          <w:szCs w:val="30"/>
        </w:rPr>
      </w:pPr>
    </w:p>
    <w:p>
      <w:pPr>
        <w:spacing w:line="312" w:lineRule="auto"/>
        <w:jc w:val="center"/>
        <w:rPr>
          <w:rFonts w:hint="eastAsia" w:cs="宋体"/>
          <w:b/>
          <w:bCs/>
          <w:sz w:val="30"/>
          <w:szCs w:val="30"/>
        </w:rPr>
      </w:pPr>
    </w:p>
    <w:p>
      <w:pPr>
        <w:spacing w:line="312" w:lineRule="auto"/>
        <w:jc w:val="center"/>
        <w:rPr>
          <w:rFonts w:hint="eastAsia" w:cs="宋体"/>
          <w:b/>
          <w:bCs/>
          <w:sz w:val="30"/>
          <w:szCs w:val="30"/>
        </w:rPr>
      </w:pPr>
    </w:p>
    <w:p>
      <w:pPr>
        <w:spacing w:line="312" w:lineRule="auto"/>
        <w:jc w:val="center"/>
        <w:rPr>
          <w:rFonts w:hint="eastAsia" w:cs="宋体"/>
          <w:b/>
          <w:bCs/>
          <w:sz w:val="30"/>
          <w:szCs w:val="30"/>
        </w:rPr>
      </w:pPr>
    </w:p>
    <w:p>
      <w:pPr>
        <w:spacing w:line="312" w:lineRule="auto"/>
        <w:jc w:val="center"/>
        <w:rPr>
          <w:rFonts w:hint="eastAsia" w:cs="宋体"/>
          <w:b/>
          <w:bCs/>
          <w:sz w:val="30"/>
          <w:szCs w:val="30"/>
        </w:rPr>
      </w:pPr>
    </w:p>
    <w:p>
      <w:pPr>
        <w:spacing w:line="312" w:lineRule="auto"/>
        <w:jc w:val="center"/>
        <w:rPr>
          <w:rFonts w:hint="eastAsia" w:cs="宋体"/>
          <w:b/>
          <w:bCs/>
          <w:sz w:val="30"/>
          <w:szCs w:val="30"/>
        </w:rPr>
      </w:pPr>
    </w:p>
    <w:p>
      <w:pPr>
        <w:pStyle w:val="3"/>
        <w:bidi w:val="0"/>
        <w:jc w:val="center"/>
      </w:pPr>
      <w:bookmarkStart w:id="3" w:name="_Toc19946"/>
      <w:bookmarkStart w:id="4" w:name="_Toc22023"/>
      <w:r>
        <w:rPr>
          <w:rFonts w:hint="eastAsia"/>
        </w:rPr>
        <w:t>无机化学课程教学大纲</w:t>
      </w:r>
      <w:bookmarkEnd w:id="3"/>
      <w:bookmarkEnd w:id="4"/>
    </w:p>
    <w:p>
      <w:pPr>
        <w:spacing w:line="312" w:lineRule="auto"/>
        <w:jc w:val="center"/>
        <w:rPr>
          <w:b/>
          <w:bCs/>
          <w:sz w:val="30"/>
          <w:szCs w:val="30"/>
        </w:rPr>
      </w:pPr>
      <w:r>
        <w:rPr>
          <w:rFonts w:hint="eastAsia" w:cs="宋体"/>
          <w:b/>
          <w:bCs/>
          <w:sz w:val="30"/>
          <w:szCs w:val="30"/>
        </w:rPr>
        <w:t>（</w:t>
      </w:r>
      <w:r>
        <w:rPr>
          <w:b/>
          <w:bCs/>
          <w:sz w:val="30"/>
          <w:szCs w:val="30"/>
        </w:rPr>
        <w:t>Inorganic Chemistry</w:t>
      </w:r>
      <w:r>
        <w:rPr>
          <w:rFonts w:hint="eastAsia" w:cs="宋体"/>
          <w:b/>
          <w:bCs/>
          <w:sz w:val="30"/>
          <w:szCs w:val="30"/>
        </w:rPr>
        <w:t>）</w:t>
      </w:r>
    </w:p>
    <w:p>
      <w:pPr>
        <w:spacing w:line="360" w:lineRule="auto"/>
        <w:rPr>
          <w:b/>
          <w:bCs/>
          <w:sz w:val="28"/>
          <w:szCs w:val="28"/>
        </w:rPr>
      </w:pPr>
      <w:r>
        <w:rPr>
          <w:rFonts w:hint="eastAsia" w:cs="宋体"/>
          <w:b/>
          <w:bCs/>
          <w:sz w:val="28"/>
          <w:szCs w:val="28"/>
        </w:rPr>
        <w:t>一、课程概况</w:t>
      </w:r>
    </w:p>
    <w:p>
      <w:pPr>
        <w:spacing w:line="360" w:lineRule="auto"/>
        <w:rPr>
          <w:b/>
          <w:bCs/>
          <w:sz w:val="24"/>
          <w:szCs w:val="24"/>
        </w:rPr>
      </w:pPr>
      <w:r>
        <w:rPr>
          <w:rFonts w:hint="eastAsia" w:cs="宋体"/>
          <w:b/>
          <w:bCs/>
          <w:kern w:val="0"/>
          <w:sz w:val="24"/>
          <w:szCs w:val="24"/>
        </w:rPr>
        <w:t>课程代码：</w:t>
      </w:r>
      <w:r>
        <w:rPr>
          <w:sz w:val="24"/>
          <w:szCs w:val="24"/>
        </w:rPr>
        <w:t>2501003</w:t>
      </w:r>
    </w:p>
    <w:p>
      <w:pPr>
        <w:spacing w:line="360" w:lineRule="auto"/>
        <w:rPr>
          <w:kern w:val="0"/>
          <w:sz w:val="24"/>
          <w:szCs w:val="24"/>
        </w:rPr>
      </w:pPr>
      <w:r>
        <w:rPr>
          <w:rFonts w:hint="eastAsia" w:cs="宋体"/>
          <w:b/>
          <w:bCs/>
          <w:kern w:val="0"/>
          <w:sz w:val="24"/>
          <w:szCs w:val="24"/>
        </w:rPr>
        <w:t>学</w:t>
      </w:r>
      <w:r>
        <w:rPr>
          <w:b/>
          <w:bCs/>
          <w:kern w:val="0"/>
          <w:sz w:val="24"/>
          <w:szCs w:val="24"/>
        </w:rPr>
        <w:t xml:space="preserve">    </w:t>
      </w:r>
      <w:r>
        <w:rPr>
          <w:rFonts w:hint="eastAsia" w:cs="宋体"/>
          <w:b/>
          <w:bCs/>
          <w:kern w:val="0"/>
          <w:sz w:val="24"/>
          <w:szCs w:val="24"/>
        </w:rPr>
        <w:t>分：</w:t>
      </w:r>
      <w:r>
        <w:rPr>
          <w:kern w:val="0"/>
          <w:sz w:val="24"/>
          <w:szCs w:val="24"/>
        </w:rPr>
        <w:t>4.0</w:t>
      </w:r>
    </w:p>
    <w:p>
      <w:pPr>
        <w:spacing w:line="360" w:lineRule="auto"/>
        <w:rPr>
          <w:kern w:val="0"/>
          <w:sz w:val="24"/>
          <w:szCs w:val="24"/>
        </w:rPr>
      </w:pPr>
      <w:r>
        <w:rPr>
          <w:rFonts w:hint="eastAsia" w:cs="宋体"/>
          <w:b/>
          <w:bCs/>
          <w:kern w:val="0"/>
          <w:sz w:val="24"/>
          <w:szCs w:val="24"/>
        </w:rPr>
        <w:t>学</w:t>
      </w:r>
      <w:r>
        <w:rPr>
          <w:b/>
          <w:bCs/>
          <w:kern w:val="0"/>
          <w:sz w:val="24"/>
          <w:szCs w:val="24"/>
        </w:rPr>
        <w:t xml:space="preserve">    </w:t>
      </w:r>
      <w:r>
        <w:rPr>
          <w:rFonts w:hint="eastAsia" w:cs="宋体"/>
          <w:b/>
          <w:bCs/>
          <w:kern w:val="0"/>
          <w:sz w:val="24"/>
          <w:szCs w:val="24"/>
        </w:rPr>
        <w:t>时：</w:t>
      </w:r>
      <w:r>
        <w:rPr>
          <w:kern w:val="0"/>
          <w:sz w:val="24"/>
          <w:szCs w:val="24"/>
        </w:rPr>
        <w:t>64</w:t>
      </w:r>
      <w:r>
        <w:rPr>
          <w:rFonts w:hint="eastAsia" w:cs="宋体"/>
          <w:kern w:val="0"/>
          <w:sz w:val="24"/>
          <w:szCs w:val="24"/>
        </w:rPr>
        <w:t>（其中：讲授学时</w:t>
      </w:r>
      <w:r>
        <w:rPr>
          <w:kern w:val="0"/>
          <w:sz w:val="24"/>
          <w:szCs w:val="24"/>
        </w:rPr>
        <w:t>64</w:t>
      </w:r>
      <w:r>
        <w:rPr>
          <w:rFonts w:hint="eastAsia" w:cs="宋体"/>
          <w:kern w:val="0"/>
          <w:sz w:val="24"/>
          <w:szCs w:val="24"/>
        </w:rPr>
        <w:t>，实验学时</w:t>
      </w:r>
      <w:r>
        <w:rPr>
          <w:kern w:val="0"/>
          <w:sz w:val="24"/>
          <w:szCs w:val="24"/>
        </w:rPr>
        <w:t>0</w:t>
      </w:r>
      <w:r>
        <w:rPr>
          <w:rFonts w:hint="eastAsia" w:cs="宋体"/>
          <w:kern w:val="0"/>
          <w:sz w:val="24"/>
          <w:szCs w:val="24"/>
        </w:rPr>
        <w:t>）</w:t>
      </w:r>
    </w:p>
    <w:p>
      <w:pPr>
        <w:spacing w:line="360" w:lineRule="auto"/>
        <w:rPr>
          <w:kern w:val="0"/>
          <w:sz w:val="24"/>
          <w:szCs w:val="24"/>
        </w:rPr>
      </w:pPr>
      <w:r>
        <w:rPr>
          <w:rFonts w:hint="eastAsia" w:cs="宋体"/>
          <w:b/>
          <w:bCs/>
          <w:kern w:val="0"/>
          <w:sz w:val="24"/>
          <w:szCs w:val="24"/>
        </w:rPr>
        <w:t>先修课程：无</w:t>
      </w:r>
    </w:p>
    <w:p>
      <w:pPr>
        <w:spacing w:line="360" w:lineRule="auto"/>
        <w:rPr>
          <w:kern w:val="0"/>
          <w:sz w:val="24"/>
          <w:szCs w:val="24"/>
        </w:rPr>
      </w:pPr>
      <w:r>
        <w:rPr>
          <w:rFonts w:hint="eastAsia" w:cs="宋体"/>
          <w:b/>
          <w:bCs/>
          <w:kern w:val="0"/>
          <w:sz w:val="24"/>
          <w:szCs w:val="24"/>
        </w:rPr>
        <w:t>适用专业：化学工程与工艺，应用化学</w:t>
      </w:r>
      <w:r>
        <w:rPr>
          <w:kern w:val="0"/>
          <w:sz w:val="24"/>
          <w:szCs w:val="24"/>
        </w:rPr>
        <w:t xml:space="preserve">                       </w:t>
      </w:r>
    </w:p>
    <w:p>
      <w:pPr>
        <w:spacing w:line="360" w:lineRule="auto"/>
        <w:rPr>
          <w:rFonts w:hint="eastAsia" w:cs="宋体"/>
          <w:sz w:val="24"/>
          <w:szCs w:val="24"/>
        </w:rPr>
      </w:pPr>
      <w:r>
        <w:rPr>
          <w:rFonts w:hint="eastAsia" w:cs="宋体"/>
          <w:b/>
          <w:bCs/>
          <w:kern w:val="0"/>
          <w:sz w:val="24"/>
          <w:szCs w:val="24"/>
        </w:rPr>
        <w:t>建议教材：</w:t>
      </w:r>
      <w:r>
        <w:rPr>
          <w:rFonts w:hint="eastAsia" w:cs="宋体"/>
          <w:sz w:val="24"/>
          <w:szCs w:val="24"/>
        </w:rPr>
        <w:t>《无机化学》（第五版），天津大学无机化学教研室编，高等教育出版社，</w:t>
      </w:r>
      <w:r>
        <w:rPr>
          <w:rFonts w:cs="宋体"/>
          <w:sz w:val="24"/>
          <w:szCs w:val="24"/>
        </w:rPr>
        <w:t>2017</w:t>
      </w:r>
    </w:p>
    <w:p>
      <w:pPr>
        <w:spacing w:line="360" w:lineRule="auto"/>
        <w:rPr>
          <w:rFonts w:hint="eastAsia" w:cs="宋体"/>
          <w:b/>
          <w:bCs/>
          <w:kern w:val="0"/>
          <w:sz w:val="24"/>
          <w:szCs w:val="24"/>
        </w:rPr>
      </w:pPr>
      <w:r>
        <w:rPr>
          <w:rFonts w:hint="eastAsia" w:cs="宋体"/>
          <w:b/>
          <w:bCs/>
          <w:kern w:val="0"/>
          <w:sz w:val="24"/>
          <w:szCs w:val="24"/>
        </w:rPr>
        <w:t>课程归口：化工与材料学院</w:t>
      </w:r>
    </w:p>
    <w:p>
      <w:pPr>
        <w:spacing w:line="360" w:lineRule="auto"/>
        <w:rPr>
          <w:kern w:val="0"/>
          <w:sz w:val="24"/>
          <w:szCs w:val="24"/>
        </w:rPr>
      </w:pPr>
      <w:r>
        <w:rPr>
          <w:rFonts w:hint="eastAsia"/>
          <w:b/>
          <w:bCs/>
          <w:kern w:val="0"/>
          <w:sz w:val="24"/>
          <w:szCs w:val="24"/>
        </w:rPr>
        <w:t>课程团队：</w:t>
      </w:r>
      <w:r>
        <w:rPr>
          <w:rFonts w:hint="eastAsia"/>
          <w:kern w:val="0"/>
          <w:sz w:val="24"/>
          <w:szCs w:val="24"/>
        </w:rPr>
        <w:t>张金涛、张震威、邓瑶瑶、柏寄荣等</w:t>
      </w:r>
    </w:p>
    <w:p>
      <w:pPr>
        <w:spacing w:line="360" w:lineRule="auto"/>
        <w:rPr>
          <w:rFonts w:hint="eastAsia" w:cs="宋体"/>
          <w:kern w:val="0"/>
          <w:sz w:val="24"/>
          <w:szCs w:val="24"/>
        </w:rPr>
      </w:pPr>
      <w:r>
        <w:rPr>
          <w:rFonts w:hint="eastAsia" w:cs="宋体"/>
          <w:b/>
          <w:bCs/>
          <w:kern w:val="0"/>
          <w:sz w:val="24"/>
          <w:szCs w:val="24"/>
        </w:rPr>
        <w:t>课程的性质与任务：</w:t>
      </w:r>
      <w:r>
        <w:rPr>
          <w:rFonts w:hint="eastAsia" w:cs="宋体"/>
          <w:kern w:val="0"/>
          <w:sz w:val="24"/>
          <w:szCs w:val="24"/>
        </w:rPr>
        <w:t>本课程是化学工程与工艺专业化学及应用化学专业的一门专业基础课。通过对无机化学课程的学习，对学生的专业学习起着承先启后的作用。该课程的讲授内容，既要立足于学生已掌握的中学化学基础知识，又要为专业后继课程准备必需的基础理论和无机化学知识。</w:t>
      </w:r>
    </w:p>
    <w:p>
      <w:pPr>
        <w:autoSpaceDE w:val="0"/>
        <w:autoSpaceDN w:val="0"/>
        <w:adjustRightInd w:val="0"/>
        <w:spacing w:line="360" w:lineRule="auto"/>
        <w:rPr>
          <w:b/>
          <w:bCs/>
          <w:kern w:val="0"/>
          <w:sz w:val="28"/>
          <w:szCs w:val="28"/>
        </w:rPr>
      </w:pPr>
      <w:r>
        <w:rPr>
          <w:rFonts w:hint="eastAsia" w:ascii="宋体" w:cs="宋体"/>
          <w:b/>
          <w:bCs/>
          <w:kern w:val="0"/>
          <w:sz w:val="28"/>
          <w:szCs w:val="28"/>
          <w:lang w:val="zh-CN"/>
        </w:rPr>
        <w:t>二、课程目标对毕业要求观测点的支撑</w:t>
      </w:r>
    </w:p>
    <w:tbl>
      <w:tblPr>
        <w:tblStyle w:val="10"/>
        <w:tblW w:w="0" w:type="auto"/>
        <w:jc w:val="center"/>
        <w:tblLayout w:type="fixed"/>
        <w:tblCellMar>
          <w:top w:w="0" w:type="dxa"/>
          <w:left w:w="108" w:type="dxa"/>
          <w:bottom w:w="0" w:type="dxa"/>
          <w:right w:w="108" w:type="dxa"/>
        </w:tblCellMar>
      </w:tblPr>
      <w:tblGrid>
        <w:gridCol w:w="738"/>
        <w:gridCol w:w="3118"/>
        <w:gridCol w:w="2292"/>
        <w:gridCol w:w="3066"/>
      </w:tblGrid>
      <w:tr>
        <w:tblPrEx>
          <w:tblCellMar>
            <w:top w:w="0" w:type="dxa"/>
            <w:left w:w="108" w:type="dxa"/>
            <w:bottom w:w="0" w:type="dxa"/>
            <w:right w:w="108" w:type="dxa"/>
          </w:tblCellMar>
        </w:tblPrEx>
        <w:trPr>
          <w:trHeight w:val="481"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rFonts w:hint="eastAsia" w:ascii="宋体" w:cs="宋体"/>
                <w:b/>
                <w:bCs/>
                <w:kern w:val="0"/>
                <w:lang w:val="zh-CN"/>
              </w:rPr>
              <w:t>序号</w:t>
            </w:r>
          </w:p>
        </w:tc>
        <w:tc>
          <w:tcPr>
            <w:tcW w:w="31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rFonts w:hint="eastAsia" w:ascii="宋体" w:cs="宋体"/>
                <w:b/>
                <w:bCs/>
                <w:kern w:val="0"/>
                <w:lang w:val="zh-CN"/>
              </w:rPr>
              <w:t>课程目标</w:t>
            </w:r>
          </w:p>
        </w:tc>
        <w:tc>
          <w:tcPr>
            <w:tcW w:w="22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rFonts w:hint="eastAsia" w:ascii="宋体" w:cs="宋体"/>
                <w:b/>
                <w:bCs/>
                <w:kern w:val="0"/>
                <w:lang w:val="zh-CN"/>
              </w:rPr>
              <w:t>支撑毕业要求观测点</w:t>
            </w:r>
          </w:p>
        </w:tc>
        <w:tc>
          <w:tcPr>
            <w:tcW w:w="30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rFonts w:hint="eastAsia" w:ascii="宋体" w:cs="宋体"/>
                <w:b/>
                <w:bCs/>
                <w:kern w:val="0"/>
                <w:lang w:val="zh-CN"/>
              </w:rPr>
              <w:t>毕业要求</w:t>
            </w:r>
          </w:p>
        </w:tc>
      </w:tr>
      <w:tr>
        <w:tblPrEx>
          <w:tblCellMar>
            <w:top w:w="0" w:type="dxa"/>
            <w:left w:w="108" w:type="dxa"/>
            <w:bottom w:w="0" w:type="dxa"/>
            <w:right w:w="108" w:type="dxa"/>
          </w:tblCellMar>
        </w:tblPrEx>
        <w:trPr>
          <w:trHeight w:val="470"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kern w:val="0"/>
              </w:rPr>
              <w:t>1</w:t>
            </w:r>
          </w:p>
        </w:tc>
        <w:tc>
          <w:tcPr>
            <w:tcW w:w="31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b/>
                <w:bCs/>
                <w:kern w:val="0"/>
                <w:lang w:val="zh-CN"/>
              </w:rPr>
              <w:t>目标</w:t>
            </w:r>
            <w:r>
              <w:rPr>
                <w:b/>
                <w:bCs/>
                <w:kern w:val="0"/>
              </w:rPr>
              <w:t>1.</w:t>
            </w:r>
            <w:r>
              <w:rPr>
                <w:rFonts w:hint="eastAsia" w:ascii="宋体" w:cs="宋体"/>
                <w:kern w:val="0"/>
                <w:lang w:val="zh-CN"/>
              </w:rPr>
              <w:t>通过对无机化学课程的学习，学生可以掌握化学和化工基础知识。</w:t>
            </w:r>
          </w:p>
        </w:tc>
        <w:tc>
          <w:tcPr>
            <w:tcW w:w="22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b/>
                <w:bCs/>
                <w:kern w:val="0"/>
                <w:lang w:val="zh-CN"/>
              </w:rPr>
              <w:t>观测点</w:t>
            </w:r>
            <w:r>
              <w:rPr>
                <w:b/>
                <w:bCs/>
                <w:kern w:val="0"/>
              </w:rPr>
              <w:t>1.2</w:t>
            </w:r>
            <w:r>
              <w:rPr>
                <w:rFonts w:hint="eastAsia" w:ascii="宋体" w:cs="宋体"/>
                <w:kern w:val="0"/>
                <w:lang w:val="zh-CN"/>
              </w:rPr>
              <w:t>掌握化学和化工基础知识</w:t>
            </w:r>
          </w:p>
        </w:tc>
        <w:tc>
          <w:tcPr>
            <w:tcW w:w="30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b/>
                <w:bCs/>
                <w:kern w:val="0"/>
                <w:lang w:val="zh-CN"/>
              </w:rPr>
              <w:t>毕业要求</w:t>
            </w:r>
            <w:r>
              <w:rPr>
                <w:b/>
                <w:bCs/>
                <w:kern w:val="0"/>
              </w:rPr>
              <w:t>1</w:t>
            </w:r>
            <w:r>
              <w:rPr>
                <w:rFonts w:hint="eastAsia" w:ascii="宋体" w:cs="宋体"/>
                <w:b/>
                <w:bCs/>
                <w:kern w:val="0"/>
                <w:lang w:val="zh-CN"/>
              </w:rPr>
              <w:t>：</w:t>
            </w:r>
            <w:r>
              <w:rPr>
                <w:rFonts w:hint="eastAsia" w:ascii="宋体" w:cs="宋体"/>
                <w:kern w:val="0"/>
                <w:lang w:val="zh-CN"/>
              </w:rPr>
              <w:t>工程知识：能够将数学、自然科学、工程基础和专业知识用于解决化学工程与工艺领域复杂工程问题。</w:t>
            </w:r>
          </w:p>
        </w:tc>
      </w:tr>
      <w:tr>
        <w:tblPrEx>
          <w:tblCellMar>
            <w:top w:w="0" w:type="dxa"/>
            <w:left w:w="108" w:type="dxa"/>
            <w:bottom w:w="0" w:type="dxa"/>
            <w:right w:w="108" w:type="dxa"/>
          </w:tblCellMar>
        </w:tblPrEx>
        <w:trPr>
          <w:trHeight w:val="470"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kern w:val="0"/>
              </w:rPr>
              <w:t>2</w:t>
            </w:r>
          </w:p>
        </w:tc>
        <w:tc>
          <w:tcPr>
            <w:tcW w:w="31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b/>
                <w:bCs/>
                <w:kern w:val="0"/>
                <w:lang w:val="zh-CN"/>
              </w:rPr>
              <w:t>目标</w:t>
            </w:r>
            <w:r>
              <w:rPr>
                <w:b/>
                <w:bCs/>
                <w:kern w:val="0"/>
              </w:rPr>
              <w:t>2.</w:t>
            </w:r>
            <w:r>
              <w:rPr>
                <w:rFonts w:hint="eastAsia" w:ascii="宋体" w:cs="宋体"/>
                <w:kern w:val="0"/>
                <w:lang w:val="zh-CN"/>
              </w:rPr>
              <w:t>根据所学的基本理论，可以应用到实际应用过程中的具体问题分析。</w:t>
            </w:r>
          </w:p>
        </w:tc>
        <w:tc>
          <w:tcPr>
            <w:tcW w:w="22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b/>
                <w:bCs/>
                <w:kern w:val="0"/>
                <w:lang w:val="zh-CN"/>
              </w:rPr>
              <w:t>观测点</w:t>
            </w:r>
            <w:r>
              <w:rPr>
                <w:b/>
                <w:bCs/>
                <w:kern w:val="0"/>
              </w:rPr>
              <w:t>2.1</w:t>
            </w:r>
            <w:r>
              <w:rPr>
                <w:rFonts w:hint="eastAsia" w:ascii="宋体" w:cs="宋体"/>
                <w:kern w:val="0"/>
                <w:lang w:val="zh-CN"/>
              </w:rPr>
              <w:t>能够识别和判断复杂化学工程问题的关键环节和参数</w:t>
            </w:r>
          </w:p>
        </w:tc>
        <w:tc>
          <w:tcPr>
            <w:tcW w:w="30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b/>
                <w:bCs/>
                <w:kern w:val="0"/>
                <w:lang w:val="zh-CN"/>
              </w:rPr>
              <w:t>毕业要求</w:t>
            </w:r>
            <w:r>
              <w:rPr>
                <w:b/>
                <w:bCs/>
                <w:kern w:val="0"/>
              </w:rPr>
              <w:t>2</w:t>
            </w:r>
            <w:r>
              <w:rPr>
                <w:rFonts w:hint="eastAsia" w:ascii="宋体" w:cs="宋体"/>
                <w:b/>
                <w:bCs/>
                <w:kern w:val="0"/>
                <w:lang w:val="zh-CN"/>
              </w:rPr>
              <w:t>：</w:t>
            </w:r>
            <w:r>
              <w:rPr>
                <w:rFonts w:hint="eastAsia" w:ascii="宋体" w:cs="宋体"/>
                <w:kern w:val="0"/>
                <w:lang w:val="zh-CN"/>
              </w:rPr>
              <w:t>问题分析：能够应用数学、自然科学和工程科学的基本原理，识别、表达、并通过文献研究分析化学工程与工艺领域复杂工程问题，以获得有效结论。</w:t>
            </w:r>
          </w:p>
        </w:tc>
      </w:tr>
      <w:tr>
        <w:tblPrEx>
          <w:tblCellMar>
            <w:top w:w="0" w:type="dxa"/>
            <w:left w:w="108" w:type="dxa"/>
            <w:bottom w:w="0" w:type="dxa"/>
            <w:right w:w="108" w:type="dxa"/>
          </w:tblCellMar>
        </w:tblPrEx>
        <w:trPr>
          <w:trHeight w:val="470"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kern w:val="0"/>
              </w:rPr>
              <w:t>3</w:t>
            </w:r>
          </w:p>
        </w:tc>
        <w:tc>
          <w:tcPr>
            <w:tcW w:w="31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b/>
                <w:bCs/>
                <w:kern w:val="0"/>
                <w:lang w:val="zh-CN"/>
              </w:rPr>
              <w:t>目标</w:t>
            </w:r>
            <w:r>
              <w:rPr>
                <w:b/>
                <w:bCs/>
                <w:kern w:val="0"/>
              </w:rPr>
              <w:t>3</w:t>
            </w:r>
            <w:r>
              <w:rPr>
                <w:rFonts w:hint="eastAsia" w:ascii="宋体" w:cs="宋体"/>
                <w:b/>
                <w:bCs/>
                <w:kern w:val="0"/>
                <w:lang w:val="zh-CN"/>
              </w:rPr>
              <w:t>：</w:t>
            </w:r>
            <w:r>
              <w:rPr>
                <w:rFonts w:hint="eastAsia" w:ascii="宋体" w:cs="宋体"/>
                <w:kern w:val="0"/>
                <w:lang w:val="zh-CN"/>
              </w:rPr>
              <w:t>能够根据任务要求，选择合适的学习方法，能够把所学的基本理论、原理、方法和技能运用到具体应用实践中去</w:t>
            </w:r>
            <w:r>
              <w:rPr>
                <w:rFonts w:hint="eastAsia" w:ascii="宋体" w:cs="宋体"/>
                <w:b/>
                <w:bCs/>
                <w:kern w:val="0"/>
                <w:lang w:val="zh-CN"/>
              </w:rPr>
              <w:t>。</w:t>
            </w:r>
          </w:p>
        </w:tc>
        <w:tc>
          <w:tcPr>
            <w:tcW w:w="22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b/>
                <w:bCs/>
                <w:kern w:val="0"/>
                <w:lang w:val="zh-CN"/>
              </w:rPr>
              <w:t>观测点</w:t>
            </w:r>
            <w:r>
              <w:rPr>
                <w:b/>
                <w:bCs/>
                <w:kern w:val="0"/>
              </w:rPr>
              <w:t>4.1</w:t>
            </w:r>
            <w:r>
              <w:rPr>
                <w:rFonts w:hint="eastAsia" w:ascii="宋体" w:cs="宋体"/>
                <w:kern w:val="0"/>
                <w:lang w:val="zh-CN"/>
              </w:rPr>
              <w:t>：</w:t>
            </w:r>
            <w:r>
              <w:rPr>
                <w:rFonts w:hint="eastAsia" w:ascii="宋体" w:cs="宋体"/>
                <w:color w:val="000000"/>
                <w:kern w:val="0"/>
                <w:lang w:val="zh-CN"/>
              </w:rPr>
              <w:t>能够比较和选择研究路线，设计实验方案</w:t>
            </w:r>
            <w:r>
              <w:rPr>
                <w:rFonts w:hint="eastAsia" w:ascii="宋体" w:cs="宋体"/>
                <w:kern w:val="0"/>
                <w:lang w:val="zh-CN"/>
              </w:rPr>
              <w:t>。</w:t>
            </w:r>
          </w:p>
        </w:tc>
        <w:tc>
          <w:tcPr>
            <w:tcW w:w="30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b/>
                <w:bCs/>
                <w:kern w:val="0"/>
                <w:lang w:val="zh-CN"/>
              </w:rPr>
              <w:t>毕业要求</w:t>
            </w:r>
            <w:r>
              <w:rPr>
                <w:b/>
                <w:bCs/>
                <w:kern w:val="0"/>
              </w:rPr>
              <w:t>4</w:t>
            </w:r>
            <w:r>
              <w:rPr>
                <w:rFonts w:hint="eastAsia" w:ascii="宋体" w:cs="宋体"/>
                <w:color w:val="000000"/>
                <w:kern w:val="0"/>
                <w:lang w:val="zh-CN"/>
              </w:rPr>
              <w:t>研究：能够基于科学原理并采用科学方法对复杂工程问题进行研究，包括设计实验、分析与解释数据、并通过信息综合得到合理有效的结论。</w:t>
            </w:r>
          </w:p>
        </w:tc>
      </w:tr>
    </w:tbl>
    <w:p>
      <w:pPr>
        <w:autoSpaceDE w:val="0"/>
        <w:autoSpaceDN w:val="0"/>
        <w:adjustRightInd w:val="0"/>
        <w:spacing w:line="360" w:lineRule="auto"/>
        <w:rPr>
          <w:b/>
          <w:bCs/>
          <w:kern w:val="0"/>
          <w:sz w:val="28"/>
          <w:szCs w:val="28"/>
        </w:rPr>
      </w:pPr>
      <w:r>
        <w:rPr>
          <w:rFonts w:hint="eastAsia" w:ascii="宋体" w:cs="宋体"/>
          <w:b/>
          <w:bCs/>
          <w:kern w:val="0"/>
          <w:sz w:val="28"/>
          <w:szCs w:val="28"/>
          <w:lang w:val="zh-CN"/>
        </w:rPr>
        <w:t>三、课程内容及要求</w:t>
      </w:r>
    </w:p>
    <w:tbl>
      <w:tblPr>
        <w:tblStyle w:val="10"/>
        <w:tblW w:w="9270" w:type="dxa"/>
        <w:jc w:val="center"/>
        <w:tblLayout w:type="fixed"/>
        <w:tblCellMar>
          <w:top w:w="0" w:type="dxa"/>
          <w:left w:w="108" w:type="dxa"/>
          <w:bottom w:w="0" w:type="dxa"/>
          <w:right w:w="108" w:type="dxa"/>
        </w:tblCellMar>
      </w:tblPr>
      <w:tblGrid>
        <w:gridCol w:w="779"/>
        <w:gridCol w:w="3450"/>
        <w:gridCol w:w="1080"/>
        <w:gridCol w:w="1801"/>
        <w:gridCol w:w="720"/>
        <w:gridCol w:w="720"/>
        <w:gridCol w:w="720"/>
      </w:tblGrid>
      <w:tr>
        <w:tblPrEx>
          <w:tblCellMar>
            <w:top w:w="0" w:type="dxa"/>
            <w:left w:w="108" w:type="dxa"/>
            <w:bottom w:w="0" w:type="dxa"/>
            <w:right w:w="108" w:type="dxa"/>
          </w:tblCellMar>
        </w:tblPrEx>
        <w:trPr>
          <w:trHeight w:val="454" w:hRule="atLeast"/>
          <w:jc w:val="center"/>
        </w:trPr>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rFonts w:hint="eastAsia" w:ascii="宋体" w:cs="宋体"/>
                <w:b/>
                <w:bCs/>
                <w:kern w:val="0"/>
                <w:lang w:val="zh-CN"/>
              </w:rPr>
              <w:t>序号</w:t>
            </w:r>
          </w:p>
        </w:tc>
        <w:tc>
          <w:tcPr>
            <w:tcW w:w="344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rFonts w:hint="eastAsia" w:ascii="宋体" w:cs="宋体"/>
                <w:b/>
                <w:bCs/>
                <w:kern w:val="0"/>
                <w:lang w:val="zh-CN"/>
              </w:rPr>
              <w:t>教学内容</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rFonts w:hint="eastAsia" w:ascii="宋体" w:cs="宋体"/>
                <w:b/>
                <w:bCs/>
                <w:kern w:val="0"/>
                <w:lang w:val="zh-CN"/>
              </w:rPr>
              <w:t>思政元素</w:t>
            </w: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rFonts w:hint="eastAsia" w:ascii="宋体" w:cs="宋体"/>
                <w:b/>
                <w:bCs/>
                <w:kern w:val="0"/>
                <w:lang w:val="zh-CN"/>
              </w:rPr>
              <w:t>预期学习成果</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rFonts w:hint="eastAsia" w:ascii="宋体" w:cs="宋体"/>
                <w:b/>
                <w:bCs/>
                <w:kern w:val="0"/>
                <w:lang w:val="zh-CN"/>
              </w:rPr>
              <w:t>教学学时</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rFonts w:hint="eastAsia" w:ascii="宋体" w:cs="宋体"/>
                <w:b/>
                <w:bCs/>
                <w:kern w:val="0"/>
                <w:lang w:val="zh-CN"/>
              </w:rPr>
              <w:t>教学方式</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rFonts w:hint="eastAsia" w:ascii="宋体" w:cs="宋体"/>
                <w:b/>
                <w:bCs/>
                <w:kern w:val="0"/>
                <w:lang w:val="zh-CN"/>
              </w:rPr>
              <w:t>支撑课程目标</w:t>
            </w:r>
          </w:p>
        </w:tc>
      </w:tr>
      <w:tr>
        <w:tblPrEx>
          <w:tblCellMar>
            <w:top w:w="0" w:type="dxa"/>
            <w:left w:w="108" w:type="dxa"/>
            <w:bottom w:w="0" w:type="dxa"/>
            <w:right w:w="108" w:type="dxa"/>
          </w:tblCellMar>
        </w:tblPrEx>
        <w:trPr>
          <w:trHeight w:val="454" w:hRule="atLeast"/>
          <w:jc w:val="center"/>
        </w:trPr>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kern w:val="0"/>
              </w:rPr>
              <w:t>1</w:t>
            </w:r>
          </w:p>
        </w:tc>
        <w:tc>
          <w:tcPr>
            <w:tcW w:w="344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b/>
                <w:bCs/>
                <w:kern w:val="0"/>
              </w:rPr>
            </w:pPr>
            <w:r>
              <w:rPr>
                <w:rFonts w:hint="eastAsia" w:ascii="宋体" w:cs="宋体"/>
                <w:b/>
                <w:bCs/>
                <w:kern w:val="0"/>
                <w:lang w:val="zh-CN"/>
              </w:rPr>
              <w:t>化学反应中的质量关系：</w:t>
            </w:r>
          </w:p>
          <w:p>
            <w:pPr>
              <w:autoSpaceDE w:val="0"/>
              <w:autoSpaceDN w:val="0"/>
              <w:adjustRightInd w:val="0"/>
              <w:rPr>
                <w:kern w:val="0"/>
              </w:rPr>
            </w:pPr>
            <w:r>
              <w:rPr>
                <w:rFonts w:hint="eastAsia" w:ascii="宋体" w:cs="宋体"/>
                <w:kern w:val="0"/>
                <w:lang w:val="zh-CN"/>
              </w:rPr>
              <w:t>（</w:t>
            </w:r>
            <w:r>
              <w:rPr>
                <w:kern w:val="0"/>
              </w:rPr>
              <w:t>1</w:t>
            </w:r>
            <w:r>
              <w:rPr>
                <w:rFonts w:hint="eastAsia" w:ascii="宋体" w:cs="宋体"/>
                <w:kern w:val="0"/>
                <w:lang w:val="zh-CN"/>
              </w:rPr>
              <w:t>）基本概念：相对原子质量、相对分子质量、物质的量、摩尔质量、摩尔体积、体积分数、摩尔分数、物质的量浓度、化学计量数、反应进度。</w:t>
            </w:r>
          </w:p>
          <w:p>
            <w:pPr>
              <w:autoSpaceDE w:val="0"/>
              <w:autoSpaceDN w:val="0"/>
              <w:adjustRightInd w:val="0"/>
              <w:rPr>
                <w:kern w:val="0"/>
              </w:rPr>
            </w:pPr>
            <w:r>
              <w:rPr>
                <w:rFonts w:hint="eastAsia" w:ascii="宋体" w:cs="宋体"/>
                <w:kern w:val="0"/>
                <w:lang w:val="zh-CN"/>
              </w:rPr>
              <w:t>（</w:t>
            </w:r>
            <w:r>
              <w:rPr>
                <w:kern w:val="0"/>
              </w:rPr>
              <w:t>2</w:t>
            </w:r>
            <w:r>
              <w:rPr>
                <w:rFonts w:hint="eastAsia" w:ascii="宋体" w:cs="宋体"/>
                <w:kern w:val="0"/>
                <w:lang w:val="zh-CN"/>
              </w:rPr>
              <w:t>）理想气体：理想气体状态方程、分体积、分压力、道尔顿分压定律以及相关计算。</w:t>
            </w:r>
          </w:p>
          <w:p>
            <w:pPr>
              <w:autoSpaceDE w:val="0"/>
              <w:autoSpaceDN w:val="0"/>
              <w:adjustRightInd w:val="0"/>
              <w:rPr>
                <w:kern w:val="0"/>
              </w:rPr>
            </w:pPr>
            <w:r>
              <w:rPr>
                <w:rFonts w:hint="eastAsia" w:ascii="宋体" w:cs="宋体"/>
                <w:kern w:val="0"/>
                <w:lang w:val="zh-CN"/>
              </w:rPr>
              <w:t>（</w:t>
            </w:r>
            <w:r>
              <w:rPr>
                <w:kern w:val="0"/>
              </w:rPr>
              <w:t>3</w:t>
            </w:r>
            <w:r>
              <w:rPr>
                <w:rFonts w:hint="eastAsia" w:ascii="宋体" w:cs="宋体"/>
                <w:kern w:val="0"/>
                <w:lang w:val="zh-CN"/>
              </w:rPr>
              <w:t>）化学反应：化学反应方程式相关计算。</w:t>
            </w:r>
          </w:p>
          <w:p>
            <w:pPr>
              <w:autoSpaceDE w:val="0"/>
              <w:autoSpaceDN w:val="0"/>
              <w:adjustRightInd w:val="0"/>
              <w:rPr>
                <w:b/>
                <w:bCs/>
                <w:kern w:val="0"/>
              </w:rPr>
            </w:pPr>
            <w:r>
              <w:rPr>
                <w:rFonts w:hint="eastAsia" w:ascii="宋体" w:cs="宋体"/>
                <w:b/>
                <w:bCs/>
                <w:kern w:val="0"/>
                <w:lang w:val="zh-CN"/>
              </w:rPr>
              <w:t>重点和难点：</w:t>
            </w:r>
          </w:p>
          <w:p>
            <w:pPr>
              <w:autoSpaceDE w:val="0"/>
              <w:autoSpaceDN w:val="0"/>
              <w:adjustRightInd w:val="0"/>
              <w:rPr>
                <w:rFonts w:ascii="宋体" w:cs="宋体"/>
                <w:kern w:val="0"/>
                <w:sz w:val="22"/>
                <w:szCs w:val="22"/>
                <w:lang w:val="zh-CN"/>
              </w:rPr>
            </w:pPr>
            <w:r>
              <w:rPr>
                <w:rFonts w:hint="eastAsia" w:ascii="宋体" w:cs="宋体"/>
                <w:kern w:val="0"/>
                <w:lang w:val="zh-CN"/>
              </w:rPr>
              <w:t>理想气体状态方程及其应用、气体分压定律；化学反应方程式相关计算。</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kern w:val="0"/>
                <w:lang w:val="zh-CN"/>
              </w:rPr>
              <w:t>正确理解基本概念，培养学生具备自主学习的意识。</w:t>
            </w: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400" w:lineRule="atLeast"/>
              <w:rPr>
                <w:kern w:val="0"/>
              </w:rPr>
            </w:pPr>
            <w:r>
              <w:rPr>
                <w:rFonts w:hint="eastAsia" w:ascii="宋体" w:cs="宋体"/>
                <w:kern w:val="0"/>
                <w:lang w:val="zh-CN"/>
              </w:rPr>
              <w:t>（</w:t>
            </w:r>
            <w:r>
              <w:rPr>
                <w:kern w:val="0"/>
              </w:rPr>
              <w:t>1</w:t>
            </w:r>
            <w:r>
              <w:rPr>
                <w:rFonts w:hint="eastAsia" w:ascii="宋体" w:cs="宋体"/>
                <w:kern w:val="0"/>
                <w:lang w:val="zh-CN"/>
              </w:rPr>
              <w:t>）掌握基本概念及其应用。</w:t>
            </w:r>
          </w:p>
          <w:p>
            <w:pPr>
              <w:autoSpaceDE w:val="0"/>
              <w:autoSpaceDN w:val="0"/>
              <w:adjustRightInd w:val="0"/>
              <w:spacing w:line="400" w:lineRule="atLeast"/>
              <w:rPr>
                <w:kern w:val="0"/>
              </w:rPr>
            </w:pPr>
            <w:r>
              <w:rPr>
                <w:rFonts w:hint="eastAsia" w:ascii="宋体" w:cs="宋体"/>
                <w:kern w:val="0"/>
                <w:lang w:val="zh-CN"/>
              </w:rPr>
              <w:t>（</w:t>
            </w:r>
            <w:r>
              <w:rPr>
                <w:kern w:val="0"/>
              </w:rPr>
              <w:t>2</w:t>
            </w:r>
            <w:r>
              <w:rPr>
                <w:rFonts w:hint="eastAsia" w:ascii="宋体" w:cs="宋体"/>
                <w:kern w:val="0"/>
                <w:lang w:val="zh-CN"/>
              </w:rPr>
              <w:t>）掌握理想气体状态方程及其应用、气体分压定律。</w:t>
            </w:r>
          </w:p>
          <w:p>
            <w:pPr>
              <w:autoSpaceDE w:val="0"/>
              <w:autoSpaceDN w:val="0"/>
              <w:adjustRightInd w:val="0"/>
              <w:spacing w:line="400" w:lineRule="atLeast"/>
              <w:rPr>
                <w:rFonts w:ascii="宋体" w:cs="宋体"/>
                <w:kern w:val="0"/>
                <w:sz w:val="22"/>
                <w:szCs w:val="22"/>
                <w:lang w:val="zh-CN"/>
              </w:rPr>
            </w:pPr>
            <w:r>
              <w:rPr>
                <w:rFonts w:hint="eastAsia" w:ascii="宋体" w:cs="宋体"/>
                <w:kern w:val="0"/>
                <w:lang w:val="zh-CN"/>
              </w:rPr>
              <w:t>（</w:t>
            </w:r>
            <w:r>
              <w:rPr>
                <w:kern w:val="0"/>
              </w:rPr>
              <w:t>3</w:t>
            </w:r>
            <w:r>
              <w:rPr>
                <w:rFonts w:hint="eastAsia" w:ascii="宋体" w:cs="宋体"/>
                <w:kern w:val="0"/>
                <w:lang w:val="zh-CN"/>
              </w:rPr>
              <w:t>）掌握化学反应方程式相关计算。</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12" w:lineRule="atLeast"/>
              <w:jc w:val="center"/>
              <w:rPr>
                <w:rFonts w:ascii="宋体" w:cs="宋体"/>
                <w:kern w:val="0"/>
                <w:sz w:val="22"/>
                <w:szCs w:val="22"/>
                <w:lang w:val="zh-CN"/>
              </w:rPr>
            </w:pPr>
            <w:r>
              <w:rPr>
                <w:kern w:val="0"/>
              </w:rPr>
              <w:t>4</w:t>
            </w:r>
            <w:r>
              <w:rPr>
                <w:rFonts w:hint="eastAsia" w:ascii="宋体" w:cs="宋体"/>
                <w:kern w:val="0"/>
                <w:lang w:val="zh-CN"/>
              </w:rPr>
              <w:t>（讲授）</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kern w:val="0"/>
                <w:lang w:val="zh-CN"/>
              </w:rPr>
              <w:t>讲授</w:t>
            </w:r>
            <w:r>
              <w:rPr>
                <w:kern w:val="0"/>
              </w:rPr>
              <w:t>/</w:t>
            </w:r>
            <w:r>
              <w:rPr>
                <w:rFonts w:hint="eastAsia" w:ascii="宋体" w:cs="宋体"/>
                <w:kern w:val="0"/>
                <w:lang w:val="zh-CN"/>
              </w:rPr>
              <w:t>讨论</w:t>
            </w:r>
            <w:r>
              <w:rPr>
                <w:kern w:val="0"/>
              </w:rPr>
              <w:t>/</w:t>
            </w:r>
            <w:r>
              <w:rPr>
                <w:rFonts w:hint="eastAsia" w:ascii="宋体" w:cs="宋体"/>
                <w:kern w:val="0"/>
                <w:lang w:val="zh-CN"/>
              </w:rPr>
              <w:t>实例教学等</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b/>
                <w:bCs/>
                <w:kern w:val="0"/>
              </w:rPr>
            </w:pPr>
            <w:r>
              <w:rPr>
                <w:rFonts w:hint="eastAsia" w:ascii="宋体" w:cs="宋体"/>
                <w:b/>
                <w:bCs/>
                <w:kern w:val="0"/>
                <w:lang w:val="zh-CN"/>
              </w:rPr>
              <w:t>目标</w:t>
            </w:r>
            <w:r>
              <w:rPr>
                <w:b/>
                <w:bCs/>
                <w:kern w:val="0"/>
              </w:rPr>
              <w:t>1</w:t>
            </w:r>
          </w:p>
          <w:p>
            <w:pPr>
              <w:autoSpaceDE w:val="0"/>
              <w:autoSpaceDN w:val="0"/>
              <w:adjustRightInd w:val="0"/>
              <w:jc w:val="center"/>
              <w:rPr>
                <w:rFonts w:ascii="宋体" w:cs="宋体"/>
                <w:kern w:val="0"/>
                <w:sz w:val="22"/>
                <w:szCs w:val="22"/>
                <w:lang w:val="zh-CN"/>
              </w:rPr>
            </w:pPr>
            <w:r>
              <w:rPr>
                <w:rFonts w:hint="eastAsia" w:ascii="宋体" w:cs="宋体"/>
                <w:b/>
                <w:bCs/>
                <w:kern w:val="0"/>
                <w:lang w:val="zh-CN"/>
              </w:rPr>
              <w:t>目标</w:t>
            </w:r>
            <w:r>
              <w:rPr>
                <w:b/>
                <w:bCs/>
                <w:kern w:val="0"/>
              </w:rPr>
              <w:t>2</w:t>
            </w:r>
          </w:p>
        </w:tc>
      </w:tr>
      <w:tr>
        <w:tblPrEx>
          <w:tblCellMar>
            <w:top w:w="0" w:type="dxa"/>
            <w:left w:w="108" w:type="dxa"/>
            <w:bottom w:w="0" w:type="dxa"/>
            <w:right w:w="108" w:type="dxa"/>
          </w:tblCellMar>
        </w:tblPrEx>
        <w:trPr>
          <w:trHeight w:val="454" w:hRule="atLeast"/>
          <w:jc w:val="center"/>
        </w:trPr>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kern w:val="0"/>
              </w:rPr>
              <w:t>2</w:t>
            </w:r>
          </w:p>
        </w:tc>
        <w:tc>
          <w:tcPr>
            <w:tcW w:w="344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b/>
                <w:bCs/>
                <w:kern w:val="0"/>
              </w:rPr>
            </w:pPr>
            <w:r>
              <w:rPr>
                <w:rFonts w:hint="eastAsia" w:ascii="宋体" w:cs="宋体"/>
                <w:b/>
                <w:bCs/>
                <w:kern w:val="0"/>
                <w:lang w:val="zh-CN"/>
              </w:rPr>
              <w:t>化学热力学和动力学基础</w:t>
            </w:r>
            <w:r>
              <w:rPr>
                <w:b/>
                <w:bCs/>
                <w:kern w:val="0"/>
              </w:rPr>
              <w:t>:</w:t>
            </w:r>
          </w:p>
          <w:p>
            <w:pPr>
              <w:autoSpaceDE w:val="0"/>
              <w:autoSpaceDN w:val="0"/>
              <w:adjustRightInd w:val="0"/>
              <w:rPr>
                <w:kern w:val="0"/>
              </w:rPr>
            </w:pPr>
            <w:r>
              <w:rPr>
                <w:rFonts w:hint="eastAsia" w:ascii="宋体" w:cs="宋体"/>
                <w:kern w:val="0"/>
                <w:lang w:val="zh-CN"/>
              </w:rPr>
              <w:t>（</w:t>
            </w:r>
            <w:r>
              <w:rPr>
                <w:kern w:val="0"/>
              </w:rPr>
              <w:t>1</w:t>
            </w:r>
            <w:r>
              <w:rPr>
                <w:rFonts w:hint="eastAsia" w:ascii="宋体" w:cs="宋体"/>
                <w:kern w:val="0"/>
                <w:lang w:val="zh-CN"/>
              </w:rPr>
              <w:t>）热力学第一定律：基本概念、状态和状态函数、过程与途径、热和功、热力学能等。</w:t>
            </w:r>
          </w:p>
          <w:p>
            <w:pPr>
              <w:autoSpaceDE w:val="0"/>
              <w:autoSpaceDN w:val="0"/>
              <w:adjustRightInd w:val="0"/>
              <w:rPr>
                <w:kern w:val="0"/>
              </w:rPr>
            </w:pPr>
            <w:r>
              <w:rPr>
                <w:rFonts w:hint="eastAsia" w:ascii="宋体" w:cs="宋体"/>
                <w:kern w:val="0"/>
                <w:lang w:val="zh-CN"/>
              </w:rPr>
              <w:t>（</w:t>
            </w:r>
            <w:r>
              <w:rPr>
                <w:kern w:val="0"/>
              </w:rPr>
              <w:t>2</w:t>
            </w:r>
            <w:r>
              <w:rPr>
                <w:rFonts w:hint="eastAsia" w:ascii="宋体" w:cs="宋体"/>
                <w:kern w:val="0"/>
                <w:lang w:val="zh-CN"/>
              </w:rPr>
              <w:t>）热化学：化学反应热、热化学方程式、标准摩尔生成焓</w:t>
            </w:r>
            <w:r>
              <w:rPr>
                <w:kern w:val="0"/>
              </w:rPr>
              <w:t xml:space="preserve">( Δ f H </w:t>
            </w:r>
            <w:r>
              <w:rPr>
                <w:rFonts w:hint="eastAsia" w:ascii="宋体" w:cs="宋体"/>
                <w:kern w:val="0"/>
                <w:lang w:val="zh-CN"/>
              </w:rPr>
              <w:t>⊙</w:t>
            </w:r>
            <w:r>
              <w:rPr>
                <w:kern w:val="0"/>
              </w:rPr>
              <w:t xml:space="preserve"> m )</w:t>
            </w:r>
            <w:r>
              <w:rPr>
                <w:rFonts w:hint="eastAsia" w:ascii="宋体" w:cs="宋体"/>
                <w:kern w:val="0"/>
                <w:lang w:val="zh-CN"/>
              </w:rPr>
              <w:t>，热化学方程式，化学反应的标准摩尔焓变</w:t>
            </w:r>
            <w:r>
              <w:rPr>
                <w:kern w:val="0"/>
              </w:rPr>
              <w:t xml:space="preserve">(Δ rH </w:t>
            </w:r>
            <w:r>
              <w:rPr>
                <w:rFonts w:hint="eastAsia" w:ascii="宋体" w:cs="宋体"/>
                <w:kern w:val="0"/>
                <w:lang w:val="zh-CN"/>
              </w:rPr>
              <w:t>⊙</w:t>
            </w:r>
            <w:r>
              <w:rPr>
                <w:kern w:val="0"/>
              </w:rPr>
              <w:t xml:space="preserve"> m)</w:t>
            </w:r>
            <w:r>
              <w:rPr>
                <w:rFonts w:hint="eastAsia" w:ascii="宋体" w:cs="宋体"/>
                <w:kern w:val="0"/>
                <w:lang w:val="zh-CN"/>
              </w:rPr>
              <w:t>和</w:t>
            </w:r>
            <w:r>
              <w:rPr>
                <w:kern w:val="0"/>
              </w:rPr>
              <w:t>Hess</w:t>
            </w:r>
            <w:r>
              <w:rPr>
                <w:rFonts w:hint="eastAsia" w:ascii="宋体" w:cs="宋体"/>
                <w:kern w:val="0"/>
                <w:lang w:val="zh-CN"/>
              </w:rPr>
              <w:t>定律及有关计算。</w:t>
            </w:r>
          </w:p>
          <w:p>
            <w:pPr>
              <w:autoSpaceDE w:val="0"/>
              <w:autoSpaceDN w:val="0"/>
              <w:adjustRightInd w:val="0"/>
              <w:rPr>
                <w:kern w:val="0"/>
              </w:rPr>
            </w:pPr>
            <w:r>
              <w:rPr>
                <w:rFonts w:hint="eastAsia" w:ascii="宋体" w:cs="宋体"/>
                <w:kern w:val="0"/>
                <w:lang w:val="zh-CN"/>
              </w:rPr>
              <w:t>（</w:t>
            </w:r>
            <w:r>
              <w:rPr>
                <w:kern w:val="0"/>
              </w:rPr>
              <w:t>3</w:t>
            </w:r>
            <w:r>
              <w:rPr>
                <w:rFonts w:hint="eastAsia" w:ascii="宋体" w:cs="宋体"/>
                <w:kern w:val="0"/>
                <w:lang w:val="zh-CN"/>
              </w:rPr>
              <w:t>）标准摩尔熵</w:t>
            </w:r>
            <w:r>
              <w:rPr>
                <w:kern w:val="0"/>
              </w:rPr>
              <w:t xml:space="preserve"> S</w:t>
            </w:r>
            <w:r>
              <w:rPr>
                <w:rFonts w:hint="eastAsia" w:ascii="宋体" w:cs="宋体"/>
                <w:kern w:val="0"/>
                <w:lang w:val="zh-CN"/>
              </w:rPr>
              <w:t>⊙</w:t>
            </w:r>
            <w:r>
              <w:rPr>
                <w:kern w:val="0"/>
              </w:rPr>
              <w:t>m</w:t>
            </w:r>
            <w:r>
              <w:rPr>
                <w:rFonts w:hint="eastAsia" w:ascii="宋体" w:cs="宋体"/>
                <w:kern w:val="0"/>
                <w:lang w:val="zh-CN"/>
              </w:rPr>
              <w:t>的概念，</w:t>
            </w:r>
            <w:r>
              <w:rPr>
                <w:kern w:val="0"/>
                <w:lang w:val="zh-CN"/>
              </w:rPr>
              <w:t xml:space="preserve">Δ f S </w:t>
            </w:r>
            <w:r>
              <w:rPr>
                <w:rFonts w:hint="eastAsia" w:ascii="宋体" w:cs="宋体"/>
                <w:kern w:val="0"/>
                <w:lang w:val="zh-CN"/>
              </w:rPr>
              <w:t>⊙</w:t>
            </w:r>
            <w:r>
              <w:rPr>
                <w:kern w:val="0"/>
              </w:rPr>
              <w:t>m</w:t>
            </w:r>
            <w:r>
              <w:rPr>
                <w:rFonts w:hint="eastAsia" w:ascii="宋体" w:cs="宋体"/>
                <w:kern w:val="0"/>
                <w:lang w:val="zh-CN"/>
              </w:rPr>
              <w:t>的简单计算。标准摩尔生成</w:t>
            </w:r>
            <w:r>
              <w:rPr>
                <w:kern w:val="0"/>
              </w:rPr>
              <w:t xml:space="preserve"> Gibbs </w:t>
            </w:r>
            <w:r>
              <w:rPr>
                <w:rFonts w:hint="eastAsia" w:ascii="宋体" w:cs="宋体"/>
                <w:kern w:val="0"/>
                <w:lang w:val="zh-CN"/>
              </w:rPr>
              <w:t>函数的概念，</w:t>
            </w:r>
            <w:r>
              <w:rPr>
                <w:kern w:val="0"/>
                <w:lang w:val="zh-CN"/>
              </w:rPr>
              <w:t xml:space="preserve">Δ r G </w:t>
            </w:r>
            <w:r>
              <w:rPr>
                <w:rFonts w:hint="eastAsia" w:ascii="宋体" w:cs="宋体"/>
                <w:kern w:val="0"/>
                <w:lang w:val="zh-CN"/>
              </w:rPr>
              <w:t>⊙</w:t>
            </w:r>
            <w:r>
              <w:rPr>
                <w:kern w:val="0"/>
              </w:rPr>
              <w:t xml:space="preserve"> m</w:t>
            </w:r>
            <w:r>
              <w:rPr>
                <w:rFonts w:hint="eastAsia" w:ascii="宋体" w:cs="宋体"/>
                <w:kern w:val="0"/>
                <w:lang w:val="zh-CN"/>
              </w:rPr>
              <w:t>的简单计算、</w:t>
            </w:r>
            <w:r>
              <w:rPr>
                <w:kern w:val="0"/>
                <w:lang w:val="zh-CN"/>
              </w:rPr>
              <w:t>Δ r G</w:t>
            </w:r>
            <w:r>
              <w:rPr>
                <w:rFonts w:hint="eastAsia" w:ascii="宋体" w:cs="宋体"/>
                <w:kern w:val="0"/>
                <w:lang w:val="zh-CN"/>
              </w:rPr>
              <w:t>⊙</w:t>
            </w:r>
            <w:r>
              <w:rPr>
                <w:kern w:val="0"/>
              </w:rPr>
              <w:t xml:space="preserve">m </w:t>
            </w:r>
            <w:r>
              <w:rPr>
                <w:rFonts w:hint="eastAsia" w:ascii="宋体" w:cs="宋体"/>
                <w:kern w:val="0"/>
                <w:lang w:val="zh-CN"/>
              </w:rPr>
              <w:t>与</w:t>
            </w:r>
            <w:r>
              <w:rPr>
                <w:kern w:val="0"/>
              </w:rPr>
              <w:t xml:space="preserve"> Δ r H </w:t>
            </w:r>
            <w:r>
              <w:rPr>
                <w:rFonts w:hint="eastAsia" w:ascii="宋体" w:cs="宋体"/>
                <w:kern w:val="0"/>
                <w:lang w:val="zh-CN"/>
              </w:rPr>
              <w:t>⊙</w:t>
            </w:r>
            <w:r>
              <w:rPr>
                <w:kern w:val="0"/>
              </w:rPr>
              <w:t xml:space="preserve">m </w:t>
            </w:r>
            <w:r>
              <w:rPr>
                <w:rFonts w:hint="eastAsia" w:ascii="宋体" w:cs="宋体"/>
                <w:kern w:val="0"/>
                <w:lang w:val="zh-CN"/>
              </w:rPr>
              <w:t>和</w:t>
            </w:r>
            <w:r>
              <w:rPr>
                <w:kern w:val="0"/>
              </w:rPr>
              <w:t xml:space="preserve"> Δ r S</w:t>
            </w:r>
            <w:r>
              <w:rPr>
                <w:rFonts w:hint="eastAsia" w:ascii="宋体" w:cs="宋体"/>
                <w:kern w:val="0"/>
                <w:lang w:val="zh-CN"/>
              </w:rPr>
              <w:t>⊙</w:t>
            </w:r>
            <w:r>
              <w:rPr>
                <w:kern w:val="0"/>
              </w:rPr>
              <w:t xml:space="preserve">m </w:t>
            </w:r>
            <w:r>
              <w:rPr>
                <w:rFonts w:hint="eastAsia" w:ascii="宋体" w:cs="宋体"/>
                <w:kern w:val="0"/>
                <w:lang w:val="zh-CN"/>
              </w:rPr>
              <w:t>的关系推导、</w:t>
            </w:r>
            <w:r>
              <w:rPr>
                <w:kern w:val="0"/>
              </w:rPr>
              <w:t xml:space="preserve"> Δ r G</w:t>
            </w:r>
            <w:r>
              <w:rPr>
                <w:rFonts w:hint="eastAsia" w:ascii="宋体" w:cs="宋体"/>
                <w:kern w:val="0"/>
                <w:lang w:val="zh-CN"/>
              </w:rPr>
              <w:t>⊙</w:t>
            </w:r>
            <w:r>
              <w:rPr>
                <w:kern w:val="0"/>
              </w:rPr>
              <w:t xml:space="preserve">m </w:t>
            </w:r>
            <w:r>
              <w:rPr>
                <w:rFonts w:hint="eastAsia" w:ascii="宋体" w:cs="宋体"/>
                <w:kern w:val="0"/>
                <w:lang w:val="zh-CN"/>
              </w:rPr>
              <w:t>与</w:t>
            </w:r>
            <w:r>
              <w:rPr>
                <w:kern w:val="0"/>
              </w:rPr>
              <w:t xml:space="preserve"> K</w:t>
            </w:r>
            <w:r>
              <w:rPr>
                <w:rFonts w:hint="eastAsia" w:ascii="宋体" w:cs="宋体"/>
                <w:kern w:val="0"/>
                <w:lang w:val="zh-CN"/>
              </w:rPr>
              <w:t>⊙的关系推导，用</w:t>
            </w:r>
            <w:r>
              <w:rPr>
                <w:kern w:val="0"/>
                <w:lang w:val="zh-CN"/>
              </w:rPr>
              <w:t xml:space="preserve">Δ r G m </w:t>
            </w:r>
            <w:r>
              <w:rPr>
                <w:rFonts w:hint="eastAsia" w:ascii="宋体" w:cs="宋体"/>
                <w:kern w:val="0"/>
                <w:lang w:val="zh-CN"/>
              </w:rPr>
              <w:t>和</w:t>
            </w:r>
            <w:r>
              <w:rPr>
                <w:kern w:val="0"/>
              </w:rPr>
              <w:t xml:space="preserve"> Δ r G</w:t>
            </w:r>
            <w:r>
              <w:rPr>
                <w:rFonts w:hint="eastAsia" w:ascii="宋体" w:cs="宋体"/>
                <w:kern w:val="0"/>
                <w:lang w:val="zh-CN"/>
              </w:rPr>
              <w:t>⊙</w:t>
            </w:r>
            <w:r>
              <w:rPr>
                <w:kern w:val="0"/>
              </w:rPr>
              <w:t xml:space="preserve">m </w:t>
            </w:r>
            <w:r>
              <w:rPr>
                <w:rFonts w:hint="eastAsia" w:ascii="宋体" w:cs="宋体"/>
                <w:kern w:val="0"/>
                <w:lang w:val="zh-CN"/>
              </w:rPr>
              <w:t>判断反应进行的方向和限度。</w:t>
            </w:r>
          </w:p>
          <w:p>
            <w:pPr>
              <w:autoSpaceDE w:val="0"/>
              <w:autoSpaceDN w:val="0"/>
              <w:adjustRightInd w:val="0"/>
              <w:rPr>
                <w:kern w:val="0"/>
              </w:rPr>
            </w:pPr>
            <w:r>
              <w:rPr>
                <w:rFonts w:hint="eastAsia" w:ascii="宋体" w:cs="宋体"/>
                <w:kern w:val="0"/>
                <w:lang w:val="zh-CN"/>
              </w:rPr>
              <w:t>（</w:t>
            </w:r>
            <w:r>
              <w:rPr>
                <w:kern w:val="0"/>
              </w:rPr>
              <w:t>4</w:t>
            </w:r>
            <w:r>
              <w:rPr>
                <w:rFonts w:hint="eastAsia" w:ascii="宋体" w:cs="宋体"/>
                <w:kern w:val="0"/>
                <w:lang w:val="zh-CN"/>
              </w:rPr>
              <w:t>）化学反应速率：反应速率的定义；活化分子和活化能；浓度（压力）、温度、催化剂对化学反应速率的影响。</w:t>
            </w:r>
          </w:p>
          <w:p>
            <w:pPr>
              <w:autoSpaceDE w:val="0"/>
              <w:autoSpaceDN w:val="0"/>
              <w:adjustRightInd w:val="0"/>
              <w:rPr>
                <w:rFonts w:ascii="宋体" w:cs="宋体"/>
                <w:kern w:val="0"/>
                <w:sz w:val="22"/>
                <w:szCs w:val="22"/>
                <w:lang w:val="zh-CN"/>
              </w:rPr>
            </w:pPr>
            <w:r>
              <w:rPr>
                <w:rFonts w:hint="eastAsia" w:ascii="宋体" w:cs="宋体"/>
                <w:b/>
                <w:bCs/>
                <w:kern w:val="0"/>
                <w:lang w:val="zh-CN"/>
              </w:rPr>
              <w:t>重点和难点：</w:t>
            </w:r>
            <w:r>
              <w:rPr>
                <w:kern w:val="0"/>
              </w:rPr>
              <w:t>Hess</w:t>
            </w:r>
            <w:r>
              <w:rPr>
                <w:rFonts w:hint="eastAsia" w:ascii="宋体" w:cs="宋体"/>
                <w:kern w:val="0"/>
                <w:lang w:val="zh-CN"/>
              </w:rPr>
              <w:t>定律的意义并运用其计算反应热效应；判断标准态下反应自发进行的方向；化学反应速率的相关计算以及影响化学反应速率的因素。</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kern w:val="0"/>
                <w:lang w:val="zh-CN"/>
              </w:rPr>
              <w:t>培养学生的发散思维，使学生具备创新精神。</w:t>
            </w: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kern w:val="0"/>
              </w:rPr>
            </w:pPr>
            <w:r>
              <w:rPr>
                <w:rFonts w:hint="eastAsia" w:ascii="宋体" w:cs="宋体"/>
                <w:kern w:val="0"/>
                <w:lang w:val="zh-CN"/>
              </w:rPr>
              <w:t>（</w:t>
            </w:r>
            <w:r>
              <w:rPr>
                <w:kern w:val="0"/>
              </w:rPr>
              <w:t>1</w:t>
            </w:r>
            <w:r>
              <w:rPr>
                <w:rFonts w:hint="eastAsia" w:ascii="宋体" w:cs="宋体"/>
                <w:kern w:val="0"/>
                <w:lang w:val="zh-CN"/>
              </w:rPr>
              <w:t>）掌握状态函数、热、功、焓、熵、自由能、活化分子和活化能等基本概念。</w:t>
            </w:r>
          </w:p>
          <w:p>
            <w:pPr>
              <w:autoSpaceDE w:val="0"/>
              <w:autoSpaceDN w:val="0"/>
              <w:adjustRightInd w:val="0"/>
              <w:rPr>
                <w:kern w:val="0"/>
              </w:rPr>
            </w:pPr>
            <w:r>
              <w:rPr>
                <w:rFonts w:hint="eastAsia" w:ascii="宋体" w:cs="宋体"/>
                <w:kern w:val="0"/>
                <w:lang w:val="zh-CN"/>
              </w:rPr>
              <w:t>（</w:t>
            </w:r>
            <w:r>
              <w:rPr>
                <w:kern w:val="0"/>
              </w:rPr>
              <w:t>2</w:t>
            </w:r>
            <w:r>
              <w:rPr>
                <w:rFonts w:hint="eastAsia" w:ascii="宋体" w:cs="宋体"/>
                <w:kern w:val="0"/>
                <w:lang w:val="zh-CN"/>
              </w:rPr>
              <w:t>）掌握</w:t>
            </w:r>
            <w:r>
              <w:rPr>
                <w:kern w:val="0"/>
              </w:rPr>
              <w:t>Hess</w:t>
            </w:r>
            <w:r>
              <w:rPr>
                <w:rFonts w:hint="eastAsia" w:ascii="宋体" w:cs="宋体"/>
                <w:kern w:val="0"/>
                <w:lang w:val="zh-CN"/>
              </w:rPr>
              <w:t>定律的意义并运用其计算反应热效应。</w:t>
            </w:r>
          </w:p>
          <w:p>
            <w:pPr>
              <w:autoSpaceDE w:val="0"/>
              <w:autoSpaceDN w:val="0"/>
              <w:adjustRightInd w:val="0"/>
              <w:rPr>
                <w:kern w:val="0"/>
              </w:rPr>
            </w:pPr>
            <w:r>
              <w:rPr>
                <w:rFonts w:hint="eastAsia" w:ascii="宋体" w:cs="宋体"/>
                <w:kern w:val="0"/>
                <w:lang w:val="zh-CN"/>
              </w:rPr>
              <w:t>（</w:t>
            </w:r>
            <w:r>
              <w:rPr>
                <w:kern w:val="0"/>
              </w:rPr>
              <w:t>3</w:t>
            </w:r>
            <w:r>
              <w:rPr>
                <w:rFonts w:hint="eastAsia" w:ascii="宋体" w:cs="宋体"/>
                <w:kern w:val="0"/>
                <w:lang w:val="zh-CN"/>
              </w:rPr>
              <w:t>）掌握判断标准态下反应自发进行的方向。</w:t>
            </w:r>
          </w:p>
          <w:p>
            <w:pPr>
              <w:autoSpaceDE w:val="0"/>
              <w:autoSpaceDN w:val="0"/>
              <w:adjustRightInd w:val="0"/>
              <w:rPr>
                <w:rFonts w:ascii="宋体" w:cs="宋体"/>
                <w:kern w:val="0"/>
                <w:sz w:val="22"/>
                <w:szCs w:val="22"/>
                <w:lang w:val="zh-CN"/>
              </w:rPr>
            </w:pPr>
            <w:r>
              <w:rPr>
                <w:rFonts w:hint="eastAsia" w:ascii="宋体" w:cs="宋体"/>
                <w:kern w:val="0"/>
                <w:lang w:val="zh-CN"/>
              </w:rPr>
              <w:t>（</w:t>
            </w:r>
            <w:r>
              <w:rPr>
                <w:kern w:val="0"/>
              </w:rPr>
              <w:t>4</w:t>
            </w:r>
            <w:r>
              <w:rPr>
                <w:rFonts w:hint="eastAsia" w:ascii="宋体" w:cs="宋体"/>
                <w:kern w:val="0"/>
                <w:lang w:val="zh-CN"/>
              </w:rPr>
              <w:t>）掌握化学反应速率的相关计算以及影响化学反应速率的因素。</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12" w:lineRule="atLeast"/>
              <w:jc w:val="center"/>
              <w:rPr>
                <w:rFonts w:ascii="宋体" w:cs="宋体"/>
                <w:kern w:val="0"/>
                <w:sz w:val="22"/>
                <w:szCs w:val="22"/>
                <w:lang w:val="zh-CN"/>
              </w:rPr>
            </w:pPr>
            <w:r>
              <w:rPr>
                <w:kern w:val="0"/>
              </w:rPr>
              <w:t>6</w:t>
            </w:r>
            <w:r>
              <w:rPr>
                <w:rFonts w:hint="eastAsia" w:ascii="宋体" w:cs="宋体"/>
                <w:kern w:val="0"/>
                <w:lang w:val="zh-CN"/>
              </w:rPr>
              <w:t>（讲授）</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kern w:val="0"/>
                <w:lang w:val="zh-CN"/>
              </w:rPr>
              <w:t>讲授</w:t>
            </w:r>
            <w:r>
              <w:rPr>
                <w:kern w:val="0"/>
              </w:rPr>
              <w:t>/</w:t>
            </w:r>
            <w:r>
              <w:rPr>
                <w:rFonts w:hint="eastAsia" w:ascii="宋体" w:cs="宋体"/>
                <w:kern w:val="0"/>
                <w:lang w:val="zh-CN"/>
              </w:rPr>
              <w:t>讨论</w:t>
            </w:r>
            <w:r>
              <w:rPr>
                <w:kern w:val="0"/>
              </w:rPr>
              <w:t>/</w:t>
            </w:r>
            <w:r>
              <w:rPr>
                <w:rFonts w:hint="eastAsia" w:ascii="宋体" w:cs="宋体"/>
                <w:kern w:val="0"/>
                <w:lang w:val="zh-CN"/>
              </w:rPr>
              <w:t>实例教学等</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kern w:val="0"/>
              </w:rPr>
            </w:pPr>
            <w:r>
              <w:rPr>
                <w:rFonts w:hint="eastAsia" w:ascii="宋体" w:cs="宋体"/>
                <w:b/>
                <w:bCs/>
                <w:kern w:val="0"/>
                <w:lang w:val="zh-CN"/>
              </w:rPr>
              <w:t>目标</w:t>
            </w:r>
            <w:r>
              <w:rPr>
                <w:b/>
                <w:bCs/>
                <w:kern w:val="0"/>
              </w:rPr>
              <w:t>1</w:t>
            </w:r>
          </w:p>
          <w:p>
            <w:pPr>
              <w:autoSpaceDE w:val="0"/>
              <w:autoSpaceDN w:val="0"/>
              <w:adjustRightInd w:val="0"/>
              <w:jc w:val="center"/>
              <w:rPr>
                <w:b/>
                <w:bCs/>
                <w:kern w:val="0"/>
              </w:rPr>
            </w:pPr>
            <w:r>
              <w:rPr>
                <w:rFonts w:hint="eastAsia" w:ascii="宋体" w:cs="宋体"/>
                <w:b/>
                <w:bCs/>
                <w:kern w:val="0"/>
                <w:lang w:val="zh-CN"/>
              </w:rPr>
              <w:t>目标</w:t>
            </w:r>
            <w:r>
              <w:rPr>
                <w:b/>
                <w:bCs/>
                <w:kern w:val="0"/>
              </w:rPr>
              <w:t>2</w:t>
            </w:r>
          </w:p>
          <w:p>
            <w:pPr>
              <w:autoSpaceDE w:val="0"/>
              <w:autoSpaceDN w:val="0"/>
              <w:adjustRightInd w:val="0"/>
              <w:jc w:val="center"/>
              <w:rPr>
                <w:rFonts w:ascii="宋体" w:cs="宋体"/>
                <w:kern w:val="0"/>
                <w:sz w:val="22"/>
                <w:szCs w:val="22"/>
                <w:lang w:val="zh-CN"/>
              </w:rPr>
            </w:pPr>
            <w:r>
              <w:rPr>
                <w:rFonts w:hint="eastAsia" w:ascii="宋体" w:cs="宋体"/>
                <w:b/>
                <w:bCs/>
                <w:kern w:val="0"/>
                <w:lang w:val="zh-CN"/>
              </w:rPr>
              <w:t>目标</w:t>
            </w:r>
            <w:r>
              <w:rPr>
                <w:b/>
                <w:bCs/>
                <w:kern w:val="0"/>
              </w:rPr>
              <w:t>3</w:t>
            </w:r>
          </w:p>
        </w:tc>
      </w:tr>
      <w:tr>
        <w:tblPrEx>
          <w:tblCellMar>
            <w:top w:w="0" w:type="dxa"/>
            <w:left w:w="108" w:type="dxa"/>
            <w:bottom w:w="0" w:type="dxa"/>
            <w:right w:w="108" w:type="dxa"/>
          </w:tblCellMar>
        </w:tblPrEx>
        <w:trPr>
          <w:trHeight w:val="454" w:hRule="atLeast"/>
          <w:jc w:val="center"/>
        </w:trPr>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kern w:val="0"/>
              </w:rPr>
              <w:t>3</w:t>
            </w:r>
          </w:p>
        </w:tc>
        <w:tc>
          <w:tcPr>
            <w:tcW w:w="344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b/>
                <w:bCs/>
                <w:kern w:val="0"/>
              </w:rPr>
            </w:pPr>
            <w:r>
              <w:rPr>
                <w:rFonts w:hint="eastAsia" w:ascii="宋体" w:cs="宋体"/>
                <w:b/>
                <w:bCs/>
                <w:kern w:val="0"/>
                <w:lang w:val="zh-CN"/>
              </w:rPr>
              <w:t>化学平衡原理：</w:t>
            </w:r>
          </w:p>
          <w:p>
            <w:pPr>
              <w:autoSpaceDE w:val="0"/>
              <w:autoSpaceDN w:val="0"/>
              <w:adjustRightInd w:val="0"/>
              <w:rPr>
                <w:kern w:val="0"/>
              </w:rPr>
            </w:pPr>
            <w:r>
              <w:rPr>
                <w:rFonts w:hint="eastAsia" w:ascii="宋体" w:cs="宋体"/>
                <w:kern w:val="0"/>
                <w:lang w:val="zh-CN"/>
              </w:rPr>
              <w:t>（</w:t>
            </w:r>
            <w:r>
              <w:rPr>
                <w:kern w:val="0"/>
              </w:rPr>
              <w:t>1</w:t>
            </w:r>
            <w:r>
              <w:rPr>
                <w:rFonts w:hint="eastAsia" w:ascii="宋体" w:cs="宋体"/>
                <w:kern w:val="0"/>
                <w:lang w:val="zh-CN"/>
              </w:rPr>
              <w:t>）可逆反应与化学平衡、实验平衡常数和标准平衡常数、多重平衡的概念；化学反应等温方程式及计算；平衡转化率。</w:t>
            </w:r>
          </w:p>
          <w:p>
            <w:pPr>
              <w:autoSpaceDE w:val="0"/>
              <w:autoSpaceDN w:val="0"/>
              <w:adjustRightInd w:val="0"/>
              <w:rPr>
                <w:kern w:val="0"/>
              </w:rPr>
            </w:pPr>
            <w:r>
              <w:rPr>
                <w:rFonts w:hint="eastAsia" w:ascii="宋体" w:cs="宋体"/>
                <w:kern w:val="0"/>
                <w:lang w:val="zh-CN"/>
              </w:rPr>
              <w:t>（</w:t>
            </w:r>
            <w:r>
              <w:rPr>
                <w:kern w:val="0"/>
              </w:rPr>
              <w:t>2</w:t>
            </w:r>
            <w:r>
              <w:rPr>
                <w:rFonts w:hint="eastAsia" w:ascii="宋体" w:cs="宋体"/>
                <w:kern w:val="0"/>
                <w:lang w:val="zh-CN"/>
              </w:rPr>
              <w:t>）化学平衡的移动：浓度、压力、温度等条件对化学平衡的影响，平衡移动原理。</w:t>
            </w:r>
          </w:p>
          <w:p>
            <w:pPr>
              <w:autoSpaceDE w:val="0"/>
              <w:autoSpaceDN w:val="0"/>
              <w:adjustRightInd w:val="0"/>
              <w:rPr>
                <w:rFonts w:ascii="宋体" w:cs="宋体"/>
                <w:kern w:val="0"/>
                <w:sz w:val="22"/>
                <w:szCs w:val="22"/>
                <w:lang w:val="zh-CN"/>
              </w:rPr>
            </w:pPr>
            <w:r>
              <w:rPr>
                <w:rFonts w:hint="eastAsia" w:ascii="宋体" w:cs="宋体"/>
                <w:b/>
                <w:bCs/>
                <w:kern w:val="0"/>
                <w:lang w:val="zh-CN"/>
              </w:rPr>
              <w:t>重点和难点：</w:t>
            </w:r>
            <w:r>
              <w:rPr>
                <w:rFonts w:hint="eastAsia" w:ascii="宋体" w:cs="宋体"/>
                <w:kern w:val="0"/>
                <w:lang w:val="zh-CN"/>
              </w:rPr>
              <w:t>标准平衡常数的计算方法；运用化学平衡原理定量讨论化学平衡移动，计算转化率</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kern w:val="0"/>
                <w:lang w:val="zh-CN"/>
              </w:rPr>
              <w:t>正确的学习方法和问题思考，培养学生具备职业道德和敬业精神。</w:t>
            </w: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kern w:val="0"/>
              </w:rPr>
            </w:pPr>
            <w:r>
              <w:rPr>
                <w:rFonts w:hint="eastAsia" w:ascii="宋体" w:cs="宋体"/>
                <w:kern w:val="0"/>
                <w:lang w:val="zh-CN"/>
              </w:rPr>
              <w:t>（</w:t>
            </w:r>
            <w:r>
              <w:rPr>
                <w:kern w:val="0"/>
              </w:rPr>
              <w:t>1</w:t>
            </w:r>
            <w:r>
              <w:rPr>
                <w:rFonts w:hint="eastAsia" w:ascii="宋体" w:cs="宋体"/>
                <w:kern w:val="0"/>
                <w:lang w:val="zh-CN"/>
              </w:rPr>
              <w:t>）掌握标准平衡常数的表达式和定义式、意义及性质。</w:t>
            </w:r>
          </w:p>
          <w:p>
            <w:pPr>
              <w:autoSpaceDE w:val="0"/>
              <w:autoSpaceDN w:val="0"/>
              <w:adjustRightInd w:val="0"/>
              <w:rPr>
                <w:kern w:val="0"/>
              </w:rPr>
            </w:pPr>
            <w:r>
              <w:rPr>
                <w:rFonts w:hint="eastAsia" w:ascii="宋体" w:cs="宋体"/>
                <w:kern w:val="0"/>
                <w:lang w:val="zh-CN"/>
              </w:rPr>
              <w:t>（</w:t>
            </w:r>
            <w:r>
              <w:rPr>
                <w:kern w:val="0"/>
              </w:rPr>
              <w:t>2</w:t>
            </w:r>
            <w:r>
              <w:rPr>
                <w:rFonts w:hint="eastAsia" w:ascii="宋体" w:cs="宋体"/>
                <w:kern w:val="0"/>
                <w:lang w:val="zh-CN"/>
              </w:rPr>
              <w:t>）掌握标准平衡常数的计算方法。</w:t>
            </w:r>
          </w:p>
          <w:p>
            <w:pPr>
              <w:autoSpaceDE w:val="0"/>
              <w:autoSpaceDN w:val="0"/>
              <w:adjustRightInd w:val="0"/>
              <w:rPr>
                <w:rFonts w:ascii="宋体" w:cs="宋体"/>
                <w:kern w:val="0"/>
                <w:sz w:val="22"/>
                <w:szCs w:val="22"/>
                <w:lang w:val="zh-CN"/>
              </w:rPr>
            </w:pPr>
            <w:r>
              <w:rPr>
                <w:rFonts w:hint="eastAsia" w:ascii="宋体" w:cs="宋体"/>
                <w:kern w:val="0"/>
                <w:lang w:val="zh-CN"/>
              </w:rPr>
              <w:t>（</w:t>
            </w:r>
            <w:r>
              <w:rPr>
                <w:kern w:val="0"/>
              </w:rPr>
              <w:t>3</w:t>
            </w:r>
            <w:r>
              <w:rPr>
                <w:rFonts w:hint="eastAsia" w:ascii="宋体" w:cs="宋体"/>
                <w:kern w:val="0"/>
                <w:lang w:val="zh-CN"/>
              </w:rPr>
              <w:t>）运用化学平衡原理定量讨论化学平衡移动，计算转化率。</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12" w:lineRule="atLeast"/>
              <w:jc w:val="center"/>
              <w:rPr>
                <w:rFonts w:ascii="宋体" w:cs="宋体"/>
                <w:kern w:val="0"/>
                <w:sz w:val="22"/>
                <w:szCs w:val="22"/>
                <w:lang w:val="zh-CN"/>
              </w:rPr>
            </w:pPr>
            <w:r>
              <w:rPr>
                <w:kern w:val="0"/>
              </w:rPr>
              <w:t>4</w:t>
            </w:r>
            <w:r>
              <w:rPr>
                <w:rFonts w:hint="eastAsia" w:ascii="宋体" w:cs="宋体"/>
                <w:kern w:val="0"/>
                <w:lang w:val="zh-CN"/>
              </w:rPr>
              <w:t>（讲授）</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kern w:val="0"/>
                <w:lang w:val="zh-CN"/>
              </w:rPr>
              <w:t>讲授</w:t>
            </w:r>
            <w:r>
              <w:rPr>
                <w:kern w:val="0"/>
              </w:rPr>
              <w:t>/</w:t>
            </w:r>
            <w:r>
              <w:rPr>
                <w:rFonts w:hint="eastAsia" w:ascii="宋体" w:cs="宋体"/>
                <w:kern w:val="0"/>
                <w:lang w:val="zh-CN"/>
              </w:rPr>
              <w:t>讨论</w:t>
            </w:r>
            <w:r>
              <w:rPr>
                <w:kern w:val="0"/>
              </w:rPr>
              <w:t>/</w:t>
            </w:r>
            <w:r>
              <w:rPr>
                <w:rFonts w:hint="eastAsia" w:ascii="宋体" w:cs="宋体"/>
                <w:kern w:val="0"/>
                <w:lang w:val="zh-CN"/>
              </w:rPr>
              <w:t>实例教学等</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kern w:val="0"/>
              </w:rPr>
            </w:pPr>
            <w:r>
              <w:rPr>
                <w:rFonts w:hint="eastAsia" w:ascii="宋体" w:cs="宋体"/>
                <w:b/>
                <w:bCs/>
                <w:kern w:val="0"/>
                <w:lang w:val="zh-CN"/>
              </w:rPr>
              <w:t>目标</w:t>
            </w:r>
            <w:r>
              <w:rPr>
                <w:b/>
                <w:bCs/>
                <w:kern w:val="0"/>
              </w:rPr>
              <w:t>1</w:t>
            </w:r>
          </w:p>
          <w:p>
            <w:pPr>
              <w:autoSpaceDE w:val="0"/>
              <w:autoSpaceDN w:val="0"/>
              <w:adjustRightInd w:val="0"/>
              <w:jc w:val="center"/>
              <w:rPr>
                <w:b/>
                <w:bCs/>
                <w:kern w:val="0"/>
              </w:rPr>
            </w:pPr>
            <w:r>
              <w:rPr>
                <w:rFonts w:hint="eastAsia" w:ascii="宋体" w:cs="宋体"/>
                <w:b/>
                <w:bCs/>
                <w:kern w:val="0"/>
                <w:lang w:val="zh-CN"/>
              </w:rPr>
              <w:t>目标</w:t>
            </w:r>
            <w:r>
              <w:rPr>
                <w:b/>
                <w:bCs/>
                <w:kern w:val="0"/>
              </w:rPr>
              <w:t>2</w:t>
            </w:r>
          </w:p>
          <w:p>
            <w:pPr>
              <w:autoSpaceDE w:val="0"/>
              <w:autoSpaceDN w:val="0"/>
              <w:adjustRightInd w:val="0"/>
              <w:jc w:val="center"/>
              <w:rPr>
                <w:rFonts w:ascii="宋体" w:cs="宋体"/>
                <w:kern w:val="0"/>
                <w:sz w:val="22"/>
                <w:szCs w:val="22"/>
                <w:lang w:val="zh-CN"/>
              </w:rPr>
            </w:pPr>
            <w:r>
              <w:rPr>
                <w:rFonts w:hint="eastAsia" w:ascii="宋体" w:cs="宋体"/>
                <w:b/>
                <w:bCs/>
                <w:kern w:val="0"/>
                <w:lang w:val="zh-CN"/>
              </w:rPr>
              <w:t>目标</w:t>
            </w:r>
            <w:r>
              <w:rPr>
                <w:b/>
                <w:bCs/>
                <w:kern w:val="0"/>
              </w:rPr>
              <w:t>3</w:t>
            </w:r>
          </w:p>
        </w:tc>
      </w:tr>
      <w:tr>
        <w:tblPrEx>
          <w:tblCellMar>
            <w:top w:w="0" w:type="dxa"/>
            <w:left w:w="108" w:type="dxa"/>
            <w:bottom w:w="0" w:type="dxa"/>
            <w:right w:w="108" w:type="dxa"/>
          </w:tblCellMar>
        </w:tblPrEx>
        <w:trPr>
          <w:trHeight w:val="454" w:hRule="atLeast"/>
          <w:jc w:val="center"/>
        </w:trPr>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kern w:val="0"/>
              </w:rPr>
              <w:t>4</w:t>
            </w:r>
          </w:p>
        </w:tc>
        <w:tc>
          <w:tcPr>
            <w:tcW w:w="344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b/>
                <w:bCs/>
                <w:kern w:val="0"/>
              </w:rPr>
            </w:pPr>
            <w:r>
              <w:rPr>
                <w:rFonts w:hint="eastAsia" w:ascii="宋体" w:cs="宋体"/>
                <w:b/>
                <w:bCs/>
                <w:kern w:val="0"/>
                <w:lang w:val="zh-CN"/>
              </w:rPr>
              <w:t>酸碱解离平衡：</w:t>
            </w:r>
          </w:p>
          <w:p>
            <w:pPr>
              <w:autoSpaceDE w:val="0"/>
              <w:autoSpaceDN w:val="0"/>
              <w:adjustRightInd w:val="0"/>
              <w:rPr>
                <w:kern w:val="0"/>
              </w:rPr>
            </w:pPr>
            <w:r>
              <w:rPr>
                <w:rFonts w:hint="eastAsia" w:ascii="宋体" w:cs="宋体"/>
                <w:kern w:val="0"/>
                <w:lang w:val="zh-CN"/>
              </w:rPr>
              <w:t>（</w:t>
            </w:r>
            <w:r>
              <w:rPr>
                <w:kern w:val="0"/>
              </w:rPr>
              <w:t>1</w:t>
            </w:r>
            <w:r>
              <w:rPr>
                <w:rFonts w:hint="eastAsia" w:ascii="宋体" w:cs="宋体"/>
                <w:kern w:val="0"/>
                <w:lang w:val="zh-CN"/>
              </w:rPr>
              <w:t>）酸碱电离理论的基本概念。酸碱电离理论（阿伦尼乌斯电离理论）、酸碱质子理论、酸碱电子理论以及相关计算。</w:t>
            </w:r>
          </w:p>
          <w:p>
            <w:pPr>
              <w:autoSpaceDE w:val="0"/>
              <w:autoSpaceDN w:val="0"/>
              <w:adjustRightInd w:val="0"/>
              <w:rPr>
                <w:kern w:val="0"/>
              </w:rPr>
            </w:pPr>
            <w:r>
              <w:rPr>
                <w:rFonts w:hint="eastAsia" w:ascii="宋体" w:cs="宋体"/>
                <w:kern w:val="0"/>
                <w:lang w:val="zh-CN"/>
              </w:rPr>
              <w:t>（</w:t>
            </w:r>
            <w:r>
              <w:rPr>
                <w:kern w:val="0"/>
              </w:rPr>
              <w:t>2</w:t>
            </w:r>
            <w:r>
              <w:rPr>
                <w:rFonts w:hint="eastAsia" w:ascii="宋体" w:cs="宋体"/>
                <w:kern w:val="0"/>
                <w:lang w:val="zh-CN"/>
              </w:rPr>
              <w:t>）强电解质溶液的概念、离子活度和离子强度。</w:t>
            </w:r>
          </w:p>
          <w:p>
            <w:pPr>
              <w:autoSpaceDE w:val="0"/>
              <w:autoSpaceDN w:val="0"/>
              <w:adjustRightInd w:val="0"/>
              <w:rPr>
                <w:kern w:val="0"/>
              </w:rPr>
            </w:pPr>
            <w:r>
              <w:rPr>
                <w:rFonts w:hint="eastAsia" w:ascii="宋体" w:cs="宋体"/>
                <w:kern w:val="0"/>
                <w:lang w:val="zh-CN"/>
              </w:rPr>
              <w:t>（</w:t>
            </w:r>
            <w:r>
              <w:rPr>
                <w:kern w:val="0"/>
              </w:rPr>
              <w:t>3</w:t>
            </w:r>
            <w:r>
              <w:rPr>
                <w:rFonts w:hint="eastAsia" w:ascii="宋体" w:cs="宋体"/>
                <w:kern w:val="0"/>
                <w:lang w:val="zh-CN"/>
              </w:rPr>
              <w:t>）水的解离平衡、水的离子积常数、强酸、强碱溶液有关离子浓度和</w:t>
            </w:r>
            <w:r>
              <w:rPr>
                <w:kern w:val="0"/>
              </w:rPr>
              <w:t xml:space="preserve"> pH </w:t>
            </w:r>
            <w:r>
              <w:rPr>
                <w:rFonts w:hint="eastAsia" w:ascii="宋体" w:cs="宋体"/>
                <w:kern w:val="0"/>
                <w:lang w:val="zh-CN"/>
              </w:rPr>
              <w:t>的计算。常见酸碱指示剂的变色范围。</w:t>
            </w:r>
          </w:p>
          <w:p>
            <w:pPr>
              <w:autoSpaceDE w:val="0"/>
              <w:autoSpaceDN w:val="0"/>
              <w:adjustRightInd w:val="0"/>
              <w:rPr>
                <w:b/>
                <w:bCs/>
                <w:kern w:val="0"/>
              </w:rPr>
            </w:pPr>
            <w:r>
              <w:rPr>
                <w:rFonts w:hint="eastAsia" w:ascii="宋体" w:cs="宋体"/>
                <w:kern w:val="0"/>
                <w:lang w:val="zh-CN"/>
              </w:rPr>
              <w:t>（</w:t>
            </w:r>
            <w:r>
              <w:rPr>
                <w:kern w:val="0"/>
              </w:rPr>
              <w:t>4</w:t>
            </w:r>
            <w:r>
              <w:rPr>
                <w:rFonts w:hint="eastAsia" w:ascii="宋体" w:cs="宋体"/>
                <w:kern w:val="0"/>
                <w:lang w:val="zh-CN"/>
              </w:rPr>
              <w:t>）一元弱酸（碱）的解离平衡、解离常数和平衡、组成的计算。一元弱酸强碱盐和一元强酸弱碱盐的水解平衡、水解常数和平衡组成的计算。缓冲溶液及其计算。</w:t>
            </w:r>
          </w:p>
          <w:p>
            <w:pPr>
              <w:autoSpaceDE w:val="0"/>
              <w:autoSpaceDN w:val="0"/>
              <w:adjustRightInd w:val="0"/>
              <w:rPr>
                <w:b/>
                <w:bCs/>
                <w:kern w:val="0"/>
              </w:rPr>
            </w:pPr>
            <w:r>
              <w:rPr>
                <w:rFonts w:hint="eastAsia" w:ascii="宋体" w:cs="宋体"/>
                <w:b/>
                <w:bCs/>
                <w:kern w:val="0"/>
                <w:lang w:val="zh-CN"/>
              </w:rPr>
              <w:t>重点和难点：</w:t>
            </w:r>
          </w:p>
          <w:p>
            <w:pPr>
              <w:autoSpaceDE w:val="0"/>
              <w:autoSpaceDN w:val="0"/>
              <w:adjustRightInd w:val="0"/>
              <w:rPr>
                <w:rFonts w:ascii="宋体" w:cs="宋体"/>
                <w:kern w:val="0"/>
                <w:sz w:val="22"/>
                <w:szCs w:val="22"/>
                <w:lang w:val="zh-CN"/>
              </w:rPr>
            </w:pPr>
            <w:r>
              <w:rPr>
                <w:rFonts w:hint="eastAsia" w:ascii="宋体" w:cs="宋体"/>
                <w:kern w:val="0"/>
                <w:lang w:val="zh-CN"/>
              </w:rPr>
              <w:t>弱电解质电离平衡原理及其有关计算；一元弱酸和一元弱碱体系以及同离子效应体系的溶液酸度的计算方法。</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kern w:val="0"/>
                <w:lang w:val="zh-CN"/>
              </w:rPr>
              <w:t>正确的学习方法及问题思考，培养学生具备职业道德和敬业精神。</w:t>
            </w: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kern w:val="0"/>
              </w:rPr>
            </w:pPr>
            <w:r>
              <w:rPr>
                <w:rFonts w:hint="eastAsia" w:ascii="宋体" w:cs="宋体"/>
                <w:kern w:val="0"/>
                <w:lang w:val="zh-CN"/>
              </w:rPr>
              <w:t>（</w:t>
            </w:r>
            <w:r>
              <w:rPr>
                <w:kern w:val="0"/>
              </w:rPr>
              <w:t>1</w:t>
            </w:r>
            <w:r>
              <w:rPr>
                <w:rFonts w:hint="eastAsia" w:ascii="宋体" w:cs="宋体"/>
                <w:kern w:val="0"/>
                <w:lang w:val="zh-CN"/>
              </w:rPr>
              <w:t>）了解酸碱理论的发展，掌握酸碱质子理论的相关概念，能用酸碱质子理论处理溶液平衡。</w:t>
            </w:r>
          </w:p>
          <w:p>
            <w:pPr>
              <w:autoSpaceDE w:val="0"/>
              <w:autoSpaceDN w:val="0"/>
              <w:adjustRightInd w:val="0"/>
              <w:rPr>
                <w:kern w:val="0"/>
              </w:rPr>
            </w:pPr>
            <w:r>
              <w:rPr>
                <w:rFonts w:hint="eastAsia" w:ascii="宋体" w:cs="宋体"/>
                <w:kern w:val="0"/>
                <w:lang w:val="zh-CN"/>
              </w:rPr>
              <w:t>（</w:t>
            </w:r>
            <w:r>
              <w:rPr>
                <w:kern w:val="0"/>
              </w:rPr>
              <w:t>2</w:t>
            </w:r>
            <w:r>
              <w:rPr>
                <w:rFonts w:hint="eastAsia" w:ascii="宋体" w:cs="宋体"/>
                <w:kern w:val="0"/>
                <w:lang w:val="zh-CN"/>
              </w:rPr>
              <w:t>）掌握弱电解质电离平衡原理及其有关计算。</w:t>
            </w:r>
          </w:p>
          <w:p>
            <w:pPr>
              <w:autoSpaceDE w:val="0"/>
              <w:autoSpaceDN w:val="0"/>
              <w:adjustRightInd w:val="0"/>
              <w:rPr>
                <w:kern w:val="0"/>
              </w:rPr>
            </w:pPr>
            <w:r>
              <w:rPr>
                <w:rFonts w:hint="eastAsia" w:ascii="宋体" w:cs="宋体"/>
                <w:kern w:val="0"/>
                <w:lang w:val="zh-CN"/>
              </w:rPr>
              <w:t>（</w:t>
            </w:r>
            <w:r>
              <w:rPr>
                <w:kern w:val="0"/>
              </w:rPr>
              <w:t>3</w:t>
            </w:r>
            <w:r>
              <w:rPr>
                <w:rFonts w:hint="eastAsia" w:ascii="宋体" w:cs="宋体"/>
                <w:kern w:val="0"/>
                <w:lang w:val="zh-CN"/>
              </w:rPr>
              <w:t>）掌握一元弱酸和一元弱碱体系以及同离子效应体系的溶液酸度的计算方法。</w:t>
            </w:r>
          </w:p>
          <w:p>
            <w:pPr>
              <w:autoSpaceDE w:val="0"/>
              <w:autoSpaceDN w:val="0"/>
              <w:adjustRightInd w:val="0"/>
              <w:rPr>
                <w:rFonts w:ascii="宋体" w:cs="宋体"/>
                <w:kern w:val="0"/>
                <w:sz w:val="22"/>
                <w:szCs w:val="22"/>
                <w:lang w:val="zh-CN"/>
              </w:rPr>
            </w:pPr>
            <w:r>
              <w:rPr>
                <w:rFonts w:hint="eastAsia" w:ascii="宋体" w:cs="宋体"/>
                <w:kern w:val="0"/>
                <w:lang w:val="zh-CN"/>
              </w:rPr>
              <w:t>（</w:t>
            </w:r>
            <w:r>
              <w:rPr>
                <w:kern w:val="0"/>
              </w:rPr>
              <w:t>4</w:t>
            </w:r>
            <w:r>
              <w:rPr>
                <w:rFonts w:hint="eastAsia" w:ascii="宋体" w:cs="宋体"/>
                <w:kern w:val="0"/>
                <w:lang w:val="zh-CN"/>
              </w:rPr>
              <w:t>）熟悉缓冲溶液相关概念。</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12" w:lineRule="atLeast"/>
              <w:jc w:val="center"/>
              <w:rPr>
                <w:rFonts w:ascii="宋体" w:cs="宋体"/>
                <w:kern w:val="0"/>
                <w:sz w:val="22"/>
                <w:szCs w:val="22"/>
                <w:lang w:val="zh-CN"/>
              </w:rPr>
            </w:pPr>
            <w:r>
              <w:rPr>
                <w:kern w:val="0"/>
              </w:rPr>
              <w:t>6</w:t>
            </w:r>
            <w:r>
              <w:rPr>
                <w:rFonts w:hint="eastAsia" w:ascii="宋体" w:cs="宋体"/>
                <w:kern w:val="0"/>
                <w:lang w:val="zh-CN"/>
              </w:rPr>
              <w:t>（讲授）</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kern w:val="0"/>
                <w:lang w:val="zh-CN"/>
              </w:rPr>
              <w:t>讲授</w:t>
            </w:r>
            <w:r>
              <w:rPr>
                <w:kern w:val="0"/>
              </w:rPr>
              <w:t>/</w:t>
            </w:r>
            <w:r>
              <w:rPr>
                <w:rFonts w:hint="eastAsia" w:ascii="宋体" w:cs="宋体"/>
                <w:kern w:val="0"/>
                <w:lang w:val="zh-CN"/>
              </w:rPr>
              <w:t>讨论</w:t>
            </w:r>
            <w:r>
              <w:rPr>
                <w:kern w:val="0"/>
              </w:rPr>
              <w:t>/</w:t>
            </w:r>
            <w:r>
              <w:rPr>
                <w:rFonts w:hint="eastAsia" w:ascii="宋体" w:cs="宋体"/>
                <w:kern w:val="0"/>
                <w:lang w:val="zh-CN"/>
              </w:rPr>
              <w:t>实例教学等</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kern w:val="0"/>
              </w:rPr>
            </w:pPr>
            <w:r>
              <w:rPr>
                <w:rFonts w:hint="eastAsia" w:ascii="宋体" w:cs="宋体"/>
                <w:b/>
                <w:bCs/>
                <w:kern w:val="0"/>
                <w:lang w:val="zh-CN"/>
              </w:rPr>
              <w:t>目标</w:t>
            </w:r>
            <w:r>
              <w:rPr>
                <w:b/>
                <w:bCs/>
                <w:kern w:val="0"/>
              </w:rPr>
              <w:t>1</w:t>
            </w:r>
          </w:p>
          <w:p>
            <w:pPr>
              <w:autoSpaceDE w:val="0"/>
              <w:autoSpaceDN w:val="0"/>
              <w:adjustRightInd w:val="0"/>
              <w:jc w:val="center"/>
              <w:rPr>
                <w:b/>
                <w:bCs/>
                <w:kern w:val="0"/>
              </w:rPr>
            </w:pPr>
            <w:r>
              <w:rPr>
                <w:rFonts w:hint="eastAsia" w:ascii="宋体" w:cs="宋体"/>
                <w:b/>
                <w:bCs/>
                <w:kern w:val="0"/>
                <w:lang w:val="zh-CN"/>
              </w:rPr>
              <w:t>目标</w:t>
            </w:r>
            <w:r>
              <w:rPr>
                <w:b/>
                <w:bCs/>
                <w:kern w:val="0"/>
              </w:rPr>
              <w:t>2</w:t>
            </w:r>
          </w:p>
          <w:p>
            <w:pPr>
              <w:autoSpaceDE w:val="0"/>
              <w:autoSpaceDN w:val="0"/>
              <w:adjustRightInd w:val="0"/>
              <w:jc w:val="center"/>
              <w:rPr>
                <w:rFonts w:ascii="宋体" w:cs="宋体"/>
                <w:kern w:val="0"/>
                <w:sz w:val="22"/>
                <w:szCs w:val="22"/>
                <w:lang w:val="zh-CN"/>
              </w:rPr>
            </w:pPr>
            <w:r>
              <w:rPr>
                <w:rFonts w:hint="eastAsia" w:ascii="宋体" w:cs="宋体"/>
                <w:b/>
                <w:bCs/>
                <w:kern w:val="0"/>
                <w:lang w:val="zh-CN"/>
              </w:rPr>
              <w:t>目标</w:t>
            </w:r>
            <w:r>
              <w:rPr>
                <w:b/>
                <w:bCs/>
                <w:kern w:val="0"/>
              </w:rPr>
              <w:t>3</w:t>
            </w:r>
          </w:p>
        </w:tc>
      </w:tr>
      <w:tr>
        <w:tblPrEx>
          <w:tblCellMar>
            <w:top w:w="0" w:type="dxa"/>
            <w:left w:w="108" w:type="dxa"/>
            <w:bottom w:w="0" w:type="dxa"/>
            <w:right w:w="108" w:type="dxa"/>
          </w:tblCellMar>
        </w:tblPrEx>
        <w:trPr>
          <w:trHeight w:val="454" w:hRule="atLeast"/>
          <w:jc w:val="center"/>
        </w:trPr>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kern w:val="0"/>
              </w:rPr>
              <w:t>5</w:t>
            </w:r>
          </w:p>
        </w:tc>
        <w:tc>
          <w:tcPr>
            <w:tcW w:w="344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b/>
                <w:bCs/>
                <w:kern w:val="0"/>
              </w:rPr>
            </w:pPr>
            <w:r>
              <w:rPr>
                <w:rFonts w:hint="eastAsia" w:ascii="宋体" w:cs="宋体"/>
                <w:b/>
                <w:bCs/>
                <w:kern w:val="0"/>
                <w:lang w:val="zh-CN"/>
              </w:rPr>
              <w:t>沉淀</w:t>
            </w:r>
            <w:r>
              <w:rPr>
                <w:b/>
                <w:bCs/>
                <w:kern w:val="0"/>
              </w:rPr>
              <w:t>-</w:t>
            </w:r>
            <w:r>
              <w:rPr>
                <w:rFonts w:hint="eastAsia" w:ascii="宋体" w:cs="宋体"/>
                <w:b/>
                <w:bCs/>
                <w:kern w:val="0"/>
                <w:lang w:val="zh-CN"/>
              </w:rPr>
              <w:t>溶解平衡：</w:t>
            </w:r>
          </w:p>
          <w:p>
            <w:pPr>
              <w:autoSpaceDE w:val="0"/>
              <w:autoSpaceDN w:val="0"/>
              <w:adjustRightInd w:val="0"/>
              <w:rPr>
                <w:kern w:val="0"/>
              </w:rPr>
            </w:pPr>
            <w:r>
              <w:rPr>
                <w:rFonts w:hint="eastAsia" w:ascii="宋体" w:cs="宋体"/>
                <w:kern w:val="0"/>
                <w:lang w:val="zh-CN"/>
              </w:rPr>
              <w:t>（</w:t>
            </w:r>
            <w:r>
              <w:rPr>
                <w:kern w:val="0"/>
              </w:rPr>
              <w:t>1</w:t>
            </w:r>
            <w:r>
              <w:rPr>
                <w:rFonts w:hint="eastAsia" w:ascii="宋体" w:cs="宋体"/>
                <w:kern w:val="0"/>
                <w:lang w:val="zh-CN"/>
              </w:rPr>
              <w:t>）难溶电解质的沉淀</w:t>
            </w:r>
            <w:r>
              <w:rPr>
                <w:rFonts w:ascii="宋体" w:cs="宋体"/>
                <w:kern w:val="0"/>
                <w:lang w:val="zh-CN"/>
              </w:rPr>
              <w:t>—</w:t>
            </w:r>
            <w:r>
              <w:rPr>
                <w:rFonts w:hint="eastAsia" w:ascii="宋体" w:cs="宋体"/>
                <w:kern w:val="0"/>
                <w:lang w:val="zh-CN"/>
              </w:rPr>
              <w:t>溶解平衡，标准溶度积常数及其与溶解度之间的关系和有关计算。</w:t>
            </w:r>
            <w:r>
              <w:rPr>
                <w:kern w:val="0"/>
              </w:rPr>
              <w:t xml:space="preserve">  </w:t>
            </w:r>
          </w:p>
          <w:p>
            <w:pPr>
              <w:autoSpaceDE w:val="0"/>
              <w:autoSpaceDN w:val="0"/>
              <w:adjustRightInd w:val="0"/>
              <w:rPr>
                <w:kern w:val="0"/>
              </w:rPr>
            </w:pPr>
            <w:r>
              <w:rPr>
                <w:rFonts w:hint="eastAsia" w:ascii="宋体" w:cs="宋体"/>
                <w:kern w:val="0"/>
                <w:lang w:val="zh-CN"/>
              </w:rPr>
              <w:t>（</w:t>
            </w:r>
            <w:r>
              <w:rPr>
                <w:kern w:val="0"/>
              </w:rPr>
              <w:t>2</w:t>
            </w:r>
            <w:r>
              <w:rPr>
                <w:rFonts w:hint="eastAsia" w:ascii="宋体" w:cs="宋体"/>
                <w:kern w:val="0"/>
                <w:lang w:val="zh-CN"/>
              </w:rPr>
              <w:t>）影响难溶强电解质溶解度的因素：同离子效应、盐效应。溶度积规则及相关数学表达式。</w:t>
            </w:r>
          </w:p>
          <w:p>
            <w:pPr>
              <w:autoSpaceDE w:val="0"/>
              <w:autoSpaceDN w:val="0"/>
              <w:adjustRightInd w:val="0"/>
              <w:rPr>
                <w:kern w:val="0"/>
              </w:rPr>
            </w:pPr>
            <w:r>
              <w:rPr>
                <w:rFonts w:hint="eastAsia" w:ascii="宋体" w:cs="宋体"/>
                <w:kern w:val="0"/>
                <w:lang w:val="zh-CN"/>
              </w:rPr>
              <w:t>（</w:t>
            </w:r>
            <w:r>
              <w:rPr>
                <w:kern w:val="0"/>
              </w:rPr>
              <w:t>3</w:t>
            </w:r>
            <w:r>
              <w:rPr>
                <w:rFonts w:hint="eastAsia" w:ascii="宋体" w:cs="宋体"/>
                <w:kern w:val="0"/>
                <w:lang w:val="zh-CN"/>
              </w:rPr>
              <w:t>）沉淀的生成以及分步沉淀、沉淀的溶解与转化以及相关计算。</w:t>
            </w:r>
          </w:p>
          <w:p>
            <w:pPr>
              <w:autoSpaceDE w:val="0"/>
              <w:autoSpaceDN w:val="0"/>
              <w:adjustRightInd w:val="0"/>
              <w:rPr>
                <w:rFonts w:ascii="宋体" w:cs="宋体"/>
                <w:kern w:val="0"/>
                <w:sz w:val="22"/>
                <w:szCs w:val="22"/>
                <w:lang w:val="zh-CN"/>
              </w:rPr>
            </w:pPr>
            <w:r>
              <w:rPr>
                <w:rFonts w:hint="eastAsia" w:ascii="宋体" w:cs="宋体"/>
                <w:b/>
                <w:bCs/>
                <w:kern w:val="0"/>
                <w:lang w:val="zh-CN"/>
              </w:rPr>
              <w:t>重点和难点：</w:t>
            </w:r>
            <w:r>
              <w:rPr>
                <w:rFonts w:hint="eastAsia" w:ascii="宋体" w:cs="宋体"/>
                <w:kern w:val="0"/>
                <w:lang w:val="zh-CN"/>
              </w:rPr>
              <w:t>溶解度、溶度积等基本概念及它们之间的换算关系；溶度积规则及相关计算。</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kern w:val="0"/>
                <w:lang w:val="zh-CN"/>
              </w:rPr>
              <w:t>正确的学习方法及问题思考，培养学生具备职业道德和敬业精神。</w:t>
            </w: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kern w:val="0"/>
              </w:rPr>
            </w:pPr>
            <w:r>
              <w:rPr>
                <w:rFonts w:hint="eastAsia" w:ascii="宋体" w:cs="宋体"/>
                <w:kern w:val="0"/>
                <w:lang w:val="zh-CN"/>
              </w:rPr>
              <w:t>（</w:t>
            </w:r>
            <w:r>
              <w:rPr>
                <w:kern w:val="0"/>
              </w:rPr>
              <w:t>1</w:t>
            </w:r>
            <w:r>
              <w:rPr>
                <w:rFonts w:hint="eastAsia" w:ascii="宋体" w:cs="宋体"/>
                <w:kern w:val="0"/>
                <w:lang w:val="zh-CN"/>
              </w:rPr>
              <w:t>）掌握溶解度、溶度积等基本概念及它们之间的换算关系。</w:t>
            </w:r>
          </w:p>
          <w:p>
            <w:pPr>
              <w:autoSpaceDE w:val="0"/>
              <w:autoSpaceDN w:val="0"/>
              <w:adjustRightInd w:val="0"/>
              <w:rPr>
                <w:kern w:val="0"/>
              </w:rPr>
            </w:pPr>
            <w:r>
              <w:rPr>
                <w:rFonts w:hint="eastAsia" w:ascii="宋体" w:cs="宋体"/>
                <w:kern w:val="0"/>
                <w:lang w:val="zh-CN"/>
              </w:rPr>
              <w:t>（</w:t>
            </w:r>
            <w:r>
              <w:rPr>
                <w:kern w:val="0"/>
              </w:rPr>
              <w:t>2</w:t>
            </w:r>
            <w:r>
              <w:rPr>
                <w:rFonts w:hint="eastAsia" w:ascii="宋体" w:cs="宋体"/>
                <w:kern w:val="0"/>
                <w:lang w:val="zh-CN"/>
              </w:rPr>
              <w:t>）掌握溶度积规则及相关计算。</w:t>
            </w:r>
          </w:p>
          <w:p>
            <w:pPr>
              <w:autoSpaceDE w:val="0"/>
              <w:autoSpaceDN w:val="0"/>
              <w:adjustRightInd w:val="0"/>
              <w:rPr>
                <w:rFonts w:ascii="宋体" w:cs="宋体"/>
                <w:kern w:val="0"/>
                <w:sz w:val="22"/>
                <w:szCs w:val="22"/>
                <w:lang w:val="zh-CN"/>
              </w:rPr>
            </w:pPr>
            <w:r>
              <w:rPr>
                <w:rFonts w:hint="eastAsia" w:ascii="宋体" w:cs="宋体"/>
                <w:kern w:val="0"/>
                <w:lang w:val="zh-CN"/>
              </w:rPr>
              <w:t>（</w:t>
            </w:r>
            <w:r>
              <w:rPr>
                <w:kern w:val="0"/>
              </w:rPr>
              <w:t>3</w:t>
            </w:r>
            <w:r>
              <w:rPr>
                <w:rFonts w:hint="eastAsia" w:ascii="宋体" w:cs="宋体"/>
                <w:kern w:val="0"/>
                <w:lang w:val="zh-CN"/>
              </w:rPr>
              <w:t>）了解沉淀</w:t>
            </w:r>
            <w:r>
              <w:rPr>
                <w:kern w:val="0"/>
              </w:rPr>
              <w:t>-</w:t>
            </w:r>
            <w:r>
              <w:rPr>
                <w:rFonts w:hint="eastAsia" w:ascii="宋体" w:cs="宋体"/>
                <w:kern w:val="0"/>
                <w:lang w:val="zh-CN"/>
              </w:rPr>
              <w:t>溶解平衡在实际生产生活中的应用。</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12" w:lineRule="atLeast"/>
              <w:jc w:val="center"/>
              <w:rPr>
                <w:rFonts w:ascii="宋体" w:cs="宋体"/>
                <w:kern w:val="0"/>
                <w:sz w:val="22"/>
                <w:szCs w:val="22"/>
                <w:lang w:val="zh-CN"/>
              </w:rPr>
            </w:pPr>
            <w:r>
              <w:rPr>
                <w:kern w:val="0"/>
              </w:rPr>
              <w:t>4</w:t>
            </w:r>
            <w:r>
              <w:rPr>
                <w:rFonts w:hint="eastAsia" w:ascii="宋体" w:cs="宋体"/>
                <w:kern w:val="0"/>
                <w:lang w:val="zh-CN"/>
              </w:rPr>
              <w:t>（讲授）</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kern w:val="0"/>
                <w:lang w:val="zh-CN"/>
              </w:rPr>
              <w:t>讲授</w:t>
            </w:r>
            <w:r>
              <w:rPr>
                <w:kern w:val="0"/>
              </w:rPr>
              <w:t>/</w:t>
            </w:r>
            <w:r>
              <w:rPr>
                <w:rFonts w:hint="eastAsia" w:ascii="宋体" w:cs="宋体"/>
                <w:kern w:val="0"/>
                <w:lang w:val="zh-CN"/>
              </w:rPr>
              <w:t>讨论</w:t>
            </w:r>
            <w:r>
              <w:rPr>
                <w:kern w:val="0"/>
              </w:rPr>
              <w:t>/</w:t>
            </w:r>
            <w:r>
              <w:rPr>
                <w:rFonts w:hint="eastAsia" w:ascii="宋体" w:cs="宋体"/>
                <w:kern w:val="0"/>
                <w:lang w:val="zh-CN"/>
              </w:rPr>
              <w:t>实例教学等</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kern w:val="0"/>
              </w:rPr>
            </w:pPr>
            <w:r>
              <w:rPr>
                <w:rFonts w:hint="eastAsia" w:ascii="宋体" w:cs="宋体"/>
                <w:b/>
                <w:bCs/>
                <w:kern w:val="0"/>
                <w:lang w:val="zh-CN"/>
              </w:rPr>
              <w:t>目标</w:t>
            </w:r>
            <w:r>
              <w:rPr>
                <w:b/>
                <w:bCs/>
                <w:kern w:val="0"/>
              </w:rPr>
              <w:t>1</w:t>
            </w:r>
          </w:p>
          <w:p>
            <w:pPr>
              <w:autoSpaceDE w:val="0"/>
              <w:autoSpaceDN w:val="0"/>
              <w:adjustRightInd w:val="0"/>
              <w:jc w:val="center"/>
              <w:rPr>
                <w:b/>
                <w:bCs/>
                <w:kern w:val="0"/>
              </w:rPr>
            </w:pPr>
            <w:r>
              <w:rPr>
                <w:rFonts w:hint="eastAsia" w:ascii="宋体" w:cs="宋体"/>
                <w:b/>
                <w:bCs/>
                <w:kern w:val="0"/>
                <w:lang w:val="zh-CN"/>
              </w:rPr>
              <w:t>目标</w:t>
            </w:r>
            <w:r>
              <w:rPr>
                <w:b/>
                <w:bCs/>
                <w:kern w:val="0"/>
              </w:rPr>
              <w:t>2</w:t>
            </w:r>
          </w:p>
          <w:p>
            <w:pPr>
              <w:autoSpaceDE w:val="0"/>
              <w:autoSpaceDN w:val="0"/>
              <w:adjustRightInd w:val="0"/>
              <w:jc w:val="center"/>
              <w:rPr>
                <w:rFonts w:ascii="宋体" w:cs="宋体"/>
                <w:kern w:val="0"/>
                <w:sz w:val="22"/>
                <w:szCs w:val="22"/>
                <w:lang w:val="zh-CN"/>
              </w:rPr>
            </w:pPr>
            <w:r>
              <w:rPr>
                <w:rFonts w:hint="eastAsia" w:ascii="宋体" w:cs="宋体"/>
                <w:b/>
                <w:bCs/>
                <w:kern w:val="0"/>
                <w:lang w:val="zh-CN"/>
              </w:rPr>
              <w:t>目标</w:t>
            </w:r>
            <w:r>
              <w:rPr>
                <w:b/>
                <w:bCs/>
                <w:kern w:val="0"/>
              </w:rPr>
              <w:t>3</w:t>
            </w:r>
          </w:p>
        </w:tc>
      </w:tr>
      <w:tr>
        <w:tblPrEx>
          <w:tblCellMar>
            <w:top w:w="0" w:type="dxa"/>
            <w:left w:w="108" w:type="dxa"/>
            <w:bottom w:w="0" w:type="dxa"/>
            <w:right w:w="108" w:type="dxa"/>
          </w:tblCellMar>
        </w:tblPrEx>
        <w:trPr>
          <w:trHeight w:val="454" w:hRule="atLeast"/>
          <w:jc w:val="center"/>
        </w:trPr>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kern w:val="0"/>
              </w:rPr>
              <w:t>6</w:t>
            </w:r>
          </w:p>
        </w:tc>
        <w:tc>
          <w:tcPr>
            <w:tcW w:w="344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b/>
                <w:bCs/>
                <w:kern w:val="0"/>
              </w:rPr>
            </w:pPr>
            <w:r>
              <w:rPr>
                <w:rFonts w:hint="eastAsia" w:ascii="宋体" w:cs="宋体"/>
                <w:b/>
                <w:bCs/>
                <w:kern w:val="0"/>
                <w:lang w:val="zh-CN"/>
              </w:rPr>
              <w:t>氧化还原平衡：</w:t>
            </w:r>
          </w:p>
          <w:p>
            <w:pPr>
              <w:autoSpaceDE w:val="0"/>
              <w:autoSpaceDN w:val="0"/>
              <w:adjustRightInd w:val="0"/>
              <w:rPr>
                <w:kern w:val="0"/>
              </w:rPr>
            </w:pPr>
            <w:r>
              <w:rPr>
                <w:rFonts w:hint="eastAsia" w:ascii="宋体" w:cs="宋体"/>
                <w:kern w:val="0"/>
                <w:lang w:val="zh-CN"/>
              </w:rPr>
              <w:t>（</w:t>
            </w:r>
            <w:r>
              <w:rPr>
                <w:kern w:val="0"/>
              </w:rPr>
              <w:t>1</w:t>
            </w:r>
            <w:r>
              <w:rPr>
                <w:rFonts w:hint="eastAsia" w:ascii="宋体" w:cs="宋体"/>
                <w:kern w:val="0"/>
                <w:lang w:val="zh-CN"/>
              </w:rPr>
              <w:t>）氧化还原反应的基本概念，原电池的基本概念和电池电动势的概念。氧化还原反应方程式配平。</w:t>
            </w:r>
          </w:p>
          <w:p>
            <w:pPr>
              <w:autoSpaceDE w:val="0"/>
              <w:autoSpaceDN w:val="0"/>
              <w:adjustRightInd w:val="0"/>
              <w:rPr>
                <w:kern w:val="0"/>
              </w:rPr>
            </w:pPr>
            <w:r>
              <w:rPr>
                <w:rFonts w:hint="eastAsia" w:ascii="宋体" w:cs="宋体"/>
                <w:kern w:val="0"/>
                <w:lang w:val="zh-CN"/>
              </w:rPr>
              <w:t>（</w:t>
            </w:r>
            <w:r>
              <w:rPr>
                <w:kern w:val="0"/>
              </w:rPr>
              <w:t>2</w:t>
            </w:r>
            <w:r>
              <w:rPr>
                <w:rFonts w:hint="eastAsia" w:ascii="宋体" w:cs="宋体"/>
                <w:kern w:val="0"/>
                <w:lang w:val="zh-CN"/>
              </w:rPr>
              <w:t>）电极电势的概念及其影响因素、</w:t>
            </w:r>
            <w:r>
              <w:rPr>
                <w:kern w:val="0"/>
              </w:rPr>
              <w:t xml:space="preserve"> Nernst </w:t>
            </w:r>
            <w:r>
              <w:rPr>
                <w:rFonts w:hint="eastAsia" w:ascii="宋体" w:cs="宋体"/>
                <w:kern w:val="0"/>
                <w:lang w:val="zh-CN"/>
              </w:rPr>
              <w:t>方程式及有关的简单计算、电极电势的应用。</w:t>
            </w:r>
          </w:p>
          <w:p>
            <w:pPr>
              <w:autoSpaceDE w:val="0"/>
              <w:autoSpaceDN w:val="0"/>
              <w:adjustRightInd w:val="0"/>
              <w:rPr>
                <w:kern w:val="0"/>
              </w:rPr>
            </w:pPr>
            <w:r>
              <w:rPr>
                <w:rFonts w:hint="eastAsia" w:ascii="宋体" w:cs="宋体"/>
                <w:kern w:val="0"/>
                <w:lang w:val="zh-CN"/>
              </w:rPr>
              <w:t>（</w:t>
            </w:r>
            <w:r>
              <w:rPr>
                <w:kern w:val="0"/>
              </w:rPr>
              <w:t>3</w:t>
            </w:r>
            <w:r>
              <w:rPr>
                <w:rFonts w:hint="eastAsia" w:ascii="宋体" w:cs="宋体"/>
                <w:kern w:val="0"/>
                <w:lang w:val="zh-CN"/>
              </w:rPr>
              <w:t>）用电池电动势判断电池反应的方向、求反应的平衡常数。元素电势图及其应用。</w:t>
            </w:r>
          </w:p>
          <w:p>
            <w:pPr>
              <w:autoSpaceDE w:val="0"/>
              <w:autoSpaceDN w:val="0"/>
              <w:adjustRightInd w:val="0"/>
              <w:rPr>
                <w:kern w:val="0"/>
              </w:rPr>
            </w:pPr>
            <w:r>
              <w:rPr>
                <w:rFonts w:hint="eastAsia" w:ascii="宋体" w:cs="宋体"/>
                <w:kern w:val="0"/>
                <w:lang w:val="zh-CN"/>
              </w:rPr>
              <w:t>（</w:t>
            </w:r>
            <w:r>
              <w:rPr>
                <w:kern w:val="0"/>
              </w:rPr>
              <w:t>4</w:t>
            </w:r>
            <w:r>
              <w:rPr>
                <w:rFonts w:hint="eastAsia" w:ascii="宋体" w:cs="宋体"/>
                <w:kern w:val="0"/>
                <w:lang w:val="zh-CN"/>
              </w:rPr>
              <w:t>）化学电源的概念，化学电池的种类、金属腐蚀的相关概念。</w:t>
            </w:r>
          </w:p>
          <w:p>
            <w:pPr>
              <w:autoSpaceDE w:val="0"/>
              <w:autoSpaceDN w:val="0"/>
              <w:adjustRightInd w:val="0"/>
              <w:rPr>
                <w:rFonts w:ascii="宋体" w:cs="宋体"/>
                <w:kern w:val="0"/>
                <w:sz w:val="22"/>
                <w:szCs w:val="22"/>
                <w:lang w:val="zh-CN"/>
              </w:rPr>
            </w:pPr>
            <w:r>
              <w:rPr>
                <w:rFonts w:hint="eastAsia" w:ascii="宋体" w:cs="宋体"/>
                <w:b/>
                <w:bCs/>
                <w:kern w:val="0"/>
                <w:lang w:val="zh-CN"/>
              </w:rPr>
              <w:t>重点和难点：</w:t>
            </w:r>
            <w:r>
              <w:rPr>
                <w:rFonts w:hint="eastAsia" w:ascii="宋体" w:cs="宋体"/>
                <w:kern w:val="0"/>
                <w:lang w:val="zh-CN"/>
              </w:rPr>
              <w:t>氧化数概念和氧化还原反应的配平方法；原电池的结构和表达式以及电动势、电极电势的概念；能运用标准电极电势判断氧化剂、还原剂的强弱以及氧化还原反应的方向；掌握能斯特方程并能熟练进行计算。</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kern w:val="0"/>
                <w:lang w:val="zh-CN"/>
              </w:rPr>
              <w:t>正确的学习方法及问题思考，培养学生具备职业道德和敬业精神。</w:t>
            </w: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kern w:val="0"/>
              </w:rPr>
            </w:pPr>
            <w:r>
              <w:rPr>
                <w:rFonts w:hint="eastAsia" w:ascii="宋体" w:cs="宋体"/>
                <w:kern w:val="0"/>
                <w:lang w:val="zh-CN"/>
              </w:rPr>
              <w:t>（</w:t>
            </w:r>
            <w:r>
              <w:rPr>
                <w:kern w:val="0"/>
              </w:rPr>
              <w:t>1</w:t>
            </w:r>
            <w:r>
              <w:rPr>
                <w:rFonts w:hint="eastAsia" w:ascii="宋体" w:cs="宋体"/>
                <w:kern w:val="0"/>
                <w:lang w:val="zh-CN"/>
              </w:rPr>
              <w:t>）掌握氧化数概念和氧化还原反应的配平方法。</w:t>
            </w:r>
          </w:p>
          <w:p>
            <w:pPr>
              <w:autoSpaceDE w:val="0"/>
              <w:autoSpaceDN w:val="0"/>
              <w:adjustRightInd w:val="0"/>
              <w:rPr>
                <w:kern w:val="0"/>
              </w:rPr>
            </w:pPr>
            <w:r>
              <w:rPr>
                <w:rFonts w:hint="eastAsia" w:ascii="宋体" w:cs="宋体"/>
                <w:kern w:val="0"/>
                <w:lang w:val="zh-CN"/>
              </w:rPr>
              <w:t>（</w:t>
            </w:r>
            <w:r>
              <w:rPr>
                <w:kern w:val="0"/>
              </w:rPr>
              <w:t>2</w:t>
            </w:r>
            <w:r>
              <w:rPr>
                <w:rFonts w:hint="eastAsia" w:ascii="宋体" w:cs="宋体"/>
                <w:kern w:val="0"/>
                <w:lang w:val="zh-CN"/>
              </w:rPr>
              <w:t>）熟悉原电池的结构和表达式以及电动势、电极电势的概念。</w:t>
            </w:r>
          </w:p>
          <w:p>
            <w:pPr>
              <w:autoSpaceDE w:val="0"/>
              <w:autoSpaceDN w:val="0"/>
              <w:adjustRightInd w:val="0"/>
              <w:rPr>
                <w:kern w:val="0"/>
              </w:rPr>
            </w:pPr>
            <w:r>
              <w:rPr>
                <w:rFonts w:hint="eastAsia" w:ascii="宋体" w:cs="宋体"/>
                <w:kern w:val="0"/>
                <w:lang w:val="zh-CN"/>
              </w:rPr>
              <w:t>（</w:t>
            </w:r>
            <w:r>
              <w:rPr>
                <w:kern w:val="0"/>
              </w:rPr>
              <w:t>3</w:t>
            </w:r>
            <w:r>
              <w:rPr>
                <w:rFonts w:hint="eastAsia" w:ascii="宋体" w:cs="宋体"/>
                <w:kern w:val="0"/>
                <w:lang w:val="zh-CN"/>
              </w:rPr>
              <w:t>）能运用标准电极电势判断氧化剂、还原剂的强弱以及氧化还原反应的方向。</w:t>
            </w:r>
          </w:p>
          <w:p>
            <w:pPr>
              <w:autoSpaceDE w:val="0"/>
              <w:autoSpaceDN w:val="0"/>
              <w:adjustRightInd w:val="0"/>
              <w:rPr>
                <w:kern w:val="0"/>
              </w:rPr>
            </w:pPr>
            <w:r>
              <w:rPr>
                <w:rFonts w:hint="eastAsia" w:ascii="宋体" w:cs="宋体"/>
                <w:kern w:val="0"/>
                <w:lang w:val="zh-CN"/>
              </w:rPr>
              <w:t>（</w:t>
            </w:r>
            <w:r>
              <w:rPr>
                <w:kern w:val="0"/>
              </w:rPr>
              <w:t>4</w:t>
            </w:r>
            <w:r>
              <w:rPr>
                <w:rFonts w:hint="eastAsia" w:ascii="宋体" w:cs="宋体"/>
                <w:kern w:val="0"/>
                <w:lang w:val="zh-CN"/>
              </w:rPr>
              <w:t>）掌握能斯特方程并能熟练进行计算。</w:t>
            </w:r>
          </w:p>
          <w:p>
            <w:pPr>
              <w:autoSpaceDE w:val="0"/>
              <w:autoSpaceDN w:val="0"/>
              <w:adjustRightInd w:val="0"/>
              <w:rPr>
                <w:rFonts w:ascii="宋体" w:cs="宋体"/>
                <w:kern w:val="0"/>
                <w:sz w:val="22"/>
                <w:szCs w:val="22"/>
                <w:lang w:val="zh-CN"/>
              </w:rPr>
            </w:pPr>
            <w:r>
              <w:rPr>
                <w:rFonts w:hint="eastAsia" w:ascii="宋体" w:cs="宋体"/>
                <w:kern w:val="0"/>
                <w:lang w:val="zh-CN"/>
              </w:rPr>
              <w:t>（</w:t>
            </w:r>
            <w:r>
              <w:rPr>
                <w:kern w:val="0"/>
              </w:rPr>
              <w:t>5</w:t>
            </w:r>
            <w:r>
              <w:rPr>
                <w:rFonts w:hint="eastAsia" w:ascii="宋体" w:cs="宋体"/>
                <w:kern w:val="0"/>
                <w:lang w:val="zh-CN"/>
              </w:rPr>
              <w:t>）了解电解的基本原理，化学电源的种类。</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12" w:lineRule="atLeast"/>
              <w:jc w:val="center"/>
              <w:rPr>
                <w:rFonts w:ascii="宋体" w:cs="宋体"/>
                <w:kern w:val="0"/>
                <w:sz w:val="22"/>
                <w:szCs w:val="22"/>
                <w:lang w:val="zh-CN"/>
              </w:rPr>
            </w:pPr>
            <w:r>
              <w:rPr>
                <w:kern w:val="0"/>
              </w:rPr>
              <w:t>6</w:t>
            </w:r>
            <w:r>
              <w:rPr>
                <w:rFonts w:hint="eastAsia" w:ascii="宋体" w:cs="宋体"/>
                <w:kern w:val="0"/>
                <w:lang w:val="zh-CN"/>
              </w:rPr>
              <w:t>（讲授）</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kern w:val="0"/>
                <w:lang w:val="zh-CN"/>
              </w:rPr>
              <w:t>讲授</w:t>
            </w:r>
            <w:r>
              <w:rPr>
                <w:kern w:val="0"/>
              </w:rPr>
              <w:t>/</w:t>
            </w:r>
            <w:r>
              <w:rPr>
                <w:rFonts w:hint="eastAsia" w:ascii="宋体" w:cs="宋体"/>
                <w:kern w:val="0"/>
                <w:lang w:val="zh-CN"/>
              </w:rPr>
              <w:t>讨论</w:t>
            </w:r>
            <w:r>
              <w:rPr>
                <w:kern w:val="0"/>
              </w:rPr>
              <w:t>/</w:t>
            </w:r>
            <w:r>
              <w:rPr>
                <w:rFonts w:hint="eastAsia" w:ascii="宋体" w:cs="宋体"/>
                <w:kern w:val="0"/>
                <w:lang w:val="zh-CN"/>
              </w:rPr>
              <w:t>实例教学等</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kern w:val="0"/>
              </w:rPr>
            </w:pPr>
            <w:r>
              <w:rPr>
                <w:rFonts w:hint="eastAsia" w:ascii="宋体" w:cs="宋体"/>
                <w:b/>
                <w:bCs/>
                <w:kern w:val="0"/>
                <w:lang w:val="zh-CN"/>
              </w:rPr>
              <w:t>目标</w:t>
            </w:r>
            <w:r>
              <w:rPr>
                <w:b/>
                <w:bCs/>
                <w:kern w:val="0"/>
              </w:rPr>
              <w:t>1</w:t>
            </w:r>
          </w:p>
          <w:p>
            <w:pPr>
              <w:autoSpaceDE w:val="0"/>
              <w:autoSpaceDN w:val="0"/>
              <w:adjustRightInd w:val="0"/>
              <w:jc w:val="center"/>
              <w:rPr>
                <w:b/>
                <w:bCs/>
                <w:kern w:val="0"/>
              </w:rPr>
            </w:pPr>
            <w:r>
              <w:rPr>
                <w:rFonts w:hint="eastAsia" w:ascii="宋体" w:cs="宋体"/>
                <w:b/>
                <w:bCs/>
                <w:kern w:val="0"/>
                <w:lang w:val="zh-CN"/>
              </w:rPr>
              <w:t>目标</w:t>
            </w:r>
            <w:r>
              <w:rPr>
                <w:b/>
                <w:bCs/>
                <w:kern w:val="0"/>
              </w:rPr>
              <w:t>2</w:t>
            </w:r>
          </w:p>
          <w:p>
            <w:pPr>
              <w:autoSpaceDE w:val="0"/>
              <w:autoSpaceDN w:val="0"/>
              <w:adjustRightInd w:val="0"/>
              <w:jc w:val="center"/>
              <w:rPr>
                <w:rFonts w:ascii="宋体" w:cs="宋体"/>
                <w:kern w:val="0"/>
                <w:sz w:val="22"/>
                <w:szCs w:val="22"/>
                <w:lang w:val="zh-CN"/>
              </w:rPr>
            </w:pPr>
            <w:r>
              <w:rPr>
                <w:rFonts w:hint="eastAsia" w:ascii="宋体" w:cs="宋体"/>
                <w:b/>
                <w:bCs/>
                <w:kern w:val="0"/>
                <w:lang w:val="zh-CN"/>
              </w:rPr>
              <w:t>目标</w:t>
            </w:r>
            <w:r>
              <w:rPr>
                <w:b/>
                <w:bCs/>
                <w:kern w:val="0"/>
              </w:rPr>
              <w:t>3</w:t>
            </w:r>
          </w:p>
        </w:tc>
      </w:tr>
      <w:tr>
        <w:tblPrEx>
          <w:tblCellMar>
            <w:top w:w="0" w:type="dxa"/>
            <w:left w:w="108" w:type="dxa"/>
            <w:bottom w:w="0" w:type="dxa"/>
            <w:right w:w="108" w:type="dxa"/>
          </w:tblCellMar>
        </w:tblPrEx>
        <w:trPr>
          <w:trHeight w:val="454" w:hRule="atLeast"/>
          <w:jc w:val="center"/>
        </w:trPr>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kern w:val="0"/>
              </w:rPr>
              <w:t>7</w:t>
            </w:r>
          </w:p>
        </w:tc>
        <w:tc>
          <w:tcPr>
            <w:tcW w:w="344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b/>
                <w:bCs/>
                <w:kern w:val="0"/>
              </w:rPr>
            </w:pPr>
            <w:r>
              <w:rPr>
                <w:rFonts w:hint="eastAsia" w:ascii="宋体" w:cs="宋体"/>
                <w:b/>
                <w:bCs/>
                <w:kern w:val="0"/>
                <w:lang w:val="zh-CN"/>
              </w:rPr>
              <w:t>原子结构与元素周期性：</w:t>
            </w:r>
          </w:p>
          <w:p>
            <w:pPr>
              <w:autoSpaceDE w:val="0"/>
              <w:autoSpaceDN w:val="0"/>
              <w:adjustRightInd w:val="0"/>
              <w:rPr>
                <w:kern w:val="0"/>
              </w:rPr>
            </w:pPr>
            <w:r>
              <w:rPr>
                <w:rFonts w:hint="eastAsia" w:ascii="宋体" w:cs="宋体"/>
                <w:kern w:val="0"/>
                <w:lang w:val="zh-CN"/>
              </w:rPr>
              <w:t>（</w:t>
            </w:r>
            <w:r>
              <w:rPr>
                <w:kern w:val="0"/>
              </w:rPr>
              <w:t>1</w:t>
            </w:r>
            <w:r>
              <w:rPr>
                <w:rFonts w:hint="eastAsia" w:ascii="宋体" w:cs="宋体"/>
                <w:kern w:val="0"/>
                <w:lang w:val="zh-CN"/>
              </w:rPr>
              <w:t>）氢原子光谱、</w:t>
            </w:r>
            <w:r>
              <w:rPr>
                <w:kern w:val="0"/>
              </w:rPr>
              <w:t xml:space="preserve"> Bohr </w:t>
            </w:r>
            <w:r>
              <w:rPr>
                <w:rFonts w:hint="eastAsia" w:ascii="宋体" w:cs="宋体"/>
                <w:kern w:val="0"/>
                <w:lang w:val="zh-CN"/>
              </w:rPr>
              <w:t>原子结构理论，电子的波粒二象性、量子数和电子云等概念。</w:t>
            </w:r>
          </w:p>
          <w:p>
            <w:pPr>
              <w:autoSpaceDE w:val="0"/>
              <w:autoSpaceDN w:val="0"/>
              <w:adjustRightInd w:val="0"/>
              <w:rPr>
                <w:kern w:val="0"/>
              </w:rPr>
            </w:pPr>
            <w:r>
              <w:rPr>
                <w:rFonts w:hint="eastAsia" w:ascii="宋体" w:cs="宋体"/>
                <w:kern w:val="0"/>
                <w:lang w:val="zh-CN"/>
              </w:rPr>
              <w:t>（</w:t>
            </w:r>
            <w:r>
              <w:rPr>
                <w:kern w:val="0"/>
              </w:rPr>
              <w:t>2</w:t>
            </w:r>
            <w:r>
              <w:rPr>
                <w:rFonts w:hint="eastAsia" w:ascii="宋体" w:cs="宋体"/>
                <w:kern w:val="0"/>
                <w:lang w:val="zh-CN"/>
              </w:rPr>
              <w:t>）多电子原子轨道和近似能级图、核外电子排布的规律。常见元素原子的核外电子排布的书写。</w:t>
            </w:r>
          </w:p>
          <w:p>
            <w:pPr>
              <w:autoSpaceDE w:val="0"/>
              <w:autoSpaceDN w:val="0"/>
              <w:adjustRightInd w:val="0"/>
              <w:rPr>
                <w:kern w:val="0"/>
              </w:rPr>
            </w:pPr>
            <w:r>
              <w:rPr>
                <w:rFonts w:hint="eastAsia" w:ascii="宋体" w:cs="宋体"/>
                <w:kern w:val="0"/>
                <w:lang w:val="zh-CN"/>
              </w:rPr>
              <w:t>（</w:t>
            </w:r>
            <w:r>
              <w:rPr>
                <w:kern w:val="0"/>
              </w:rPr>
              <w:t>3</w:t>
            </w:r>
            <w:r>
              <w:rPr>
                <w:rFonts w:hint="eastAsia" w:ascii="宋体" w:cs="宋体"/>
                <w:kern w:val="0"/>
                <w:lang w:val="zh-CN"/>
              </w:rPr>
              <w:t>）周期表中元素的分区、结构特征。原子半径、电离能、电子亲和能和电负性的变化规律。</w:t>
            </w:r>
          </w:p>
          <w:p>
            <w:pPr>
              <w:autoSpaceDE w:val="0"/>
              <w:autoSpaceDN w:val="0"/>
              <w:adjustRightInd w:val="0"/>
              <w:rPr>
                <w:kern w:val="0"/>
              </w:rPr>
            </w:pPr>
            <w:r>
              <w:rPr>
                <w:kern w:val="0"/>
              </w:rPr>
              <w:t>2.</w:t>
            </w:r>
            <w:r>
              <w:rPr>
                <w:rFonts w:hint="eastAsia" w:ascii="宋体" w:cs="宋体"/>
                <w:kern w:val="0"/>
                <w:lang w:val="zh-CN"/>
              </w:rPr>
              <w:t>基本要求</w:t>
            </w:r>
          </w:p>
          <w:p>
            <w:pPr>
              <w:autoSpaceDE w:val="0"/>
              <w:autoSpaceDN w:val="0"/>
              <w:adjustRightInd w:val="0"/>
              <w:rPr>
                <w:kern w:val="0"/>
              </w:rPr>
            </w:pPr>
            <w:r>
              <w:rPr>
                <w:rFonts w:hint="eastAsia" w:ascii="宋体" w:cs="宋体"/>
                <w:kern w:val="0"/>
                <w:lang w:val="zh-CN"/>
              </w:rPr>
              <w:t>（</w:t>
            </w:r>
            <w:r>
              <w:rPr>
                <w:kern w:val="0"/>
              </w:rPr>
              <w:t>1</w:t>
            </w:r>
            <w:r>
              <w:rPr>
                <w:rFonts w:hint="eastAsia" w:ascii="宋体" w:cs="宋体"/>
                <w:kern w:val="0"/>
                <w:lang w:val="zh-CN"/>
              </w:rPr>
              <w:t>）了解原子结构理论的发展过程，体会实验与理论发展的关系。</w:t>
            </w:r>
          </w:p>
          <w:p>
            <w:pPr>
              <w:autoSpaceDE w:val="0"/>
              <w:autoSpaceDN w:val="0"/>
              <w:adjustRightInd w:val="0"/>
              <w:rPr>
                <w:kern w:val="0"/>
              </w:rPr>
            </w:pPr>
            <w:r>
              <w:rPr>
                <w:rFonts w:hint="eastAsia" w:ascii="宋体" w:cs="宋体"/>
                <w:kern w:val="0"/>
                <w:lang w:val="zh-CN"/>
              </w:rPr>
              <w:t>（</w:t>
            </w:r>
            <w:r>
              <w:rPr>
                <w:kern w:val="0"/>
              </w:rPr>
              <w:t>2</w:t>
            </w:r>
            <w:r>
              <w:rPr>
                <w:rFonts w:hint="eastAsia" w:ascii="宋体" w:cs="宋体"/>
                <w:kern w:val="0"/>
                <w:lang w:val="zh-CN"/>
              </w:rPr>
              <w:t>）理解波尔原子结构模型和现代原子结构理论。</w:t>
            </w:r>
          </w:p>
          <w:p>
            <w:pPr>
              <w:autoSpaceDE w:val="0"/>
              <w:autoSpaceDN w:val="0"/>
              <w:adjustRightInd w:val="0"/>
              <w:rPr>
                <w:kern w:val="0"/>
              </w:rPr>
            </w:pPr>
            <w:r>
              <w:rPr>
                <w:rFonts w:hint="eastAsia" w:ascii="宋体" w:cs="宋体"/>
                <w:kern w:val="0"/>
                <w:lang w:val="zh-CN"/>
              </w:rPr>
              <w:t>（</w:t>
            </w:r>
            <w:r>
              <w:rPr>
                <w:kern w:val="0"/>
              </w:rPr>
              <w:t>3</w:t>
            </w:r>
            <w:r>
              <w:rPr>
                <w:rFonts w:hint="eastAsia" w:ascii="宋体" w:cs="宋体"/>
                <w:kern w:val="0"/>
                <w:lang w:val="zh-CN"/>
              </w:rPr>
              <w:t>）掌握核外电子的运动状态，掌握核外电子排布规律。</w:t>
            </w:r>
          </w:p>
          <w:p>
            <w:pPr>
              <w:autoSpaceDE w:val="0"/>
              <w:autoSpaceDN w:val="0"/>
              <w:adjustRightInd w:val="0"/>
              <w:rPr>
                <w:kern w:val="0"/>
              </w:rPr>
            </w:pPr>
            <w:r>
              <w:rPr>
                <w:rFonts w:hint="eastAsia" w:ascii="宋体" w:cs="宋体"/>
                <w:kern w:val="0"/>
                <w:lang w:val="zh-CN"/>
              </w:rPr>
              <w:t>（</w:t>
            </w:r>
            <w:r>
              <w:rPr>
                <w:kern w:val="0"/>
              </w:rPr>
              <w:t>4</w:t>
            </w:r>
            <w:r>
              <w:rPr>
                <w:rFonts w:hint="eastAsia" w:ascii="宋体" w:cs="宋体"/>
                <w:kern w:val="0"/>
                <w:lang w:val="zh-CN"/>
              </w:rPr>
              <w:t>）掌握元素性质的周期性变化规律。</w:t>
            </w:r>
          </w:p>
          <w:p>
            <w:pPr>
              <w:autoSpaceDE w:val="0"/>
              <w:autoSpaceDN w:val="0"/>
              <w:adjustRightInd w:val="0"/>
              <w:rPr>
                <w:rFonts w:ascii="宋体" w:cs="宋体"/>
                <w:kern w:val="0"/>
                <w:sz w:val="22"/>
                <w:szCs w:val="22"/>
                <w:lang w:val="zh-CN"/>
              </w:rPr>
            </w:pPr>
            <w:r>
              <w:rPr>
                <w:rFonts w:hint="eastAsia" w:ascii="宋体" w:cs="宋体"/>
                <w:b/>
                <w:bCs/>
                <w:kern w:val="0"/>
                <w:lang w:val="zh-CN"/>
              </w:rPr>
              <w:t>重点和难点：</w:t>
            </w:r>
            <w:r>
              <w:rPr>
                <w:rFonts w:hint="eastAsia" w:ascii="宋体" w:cs="宋体"/>
                <w:kern w:val="0"/>
                <w:lang w:val="zh-CN"/>
              </w:rPr>
              <w:t>理解波尔原子结构模型和现代原子结构理论；掌握核外电子的运动状态，掌握核外电子排布规律；掌握元素性质的周期性变化规律。</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kern w:val="0"/>
                <w:lang w:val="zh-CN"/>
              </w:rPr>
              <w:t>正确的学习方法及问题思考，培养学生具备职业道德和敬业精神。</w:t>
            </w: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kern w:val="0"/>
              </w:rPr>
            </w:pPr>
            <w:r>
              <w:rPr>
                <w:rFonts w:hint="eastAsia" w:ascii="宋体" w:cs="宋体"/>
                <w:kern w:val="0"/>
                <w:lang w:val="zh-CN"/>
              </w:rPr>
              <w:t>（</w:t>
            </w:r>
            <w:r>
              <w:rPr>
                <w:kern w:val="0"/>
              </w:rPr>
              <w:t>1</w:t>
            </w:r>
            <w:r>
              <w:rPr>
                <w:rFonts w:hint="eastAsia" w:ascii="宋体" w:cs="宋体"/>
                <w:kern w:val="0"/>
                <w:lang w:val="zh-CN"/>
              </w:rPr>
              <w:t>）了解原子结构理论的发展过程，体会实验与理论发展的关系。</w:t>
            </w:r>
          </w:p>
          <w:p>
            <w:pPr>
              <w:autoSpaceDE w:val="0"/>
              <w:autoSpaceDN w:val="0"/>
              <w:adjustRightInd w:val="0"/>
              <w:rPr>
                <w:kern w:val="0"/>
              </w:rPr>
            </w:pPr>
            <w:r>
              <w:rPr>
                <w:rFonts w:hint="eastAsia" w:ascii="宋体" w:cs="宋体"/>
                <w:kern w:val="0"/>
                <w:lang w:val="zh-CN"/>
              </w:rPr>
              <w:t>（</w:t>
            </w:r>
            <w:r>
              <w:rPr>
                <w:kern w:val="0"/>
              </w:rPr>
              <w:t>2</w:t>
            </w:r>
            <w:r>
              <w:rPr>
                <w:rFonts w:hint="eastAsia" w:ascii="宋体" w:cs="宋体"/>
                <w:kern w:val="0"/>
                <w:lang w:val="zh-CN"/>
              </w:rPr>
              <w:t>）理解波尔原子结构模型和现代原子结构理论。</w:t>
            </w:r>
          </w:p>
          <w:p>
            <w:pPr>
              <w:autoSpaceDE w:val="0"/>
              <w:autoSpaceDN w:val="0"/>
              <w:adjustRightInd w:val="0"/>
              <w:rPr>
                <w:kern w:val="0"/>
              </w:rPr>
            </w:pPr>
            <w:r>
              <w:rPr>
                <w:rFonts w:hint="eastAsia" w:ascii="宋体" w:cs="宋体"/>
                <w:kern w:val="0"/>
                <w:lang w:val="zh-CN"/>
              </w:rPr>
              <w:t>（</w:t>
            </w:r>
            <w:r>
              <w:rPr>
                <w:kern w:val="0"/>
              </w:rPr>
              <w:t>3</w:t>
            </w:r>
            <w:r>
              <w:rPr>
                <w:rFonts w:hint="eastAsia" w:ascii="宋体" w:cs="宋体"/>
                <w:kern w:val="0"/>
                <w:lang w:val="zh-CN"/>
              </w:rPr>
              <w:t>）掌握核外电子的运动状态，掌握核外电子排布规律。</w:t>
            </w:r>
          </w:p>
          <w:p>
            <w:pPr>
              <w:autoSpaceDE w:val="0"/>
              <w:autoSpaceDN w:val="0"/>
              <w:adjustRightInd w:val="0"/>
              <w:rPr>
                <w:rFonts w:ascii="宋体" w:cs="宋体"/>
                <w:kern w:val="0"/>
                <w:sz w:val="22"/>
                <w:szCs w:val="22"/>
                <w:lang w:val="zh-CN"/>
              </w:rPr>
            </w:pPr>
            <w:r>
              <w:rPr>
                <w:rFonts w:hint="eastAsia" w:ascii="宋体" w:cs="宋体"/>
                <w:kern w:val="0"/>
                <w:lang w:val="zh-CN"/>
              </w:rPr>
              <w:t>（</w:t>
            </w:r>
            <w:r>
              <w:rPr>
                <w:kern w:val="0"/>
              </w:rPr>
              <w:t>4</w:t>
            </w:r>
            <w:r>
              <w:rPr>
                <w:rFonts w:hint="eastAsia" w:ascii="宋体" w:cs="宋体"/>
                <w:kern w:val="0"/>
                <w:lang w:val="zh-CN"/>
              </w:rPr>
              <w:t>）掌握元素性质的周期性变化规律。</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12" w:lineRule="atLeast"/>
              <w:jc w:val="center"/>
              <w:rPr>
                <w:rFonts w:ascii="宋体" w:cs="宋体"/>
                <w:kern w:val="0"/>
                <w:sz w:val="22"/>
                <w:szCs w:val="22"/>
                <w:lang w:val="zh-CN"/>
              </w:rPr>
            </w:pPr>
            <w:r>
              <w:rPr>
                <w:kern w:val="0"/>
              </w:rPr>
              <w:t>6</w:t>
            </w:r>
            <w:r>
              <w:rPr>
                <w:rFonts w:hint="eastAsia" w:ascii="宋体" w:cs="宋体"/>
                <w:kern w:val="0"/>
                <w:lang w:val="zh-CN"/>
              </w:rPr>
              <w:t>（讲授）</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kern w:val="0"/>
                <w:lang w:val="zh-CN"/>
              </w:rPr>
              <w:t>讲授</w:t>
            </w:r>
            <w:r>
              <w:rPr>
                <w:kern w:val="0"/>
              </w:rPr>
              <w:t>/</w:t>
            </w:r>
            <w:r>
              <w:rPr>
                <w:rFonts w:hint="eastAsia" w:ascii="宋体" w:cs="宋体"/>
                <w:kern w:val="0"/>
                <w:lang w:val="zh-CN"/>
              </w:rPr>
              <w:t>讨论</w:t>
            </w:r>
            <w:r>
              <w:rPr>
                <w:kern w:val="0"/>
              </w:rPr>
              <w:t>/</w:t>
            </w:r>
            <w:r>
              <w:rPr>
                <w:rFonts w:hint="eastAsia" w:ascii="宋体" w:cs="宋体"/>
                <w:kern w:val="0"/>
                <w:lang w:val="zh-CN"/>
              </w:rPr>
              <w:t>实例教学等</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kern w:val="0"/>
              </w:rPr>
            </w:pPr>
            <w:r>
              <w:rPr>
                <w:rFonts w:hint="eastAsia" w:ascii="宋体" w:cs="宋体"/>
                <w:b/>
                <w:bCs/>
                <w:kern w:val="0"/>
                <w:lang w:val="zh-CN"/>
              </w:rPr>
              <w:t>目标</w:t>
            </w:r>
            <w:r>
              <w:rPr>
                <w:b/>
                <w:bCs/>
                <w:kern w:val="0"/>
              </w:rPr>
              <w:t>1</w:t>
            </w:r>
          </w:p>
          <w:p>
            <w:pPr>
              <w:autoSpaceDE w:val="0"/>
              <w:autoSpaceDN w:val="0"/>
              <w:adjustRightInd w:val="0"/>
              <w:jc w:val="center"/>
              <w:rPr>
                <w:b/>
                <w:bCs/>
                <w:kern w:val="0"/>
              </w:rPr>
            </w:pPr>
            <w:r>
              <w:rPr>
                <w:rFonts w:hint="eastAsia" w:ascii="宋体" w:cs="宋体"/>
                <w:b/>
                <w:bCs/>
                <w:kern w:val="0"/>
                <w:lang w:val="zh-CN"/>
              </w:rPr>
              <w:t>目标</w:t>
            </w:r>
            <w:r>
              <w:rPr>
                <w:b/>
                <w:bCs/>
                <w:kern w:val="0"/>
              </w:rPr>
              <w:t>2</w:t>
            </w:r>
          </w:p>
          <w:p>
            <w:pPr>
              <w:autoSpaceDE w:val="0"/>
              <w:autoSpaceDN w:val="0"/>
              <w:adjustRightInd w:val="0"/>
              <w:jc w:val="center"/>
              <w:rPr>
                <w:rFonts w:ascii="宋体" w:cs="宋体"/>
                <w:kern w:val="0"/>
                <w:sz w:val="22"/>
                <w:szCs w:val="22"/>
                <w:lang w:val="zh-CN"/>
              </w:rPr>
            </w:pPr>
            <w:r>
              <w:rPr>
                <w:rFonts w:hint="eastAsia" w:ascii="宋体" w:cs="宋体"/>
                <w:b/>
                <w:bCs/>
                <w:kern w:val="0"/>
                <w:lang w:val="zh-CN"/>
              </w:rPr>
              <w:t>目标</w:t>
            </w:r>
            <w:r>
              <w:rPr>
                <w:b/>
                <w:bCs/>
                <w:kern w:val="0"/>
              </w:rPr>
              <w:t>3</w:t>
            </w:r>
          </w:p>
        </w:tc>
      </w:tr>
      <w:tr>
        <w:tblPrEx>
          <w:tblCellMar>
            <w:top w:w="0" w:type="dxa"/>
            <w:left w:w="108" w:type="dxa"/>
            <w:bottom w:w="0" w:type="dxa"/>
            <w:right w:w="108" w:type="dxa"/>
          </w:tblCellMar>
        </w:tblPrEx>
        <w:trPr>
          <w:trHeight w:val="454" w:hRule="atLeast"/>
          <w:jc w:val="center"/>
        </w:trPr>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kern w:val="0"/>
              </w:rPr>
              <w:t>8</w:t>
            </w:r>
          </w:p>
        </w:tc>
        <w:tc>
          <w:tcPr>
            <w:tcW w:w="344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b/>
                <w:bCs/>
                <w:kern w:val="0"/>
              </w:rPr>
            </w:pPr>
            <w:r>
              <w:rPr>
                <w:rFonts w:hint="eastAsia" w:ascii="宋体" w:cs="宋体"/>
                <w:b/>
                <w:bCs/>
                <w:kern w:val="0"/>
                <w:lang w:val="zh-CN"/>
              </w:rPr>
              <w:t>化学键理论</w:t>
            </w:r>
            <w:r>
              <w:rPr>
                <w:rFonts w:ascii="宋体" w:cs="宋体"/>
                <w:b/>
                <w:bCs/>
                <w:kern w:val="0"/>
                <w:lang w:val="zh-CN"/>
              </w:rPr>
              <w:t>——</w:t>
            </w:r>
            <w:r>
              <w:rPr>
                <w:rFonts w:hint="eastAsia" w:ascii="宋体" w:cs="宋体"/>
                <w:b/>
                <w:bCs/>
                <w:kern w:val="0"/>
                <w:lang w:val="zh-CN"/>
              </w:rPr>
              <w:t>分子结构与晶体结构：</w:t>
            </w:r>
          </w:p>
          <w:p>
            <w:pPr>
              <w:autoSpaceDE w:val="0"/>
              <w:autoSpaceDN w:val="0"/>
              <w:adjustRightInd w:val="0"/>
              <w:rPr>
                <w:kern w:val="0"/>
              </w:rPr>
            </w:pPr>
            <w:r>
              <w:rPr>
                <w:rFonts w:hint="eastAsia" w:ascii="宋体" w:cs="宋体"/>
                <w:kern w:val="0"/>
                <w:lang w:val="zh-CN"/>
              </w:rPr>
              <w:t>（</w:t>
            </w:r>
            <w:r>
              <w:rPr>
                <w:kern w:val="0"/>
              </w:rPr>
              <w:t>1</w:t>
            </w:r>
            <w:r>
              <w:rPr>
                <w:rFonts w:hint="eastAsia" w:ascii="宋体" w:cs="宋体"/>
                <w:kern w:val="0"/>
                <w:lang w:val="zh-CN"/>
              </w:rPr>
              <w:t>）化学键的分类，价键理论的基本要点、共价键的特征和类型。键能、键长、键角等概念。</w:t>
            </w:r>
          </w:p>
          <w:p>
            <w:pPr>
              <w:autoSpaceDE w:val="0"/>
              <w:autoSpaceDN w:val="0"/>
              <w:adjustRightInd w:val="0"/>
              <w:rPr>
                <w:kern w:val="0"/>
              </w:rPr>
            </w:pPr>
            <w:r>
              <w:rPr>
                <w:rFonts w:hint="eastAsia" w:ascii="宋体" w:cs="宋体"/>
                <w:kern w:val="0"/>
                <w:lang w:val="zh-CN"/>
              </w:rPr>
              <w:t>（</w:t>
            </w:r>
            <w:r>
              <w:rPr>
                <w:kern w:val="0"/>
              </w:rPr>
              <w:t>2</w:t>
            </w:r>
            <w:r>
              <w:rPr>
                <w:rFonts w:hint="eastAsia" w:ascii="宋体" w:cs="宋体"/>
                <w:kern w:val="0"/>
                <w:lang w:val="zh-CN"/>
              </w:rPr>
              <w:t>）杂化轨道理论的概念、类型，会用杂化轨道理论解释简单分子和离子的几何构型。</w:t>
            </w:r>
          </w:p>
          <w:p>
            <w:pPr>
              <w:autoSpaceDE w:val="0"/>
              <w:autoSpaceDN w:val="0"/>
              <w:adjustRightInd w:val="0"/>
              <w:rPr>
                <w:kern w:val="0"/>
              </w:rPr>
            </w:pPr>
            <w:r>
              <w:rPr>
                <w:rFonts w:hint="eastAsia" w:ascii="宋体" w:cs="宋体"/>
                <w:kern w:val="0"/>
                <w:lang w:val="zh-CN"/>
              </w:rPr>
              <w:t>（</w:t>
            </w:r>
            <w:r>
              <w:rPr>
                <w:kern w:val="0"/>
              </w:rPr>
              <w:t>3</w:t>
            </w:r>
            <w:r>
              <w:rPr>
                <w:rFonts w:hint="eastAsia" w:ascii="宋体" w:cs="宋体"/>
                <w:kern w:val="0"/>
                <w:lang w:val="zh-CN"/>
              </w:rPr>
              <w:t>）分子轨道的概念、第二周期同核双原子分子的能级图和电子在分子轨道中的分布，推测其磁性和稳定性。</w:t>
            </w:r>
          </w:p>
          <w:p>
            <w:pPr>
              <w:autoSpaceDE w:val="0"/>
              <w:autoSpaceDN w:val="0"/>
              <w:adjustRightInd w:val="0"/>
              <w:rPr>
                <w:kern w:val="0"/>
              </w:rPr>
            </w:pPr>
            <w:r>
              <w:rPr>
                <w:rFonts w:hint="eastAsia" w:ascii="宋体" w:cs="宋体"/>
                <w:kern w:val="0"/>
                <w:lang w:val="zh-CN"/>
              </w:rPr>
              <w:t>（</w:t>
            </w:r>
            <w:r>
              <w:rPr>
                <w:kern w:val="0"/>
              </w:rPr>
              <w:t>4</w:t>
            </w:r>
            <w:r>
              <w:rPr>
                <w:rFonts w:hint="eastAsia" w:ascii="宋体" w:cs="宋体"/>
                <w:kern w:val="0"/>
                <w:lang w:val="zh-CN"/>
              </w:rPr>
              <w:t>）离子键、氢键。</w:t>
            </w:r>
          </w:p>
          <w:p>
            <w:pPr>
              <w:autoSpaceDE w:val="0"/>
              <w:autoSpaceDN w:val="0"/>
              <w:adjustRightInd w:val="0"/>
              <w:rPr>
                <w:kern w:val="0"/>
              </w:rPr>
            </w:pPr>
            <w:r>
              <w:rPr>
                <w:rFonts w:hint="eastAsia" w:ascii="宋体" w:cs="宋体"/>
                <w:kern w:val="0"/>
                <w:lang w:val="zh-CN"/>
              </w:rPr>
              <w:t>（</w:t>
            </w:r>
            <w:r>
              <w:rPr>
                <w:kern w:val="0"/>
              </w:rPr>
              <w:t>5</w:t>
            </w:r>
            <w:r>
              <w:rPr>
                <w:rFonts w:hint="eastAsia" w:ascii="宋体" w:cs="宋体"/>
                <w:kern w:val="0"/>
                <w:lang w:val="zh-CN"/>
              </w:rPr>
              <w:t>）晶体的结构及其与物理性质的关系。离子极化。</w:t>
            </w:r>
          </w:p>
          <w:p>
            <w:pPr>
              <w:autoSpaceDE w:val="0"/>
              <w:autoSpaceDN w:val="0"/>
              <w:adjustRightInd w:val="0"/>
              <w:rPr>
                <w:rFonts w:ascii="宋体" w:cs="宋体"/>
                <w:kern w:val="0"/>
                <w:sz w:val="22"/>
                <w:szCs w:val="22"/>
                <w:lang w:val="zh-CN"/>
              </w:rPr>
            </w:pPr>
            <w:r>
              <w:rPr>
                <w:rFonts w:hint="eastAsia" w:ascii="宋体" w:cs="宋体"/>
                <w:b/>
                <w:bCs/>
                <w:kern w:val="0"/>
                <w:lang w:val="zh-CN"/>
              </w:rPr>
              <w:t>重点和难点：</w:t>
            </w:r>
            <w:r>
              <w:rPr>
                <w:rFonts w:hint="eastAsia" w:ascii="宋体" w:cs="宋体"/>
                <w:kern w:val="0"/>
                <w:lang w:val="zh-CN"/>
              </w:rPr>
              <w:t>掌握现代价键理论、杂化轨道理论，并用相关理论讨论分子成键；理解分子轨道理论基本原理，能用分子轨道理论解决简单体系的成键。</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kern w:val="0"/>
                <w:lang w:val="zh-CN"/>
              </w:rPr>
              <w:t>正确的学习方法及问题思考，培养学生具备职业道德和敬业精神。</w:t>
            </w: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kern w:val="0"/>
              </w:rPr>
            </w:pPr>
            <w:r>
              <w:rPr>
                <w:rFonts w:hint="eastAsia" w:ascii="宋体" w:cs="宋体"/>
                <w:kern w:val="0"/>
                <w:lang w:val="zh-CN"/>
              </w:rPr>
              <w:t>（</w:t>
            </w:r>
            <w:r>
              <w:rPr>
                <w:kern w:val="0"/>
              </w:rPr>
              <w:t>1</w:t>
            </w:r>
            <w:r>
              <w:rPr>
                <w:rFonts w:hint="eastAsia" w:ascii="宋体" w:cs="宋体"/>
                <w:kern w:val="0"/>
                <w:lang w:val="zh-CN"/>
              </w:rPr>
              <w:t>）了解化学键理论的发展过程和化学键的类型。</w:t>
            </w:r>
          </w:p>
          <w:p>
            <w:pPr>
              <w:autoSpaceDE w:val="0"/>
              <w:autoSpaceDN w:val="0"/>
              <w:adjustRightInd w:val="0"/>
              <w:rPr>
                <w:kern w:val="0"/>
              </w:rPr>
            </w:pPr>
            <w:r>
              <w:rPr>
                <w:rFonts w:hint="eastAsia" w:ascii="宋体" w:cs="宋体"/>
                <w:kern w:val="0"/>
                <w:lang w:val="zh-CN"/>
              </w:rPr>
              <w:t>（</w:t>
            </w:r>
            <w:r>
              <w:rPr>
                <w:kern w:val="0"/>
              </w:rPr>
              <w:t>2</w:t>
            </w:r>
            <w:r>
              <w:rPr>
                <w:rFonts w:hint="eastAsia" w:ascii="宋体" w:cs="宋体"/>
                <w:kern w:val="0"/>
                <w:lang w:val="zh-CN"/>
              </w:rPr>
              <w:t>）掌握现代价键理论、杂化轨道理论，并用相关理论讨论分子成键。</w:t>
            </w:r>
          </w:p>
          <w:p>
            <w:pPr>
              <w:autoSpaceDE w:val="0"/>
              <w:autoSpaceDN w:val="0"/>
              <w:adjustRightInd w:val="0"/>
              <w:rPr>
                <w:rFonts w:ascii="宋体" w:cs="宋体"/>
                <w:kern w:val="0"/>
                <w:sz w:val="22"/>
                <w:szCs w:val="22"/>
                <w:lang w:val="zh-CN"/>
              </w:rPr>
            </w:pPr>
            <w:r>
              <w:rPr>
                <w:rFonts w:hint="eastAsia" w:ascii="宋体" w:cs="宋体"/>
                <w:kern w:val="0"/>
                <w:lang w:val="zh-CN"/>
              </w:rPr>
              <w:t>（</w:t>
            </w:r>
            <w:r>
              <w:rPr>
                <w:kern w:val="0"/>
              </w:rPr>
              <w:t>3</w:t>
            </w:r>
            <w:r>
              <w:rPr>
                <w:rFonts w:hint="eastAsia" w:ascii="宋体" w:cs="宋体"/>
                <w:kern w:val="0"/>
                <w:lang w:val="zh-CN"/>
              </w:rPr>
              <w:t>）理解分子轨道理论基本原理，能用分子轨道理论解决简单体系的成键。</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12" w:lineRule="atLeast"/>
              <w:jc w:val="center"/>
              <w:rPr>
                <w:rFonts w:ascii="宋体" w:cs="宋体"/>
                <w:kern w:val="0"/>
                <w:sz w:val="22"/>
                <w:szCs w:val="22"/>
                <w:lang w:val="zh-CN"/>
              </w:rPr>
            </w:pPr>
            <w:r>
              <w:rPr>
                <w:kern w:val="0"/>
              </w:rPr>
              <w:t>6</w:t>
            </w:r>
            <w:r>
              <w:rPr>
                <w:rFonts w:hint="eastAsia" w:ascii="宋体" w:cs="宋体"/>
                <w:kern w:val="0"/>
                <w:lang w:val="zh-CN"/>
              </w:rPr>
              <w:t>（讲授）</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kern w:val="0"/>
                <w:lang w:val="zh-CN"/>
              </w:rPr>
              <w:t>讲授</w:t>
            </w:r>
            <w:r>
              <w:rPr>
                <w:kern w:val="0"/>
              </w:rPr>
              <w:t>/</w:t>
            </w:r>
            <w:r>
              <w:rPr>
                <w:rFonts w:hint="eastAsia" w:ascii="宋体" w:cs="宋体"/>
                <w:kern w:val="0"/>
                <w:lang w:val="zh-CN"/>
              </w:rPr>
              <w:t>讨论</w:t>
            </w:r>
            <w:r>
              <w:rPr>
                <w:kern w:val="0"/>
              </w:rPr>
              <w:t>/</w:t>
            </w:r>
            <w:r>
              <w:rPr>
                <w:rFonts w:hint="eastAsia" w:ascii="宋体" w:cs="宋体"/>
                <w:kern w:val="0"/>
                <w:lang w:val="zh-CN"/>
              </w:rPr>
              <w:t>实例教学等</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kern w:val="0"/>
              </w:rPr>
            </w:pPr>
            <w:r>
              <w:rPr>
                <w:rFonts w:hint="eastAsia" w:ascii="宋体" w:cs="宋体"/>
                <w:b/>
                <w:bCs/>
                <w:kern w:val="0"/>
                <w:lang w:val="zh-CN"/>
              </w:rPr>
              <w:t>目标</w:t>
            </w:r>
            <w:r>
              <w:rPr>
                <w:b/>
                <w:bCs/>
                <w:kern w:val="0"/>
              </w:rPr>
              <w:t>1</w:t>
            </w:r>
          </w:p>
          <w:p>
            <w:pPr>
              <w:autoSpaceDE w:val="0"/>
              <w:autoSpaceDN w:val="0"/>
              <w:adjustRightInd w:val="0"/>
              <w:jc w:val="center"/>
              <w:rPr>
                <w:b/>
                <w:bCs/>
                <w:kern w:val="0"/>
              </w:rPr>
            </w:pPr>
            <w:r>
              <w:rPr>
                <w:rFonts w:hint="eastAsia" w:ascii="宋体" w:cs="宋体"/>
                <w:b/>
                <w:bCs/>
                <w:kern w:val="0"/>
                <w:lang w:val="zh-CN"/>
              </w:rPr>
              <w:t>目标</w:t>
            </w:r>
            <w:r>
              <w:rPr>
                <w:b/>
                <w:bCs/>
                <w:kern w:val="0"/>
              </w:rPr>
              <w:t>2</w:t>
            </w:r>
          </w:p>
          <w:p>
            <w:pPr>
              <w:autoSpaceDE w:val="0"/>
              <w:autoSpaceDN w:val="0"/>
              <w:adjustRightInd w:val="0"/>
              <w:jc w:val="center"/>
              <w:rPr>
                <w:rFonts w:ascii="宋体" w:cs="宋体"/>
                <w:kern w:val="0"/>
                <w:sz w:val="22"/>
                <w:szCs w:val="22"/>
                <w:lang w:val="zh-CN"/>
              </w:rPr>
            </w:pPr>
            <w:r>
              <w:rPr>
                <w:rFonts w:hint="eastAsia" w:ascii="宋体" w:cs="宋体"/>
                <w:b/>
                <w:bCs/>
                <w:kern w:val="0"/>
                <w:lang w:val="zh-CN"/>
              </w:rPr>
              <w:t>目标</w:t>
            </w:r>
            <w:r>
              <w:rPr>
                <w:b/>
                <w:bCs/>
                <w:kern w:val="0"/>
              </w:rPr>
              <w:t>3</w:t>
            </w:r>
          </w:p>
        </w:tc>
      </w:tr>
      <w:tr>
        <w:tblPrEx>
          <w:tblCellMar>
            <w:top w:w="0" w:type="dxa"/>
            <w:left w:w="108" w:type="dxa"/>
            <w:bottom w:w="0" w:type="dxa"/>
            <w:right w:w="108" w:type="dxa"/>
          </w:tblCellMar>
        </w:tblPrEx>
        <w:trPr>
          <w:trHeight w:val="454" w:hRule="atLeast"/>
          <w:jc w:val="center"/>
        </w:trPr>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kern w:val="0"/>
              </w:rPr>
              <w:t>9</w:t>
            </w:r>
          </w:p>
        </w:tc>
        <w:tc>
          <w:tcPr>
            <w:tcW w:w="344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b/>
                <w:bCs/>
                <w:kern w:val="0"/>
              </w:rPr>
            </w:pPr>
            <w:r>
              <w:rPr>
                <w:rFonts w:hint="eastAsia" w:ascii="宋体" w:cs="宋体"/>
                <w:b/>
                <w:bCs/>
                <w:kern w:val="0"/>
                <w:lang w:val="zh-CN"/>
              </w:rPr>
              <w:t>配位化合物：</w:t>
            </w:r>
          </w:p>
          <w:p>
            <w:pPr>
              <w:autoSpaceDE w:val="0"/>
              <w:autoSpaceDN w:val="0"/>
              <w:adjustRightInd w:val="0"/>
              <w:rPr>
                <w:kern w:val="0"/>
              </w:rPr>
            </w:pPr>
            <w:r>
              <w:rPr>
                <w:rFonts w:hint="eastAsia" w:ascii="宋体" w:cs="宋体"/>
                <w:kern w:val="0"/>
                <w:lang w:val="zh-CN"/>
              </w:rPr>
              <w:t>（</w:t>
            </w:r>
            <w:r>
              <w:rPr>
                <w:kern w:val="0"/>
              </w:rPr>
              <w:t>1</w:t>
            </w:r>
            <w:r>
              <w:rPr>
                <w:rFonts w:hint="eastAsia" w:ascii="宋体" w:cs="宋体"/>
                <w:kern w:val="0"/>
                <w:lang w:val="zh-CN"/>
              </w:rPr>
              <w:t>）配位化合物的基本概念、组成、类型及命名。</w:t>
            </w:r>
          </w:p>
          <w:p>
            <w:pPr>
              <w:autoSpaceDE w:val="0"/>
              <w:autoSpaceDN w:val="0"/>
              <w:adjustRightInd w:val="0"/>
              <w:rPr>
                <w:kern w:val="0"/>
              </w:rPr>
            </w:pPr>
            <w:r>
              <w:rPr>
                <w:rFonts w:hint="eastAsia" w:ascii="宋体" w:cs="宋体"/>
                <w:kern w:val="0"/>
                <w:lang w:val="zh-CN"/>
              </w:rPr>
              <w:t>（</w:t>
            </w:r>
            <w:r>
              <w:rPr>
                <w:kern w:val="0"/>
              </w:rPr>
              <w:t>2</w:t>
            </w:r>
            <w:r>
              <w:rPr>
                <w:rFonts w:hint="eastAsia" w:ascii="宋体" w:cs="宋体"/>
                <w:kern w:val="0"/>
                <w:lang w:val="zh-CN"/>
              </w:rPr>
              <w:t>）配合物的空间构型及异构现象，配合物价键理论的基本要点、配合物的几何构型与中心离子杂化轨道的关系。内轨型、外轨型配合物的概念、中心离子价电子排布与配离子稳定性、磁性的关系。</w:t>
            </w:r>
          </w:p>
          <w:p>
            <w:pPr>
              <w:autoSpaceDE w:val="0"/>
              <w:autoSpaceDN w:val="0"/>
              <w:adjustRightInd w:val="0"/>
              <w:rPr>
                <w:kern w:val="0"/>
              </w:rPr>
            </w:pPr>
            <w:r>
              <w:rPr>
                <w:rFonts w:hint="eastAsia" w:ascii="宋体" w:cs="宋体"/>
                <w:kern w:val="0"/>
                <w:lang w:val="zh-CN"/>
              </w:rPr>
              <w:t>（</w:t>
            </w:r>
            <w:r>
              <w:rPr>
                <w:kern w:val="0"/>
              </w:rPr>
              <w:t>3</w:t>
            </w:r>
            <w:r>
              <w:rPr>
                <w:rFonts w:hint="eastAsia" w:ascii="宋体" w:cs="宋体"/>
                <w:kern w:val="0"/>
                <w:lang w:val="zh-CN"/>
              </w:rPr>
              <w:t>）配位平衡及其平衡常数，稳定常数的应用。掌握沉淀的配位溶解及其简单计算。</w:t>
            </w:r>
          </w:p>
          <w:p>
            <w:pPr>
              <w:autoSpaceDE w:val="0"/>
              <w:autoSpaceDN w:val="0"/>
              <w:adjustRightInd w:val="0"/>
              <w:rPr>
                <w:kern w:val="0"/>
              </w:rPr>
            </w:pPr>
            <w:r>
              <w:rPr>
                <w:rFonts w:hint="eastAsia" w:ascii="宋体" w:cs="宋体"/>
                <w:kern w:val="0"/>
                <w:lang w:val="zh-CN"/>
              </w:rPr>
              <w:t>（</w:t>
            </w:r>
            <w:r>
              <w:rPr>
                <w:kern w:val="0"/>
              </w:rPr>
              <w:t>4</w:t>
            </w:r>
            <w:r>
              <w:rPr>
                <w:rFonts w:hint="eastAsia" w:ascii="宋体" w:cs="宋体"/>
                <w:kern w:val="0"/>
                <w:lang w:val="zh-CN"/>
              </w:rPr>
              <w:t>）螯合物及配合物的应用、合成。</w:t>
            </w:r>
          </w:p>
          <w:p>
            <w:pPr>
              <w:autoSpaceDE w:val="0"/>
              <w:autoSpaceDN w:val="0"/>
              <w:adjustRightInd w:val="0"/>
              <w:rPr>
                <w:rFonts w:ascii="宋体" w:cs="宋体"/>
                <w:kern w:val="0"/>
                <w:sz w:val="22"/>
                <w:szCs w:val="22"/>
                <w:lang w:val="zh-CN"/>
              </w:rPr>
            </w:pPr>
            <w:r>
              <w:rPr>
                <w:rFonts w:hint="eastAsia" w:ascii="宋体" w:cs="宋体"/>
                <w:b/>
                <w:bCs/>
                <w:kern w:val="0"/>
                <w:lang w:val="zh-CN"/>
              </w:rPr>
              <w:t>重点和难点：</w:t>
            </w:r>
            <w:r>
              <w:rPr>
                <w:rFonts w:hint="eastAsia" w:ascii="宋体" w:cs="宋体"/>
                <w:kern w:val="0"/>
                <w:lang w:val="zh-CN"/>
              </w:rPr>
              <w:t>配位化学、配合物的基本概念；配合物价键理论，能用价键理论解释配合物的几何构型、磁性和稳定性；配位解离平衡常数的意义、应用，能用平衡移动原理处理多重平衡。</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kern w:val="0"/>
                <w:lang w:val="zh-CN"/>
              </w:rPr>
              <w:t>正确的学习方法及问题思考，培养学生具备职业道德和敬业精神。</w:t>
            </w: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kern w:val="0"/>
              </w:rPr>
            </w:pPr>
            <w:r>
              <w:rPr>
                <w:rFonts w:hint="eastAsia" w:ascii="宋体" w:cs="宋体"/>
                <w:kern w:val="0"/>
                <w:lang w:val="zh-CN"/>
              </w:rPr>
              <w:t>（</w:t>
            </w:r>
            <w:r>
              <w:rPr>
                <w:kern w:val="0"/>
              </w:rPr>
              <w:t>1</w:t>
            </w:r>
            <w:r>
              <w:rPr>
                <w:rFonts w:hint="eastAsia" w:ascii="宋体" w:cs="宋体"/>
                <w:kern w:val="0"/>
                <w:lang w:val="zh-CN"/>
              </w:rPr>
              <w:t>）熟悉配位化学、配合物的基本概念，了解影响配位数的因素。</w:t>
            </w:r>
          </w:p>
          <w:p>
            <w:pPr>
              <w:autoSpaceDE w:val="0"/>
              <w:autoSpaceDN w:val="0"/>
              <w:adjustRightInd w:val="0"/>
              <w:rPr>
                <w:kern w:val="0"/>
              </w:rPr>
            </w:pPr>
            <w:r>
              <w:rPr>
                <w:rFonts w:hint="eastAsia" w:ascii="宋体" w:cs="宋体"/>
                <w:kern w:val="0"/>
                <w:lang w:val="zh-CN"/>
              </w:rPr>
              <w:t>（</w:t>
            </w:r>
            <w:r>
              <w:rPr>
                <w:kern w:val="0"/>
              </w:rPr>
              <w:t>2</w:t>
            </w:r>
            <w:r>
              <w:rPr>
                <w:rFonts w:hint="eastAsia" w:ascii="宋体" w:cs="宋体"/>
                <w:kern w:val="0"/>
                <w:lang w:val="zh-CN"/>
              </w:rPr>
              <w:t>）掌握配合物价键理论，能用价键理论解释配合物的几何构型、磁性和稳定性。</w:t>
            </w:r>
          </w:p>
          <w:p>
            <w:pPr>
              <w:autoSpaceDE w:val="0"/>
              <w:autoSpaceDN w:val="0"/>
              <w:adjustRightInd w:val="0"/>
              <w:rPr>
                <w:kern w:val="0"/>
              </w:rPr>
            </w:pPr>
            <w:r>
              <w:rPr>
                <w:rFonts w:hint="eastAsia" w:ascii="宋体" w:cs="宋体"/>
                <w:kern w:val="0"/>
                <w:lang w:val="zh-CN"/>
              </w:rPr>
              <w:t>（</w:t>
            </w:r>
            <w:r>
              <w:rPr>
                <w:kern w:val="0"/>
              </w:rPr>
              <w:t>3</w:t>
            </w:r>
            <w:r>
              <w:rPr>
                <w:rFonts w:hint="eastAsia" w:ascii="宋体" w:cs="宋体"/>
                <w:kern w:val="0"/>
                <w:lang w:val="zh-CN"/>
              </w:rPr>
              <w:t>）掌握配位解离平衡常数的意义、应用，能用平衡移动原理处理多重平衡。</w:t>
            </w:r>
          </w:p>
          <w:p>
            <w:pPr>
              <w:autoSpaceDE w:val="0"/>
              <w:autoSpaceDN w:val="0"/>
              <w:adjustRightInd w:val="0"/>
              <w:rPr>
                <w:kern w:val="0"/>
              </w:rPr>
            </w:pPr>
            <w:r>
              <w:rPr>
                <w:rFonts w:hint="eastAsia" w:ascii="宋体" w:cs="宋体"/>
                <w:kern w:val="0"/>
                <w:lang w:val="zh-CN"/>
              </w:rPr>
              <w:t>（</w:t>
            </w:r>
            <w:r>
              <w:rPr>
                <w:kern w:val="0"/>
              </w:rPr>
              <w:t>4</w:t>
            </w:r>
            <w:r>
              <w:rPr>
                <w:rFonts w:hint="eastAsia" w:ascii="宋体" w:cs="宋体"/>
                <w:kern w:val="0"/>
                <w:lang w:val="zh-CN"/>
              </w:rPr>
              <w:t>）了解配合物的应用和配合物的制备方法。</w:t>
            </w:r>
          </w:p>
          <w:p>
            <w:pPr>
              <w:autoSpaceDE w:val="0"/>
              <w:autoSpaceDN w:val="0"/>
              <w:adjustRightInd w:val="0"/>
              <w:rPr>
                <w:rFonts w:ascii="宋体" w:cs="宋体"/>
                <w:kern w:val="0"/>
                <w:sz w:val="22"/>
                <w:szCs w:val="22"/>
                <w:lang w:val="zh-CN"/>
              </w:rPr>
            </w:pP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12" w:lineRule="atLeast"/>
              <w:jc w:val="center"/>
              <w:rPr>
                <w:rFonts w:ascii="宋体" w:cs="宋体"/>
                <w:kern w:val="0"/>
                <w:sz w:val="22"/>
                <w:szCs w:val="22"/>
                <w:lang w:val="zh-CN"/>
              </w:rPr>
            </w:pPr>
            <w:r>
              <w:rPr>
                <w:kern w:val="0"/>
              </w:rPr>
              <w:t>4</w:t>
            </w:r>
            <w:r>
              <w:rPr>
                <w:rFonts w:hint="eastAsia" w:ascii="宋体" w:cs="宋体"/>
                <w:kern w:val="0"/>
                <w:lang w:val="zh-CN"/>
              </w:rPr>
              <w:t>（讲授）</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kern w:val="0"/>
                <w:lang w:val="zh-CN"/>
              </w:rPr>
              <w:t>讲授</w:t>
            </w:r>
            <w:r>
              <w:rPr>
                <w:kern w:val="0"/>
              </w:rPr>
              <w:t>/</w:t>
            </w:r>
            <w:r>
              <w:rPr>
                <w:rFonts w:hint="eastAsia" w:ascii="宋体" w:cs="宋体"/>
                <w:kern w:val="0"/>
                <w:lang w:val="zh-CN"/>
              </w:rPr>
              <w:t>讨论</w:t>
            </w:r>
            <w:r>
              <w:rPr>
                <w:kern w:val="0"/>
              </w:rPr>
              <w:t>/</w:t>
            </w:r>
            <w:r>
              <w:rPr>
                <w:rFonts w:hint="eastAsia" w:ascii="宋体" w:cs="宋体"/>
                <w:kern w:val="0"/>
                <w:lang w:val="zh-CN"/>
              </w:rPr>
              <w:t>实例教学等</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kern w:val="0"/>
              </w:rPr>
            </w:pPr>
            <w:r>
              <w:rPr>
                <w:rFonts w:hint="eastAsia" w:ascii="宋体" w:cs="宋体"/>
                <w:b/>
                <w:bCs/>
                <w:kern w:val="0"/>
                <w:lang w:val="zh-CN"/>
              </w:rPr>
              <w:t>目标</w:t>
            </w:r>
            <w:r>
              <w:rPr>
                <w:b/>
                <w:bCs/>
                <w:kern w:val="0"/>
              </w:rPr>
              <w:t>1</w:t>
            </w:r>
          </w:p>
          <w:p>
            <w:pPr>
              <w:autoSpaceDE w:val="0"/>
              <w:autoSpaceDN w:val="0"/>
              <w:adjustRightInd w:val="0"/>
              <w:jc w:val="center"/>
              <w:rPr>
                <w:b/>
                <w:bCs/>
                <w:kern w:val="0"/>
              </w:rPr>
            </w:pPr>
            <w:r>
              <w:rPr>
                <w:rFonts w:hint="eastAsia" w:ascii="宋体" w:cs="宋体"/>
                <w:b/>
                <w:bCs/>
                <w:kern w:val="0"/>
                <w:lang w:val="zh-CN"/>
              </w:rPr>
              <w:t>目标</w:t>
            </w:r>
            <w:r>
              <w:rPr>
                <w:b/>
                <w:bCs/>
                <w:kern w:val="0"/>
              </w:rPr>
              <w:t>2</w:t>
            </w:r>
          </w:p>
          <w:p>
            <w:pPr>
              <w:autoSpaceDE w:val="0"/>
              <w:autoSpaceDN w:val="0"/>
              <w:adjustRightInd w:val="0"/>
              <w:jc w:val="center"/>
              <w:rPr>
                <w:rFonts w:ascii="宋体" w:cs="宋体"/>
                <w:kern w:val="0"/>
                <w:sz w:val="22"/>
                <w:szCs w:val="22"/>
                <w:lang w:val="zh-CN"/>
              </w:rPr>
            </w:pPr>
            <w:r>
              <w:rPr>
                <w:rFonts w:hint="eastAsia" w:ascii="宋体" w:cs="宋体"/>
                <w:b/>
                <w:bCs/>
                <w:kern w:val="0"/>
                <w:lang w:val="zh-CN"/>
              </w:rPr>
              <w:t>目标</w:t>
            </w:r>
            <w:r>
              <w:rPr>
                <w:b/>
                <w:bCs/>
                <w:kern w:val="0"/>
              </w:rPr>
              <w:t>3</w:t>
            </w:r>
          </w:p>
        </w:tc>
      </w:tr>
      <w:tr>
        <w:tblPrEx>
          <w:tblCellMar>
            <w:top w:w="0" w:type="dxa"/>
            <w:left w:w="108" w:type="dxa"/>
            <w:bottom w:w="0" w:type="dxa"/>
            <w:right w:w="108" w:type="dxa"/>
          </w:tblCellMar>
        </w:tblPrEx>
        <w:trPr>
          <w:trHeight w:val="454" w:hRule="atLeast"/>
          <w:jc w:val="center"/>
        </w:trPr>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kern w:val="0"/>
              </w:rPr>
              <w:t>10</w:t>
            </w:r>
          </w:p>
        </w:tc>
        <w:tc>
          <w:tcPr>
            <w:tcW w:w="344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b/>
                <w:bCs/>
                <w:kern w:val="0"/>
              </w:rPr>
            </w:pPr>
            <w:r>
              <w:rPr>
                <w:rFonts w:hint="eastAsia" w:ascii="宋体" w:cs="宋体"/>
                <w:b/>
                <w:bCs/>
                <w:kern w:val="0"/>
                <w:lang w:val="zh-CN"/>
              </w:rPr>
              <w:t>碱金属和碱土金属元素：</w:t>
            </w:r>
          </w:p>
          <w:p>
            <w:pPr>
              <w:autoSpaceDE w:val="0"/>
              <w:autoSpaceDN w:val="0"/>
              <w:adjustRightInd w:val="0"/>
              <w:rPr>
                <w:kern w:val="0"/>
              </w:rPr>
            </w:pPr>
            <w:r>
              <w:rPr>
                <w:rFonts w:hint="eastAsia" w:ascii="宋体" w:cs="宋体"/>
                <w:kern w:val="0"/>
                <w:lang w:val="zh-CN"/>
              </w:rPr>
              <w:t>（</w:t>
            </w:r>
            <w:r>
              <w:rPr>
                <w:kern w:val="0"/>
              </w:rPr>
              <w:t>1</w:t>
            </w:r>
            <w:r>
              <w:rPr>
                <w:rFonts w:hint="eastAsia" w:ascii="宋体" w:cs="宋体"/>
                <w:kern w:val="0"/>
                <w:lang w:val="zh-CN"/>
              </w:rPr>
              <w:t>）碱金属和碱土金属的通性、单质的重要物理性质、化学性质以及一般的制备方法。</w:t>
            </w:r>
          </w:p>
          <w:p>
            <w:pPr>
              <w:autoSpaceDE w:val="0"/>
              <w:autoSpaceDN w:val="0"/>
              <w:adjustRightInd w:val="0"/>
              <w:rPr>
                <w:kern w:val="0"/>
              </w:rPr>
            </w:pPr>
            <w:r>
              <w:rPr>
                <w:rFonts w:hint="eastAsia" w:ascii="宋体" w:cs="宋体"/>
                <w:kern w:val="0"/>
                <w:lang w:val="zh-CN"/>
              </w:rPr>
              <w:t>（</w:t>
            </w:r>
            <w:r>
              <w:rPr>
                <w:kern w:val="0"/>
              </w:rPr>
              <w:t>2</w:t>
            </w:r>
            <w:r>
              <w:rPr>
                <w:rFonts w:hint="eastAsia" w:ascii="宋体" w:cs="宋体"/>
                <w:kern w:val="0"/>
                <w:lang w:val="zh-CN"/>
              </w:rPr>
              <w:t>）碱金属和碱土金属的重要氧化物、过氧化物、超氧化物、氢氧化物的生成和基本性质。</w:t>
            </w:r>
          </w:p>
          <w:p>
            <w:pPr>
              <w:autoSpaceDE w:val="0"/>
              <w:autoSpaceDN w:val="0"/>
              <w:adjustRightInd w:val="0"/>
              <w:rPr>
                <w:kern w:val="0"/>
              </w:rPr>
            </w:pPr>
            <w:r>
              <w:rPr>
                <w:rFonts w:hint="eastAsia" w:ascii="宋体" w:cs="宋体"/>
                <w:kern w:val="0"/>
                <w:lang w:val="zh-CN"/>
              </w:rPr>
              <w:t>（</w:t>
            </w:r>
            <w:r>
              <w:rPr>
                <w:kern w:val="0"/>
              </w:rPr>
              <w:t>3</w:t>
            </w:r>
            <w:r>
              <w:rPr>
                <w:rFonts w:hint="eastAsia" w:ascii="宋体" w:cs="宋体"/>
                <w:kern w:val="0"/>
                <w:lang w:val="zh-CN"/>
              </w:rPr>
              <w:t>）碱金属和碱土金属盐类的基本性质和几种重要的盐。</w:t>
            </w:r>
          </w:p>
          <w:p>
            <w:pPr>
              <w:autoSpaceDE w:val="0"/>
              <w:autoSpaceDN w:val="0"/>
              <w:adjustRightInd w:val="0"/>
              <w:rPr>
                <w:rFonts w:ascii="宋体" w:cs="宋体"/>
                <w:kern w:val="0"/>
                <w:sz w:val="22"/>
                <w:szCs w:val="22"/>
                <w:lang w:val="zh-CN"/>
              </w:rPr>
            </w:pPr>
            <w:r>
              <w:rPr>
                <w:rFonts w:hint="eastAsia" w:ascii="宋体" w:cs="宋体"/>
                <w:b/>
                <w:bCs/>
                <w:kern w:val="0"/>
                <w:lang w:val="zh-CN"/>
              </w:rPr>
              <w:t>重点和难点：</w:t>
            </w:r>
            <w:r>
              <w:rPr>
                <w:kern w:val="0"/>
              </w:rPr>
              <w:t>s</w:t>
            </w:r>
            <w:r>
              <w:rPr>
                <w:rFonts w:hint="eastAsia" w:ascii="宋体" w:cs="宋体"/>
                <w:kern w:val="0"/>
                <w:lang w:val="zh-CN"/>
              </w:rPr>
              <w:t>区金属单质及重要化合物的物理、化学性质；元素的对角线规则。</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kern w:val="0"/>
                <w:lang w:val="zh-CN"/>
              </w:rPr>
              <w:t>正确的学习方法及问题思考，培养学生具备职业道德和敬业精神。</w:t>
            </w: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kern w:val="0"/>
              </w:rPr>
            </w:pPr>
            <w:r>
              <w:rPr>
                <w:rFonts w:hint="eastAsia" w:ascii="宋体" w:cs="宋体"/>
                <w:kern w:val="0"/>
                <w:lang w:val="zh-CN"/>
              </w:rPr>
              <w:t>（</w:t>
            </w:r>
            <w:r>
              <w:rPr>
                <w:kern w:val="0"/>
              </w:rPr>
              <w:t>1</w:t>
            </w:r>
            <w:r>
              <w:rPr>
                <w:rFonts w:hint="eastAsia" w:ascii="宋体" w:cs="宋体"/>
                <w:kern w:val="0"/>
                <w:lang w:val="zh-CN"/>
              </w:rPr>
              <w:t>）掌握</w:t>
            </w:r>
            <w:r>
              <w:rPr>
                <w:kern w:val="0"/>
              </w:rPr>
              <w:t>s</w:t>
            </w:r>
            <w:r>
              <w:rPr>
                <w:rFonts w:hint="eastAsia" w:ascii="宋体" w:cs="宋体"/>
                <w:kern w:val="0"/>
                <w:lang w:val="zh-CN"/>
              </w:rPr>
              <w:t>区金属单质及重要化合物的物理、化学性质。</w:t>
            </w:r>
          </w:p>
          <w:p>
            <w:pPr>
              <w:autoSpaceDE w:val="0"/>
              <w:autoSpaceDN w:val="0"/>
              <w:adjustRightInd w:val="0"/>
              <w:rPr>
                <w:rFonts w:ascii="宋体" w:cs="宋体"/>
                <w:kern w:val="0"/>
                <w:sz w:val="22"/>
                <w:szCs w:val="22"/>
                <w:lang w:val="zh-CN"/>
              </w:rPr>
            </w:pPr>
            <w:r>
              <w:rPr>
                <w:rFonts w:hint="eastAsia" w:ascii="宋体" w:cs="宋体"/>
                <w:kern w:val="0"/>
                <w:lang w:val="zh-CN"/>
              </w:rPr>
              <w:t>（</w:t>
            </w:r>
            <w:r>
              <w:rPr>
                <w:kern w:val="0"/>
              </w:rPr>
              <w:t>2</w:t>
            </w:r>
            <w:r>
              <w:rPr>
                <w:rFonts w:hint="eastAsia" w:ascii="宋体" w:cs="宋体"/>
                <w:kern w:val="0"/>
                <w:lang w:val="zh-CN"/>
              </w:rPr>
              <w:t>）掌握元素的对角线规则。</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12" w:lineRule="atLeast"/>
              <w:jc w:val="center"/>
              <w:rPr>
                <w:rFonts w:ascii="宋体" w:cs="宋体"/>
                <w:kern w:val="0"/>
                <w:sz w:val="22"/>
                <w:szCs w:val="22"/>
                <w:lang w:val="zh-CN"/>
              </w:rPr>
            </w:pPr>
            <w:r>
              <w:rPr>
                <w:kern w:val="0"/>
              </w:rPr>
              <w:t>4</w:t>
            </w:r>
            <w:r>
              <w:rPr>
                <w:rFonts w:hint="eastAsia" w:ascii="宋体" w:cs="宋体"/>
                <w:kern w:val="0"/>
                <w:lang w:val="zh-CN"/>
              </w:rPr>
              <w:t>（讲授）</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kern w:val="0"/>
                <w:lang w:val="zh-CN"/>
              </w:rPr>
              <w:t>讲授</w:t>
            </w:r>
            <w:r>
              <w:rPr>
                <w:kern w:val="0"/>
              </w:rPr>
              <w:t>/</w:t>
            </w:r>
            <w:r>
              <w:rPr>
                <w:rFonts w:hint="eastAsia" w:ascii="宋体" w:cs="宋体"/>
                <w:kern w:val="0"/>
                <w:lang w:val="zh-CN"/>
              </w:rPr>
              <w:t>讨论</w:t>
            </w:r>
            <w:r>
              <w:rPr>
                <w:kern w:val="0"/>
              </w:rPr>
              <w:t>/</w:t>
            </w:r>
            <w:r>
              <w:rPr>
                <w:rFonts w:hint="eastAsia" w:ascii="宋体" w:cs="宋体"/>
                <w:kern w:val="0"/>
                <w:lang w:val="zh-CN"/>
              </w:rPr>
              <w:t>实例教学等</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kern w:val="0"/>
              </w:rPr>
            </w:pPr>
            <w:r>
              <w:rPr>
                <w:rFonts w:hint="eastAsia" w:ascii="宋体" w:cs="宋体"/>
                <w:b/>
                <w:bCs/>
                <w:kern w:val="0"/>
                <w:lang w:val="zh-CN"/>
              </w:rPr>
              <w:t>目标</w:t>
            </w:r>
            <w:r>
              <w:rPr>
                <w:b/>
                <w:bCs/>
                <w:kern w:val="0"/>
              </w:rPr>
              <w:t>1</w:t>
            </w:r>
          </w:p>
          <w:p>
            <w:pPr>
              <w:autoSpaceDE w:val="0"/>
              <w:autoSpaceDN w:val="0"/>
              <w:adjustRightInd w:val="0"/>
              <w:jc w:val="center"/>
              <w:rPr>
                <w:b/>
                <w:bCs/>
                <w:kern w:val="0"/>
              </w:rPr>
            </w:pPr>
            <w:r>
              <w:rPr>
                <w:rFonts w:hint="eastAsia" w:ascii="宋体" w:cs="宋体"/>
                <w:b/>
                <w:bCs/>
                <w:kern w:val="0"/>
                <w:lang w:val="zh-CN"/>
              </w:rPr>
              <w:t>目标</w:t>
            </w:r>
            <w:r>
              <w:rPr>
                <w:b/>
                <w:bCs/>
                <w:kern w:val="0"/>
              </w:rPr>
              <w:t>2</w:t>
            </w:r>
          </w:p>
          <w:p>
            <w:pPr>
              <w:autoSpaceDE w:val="0"/>
              <w:autoSpaceDN w:val="0"/>
              <w:adjustRightInd w:val="0"/>
              <w:jc w:val="center"/>
              <w:rPr>
                <w:rFonts w:ascii="宋体" w:cs="宋体"/>
                <w:kern w:val="0"/>
                <w:sz w:val="22"/>
                <w:szCs w:val="22"/>
                <w:lang w:val="zh-CN"/>
              </w:rPr>
            </w:pPr>
            <w:r>
              <w:rPr>
                <w:rFonts w:hint="eastAsia" w:ascii="宋体" w:cs="宋体"/>
                <w:b/>
                <w:bCs/>
                <w:kern w:val="0"/>
                <w:lang w:val="zh-CN"/>
              </w:rPr>
              <w:t>目标</w:t>
            </w:r>
            <w:r>
              <w:rPr>
                <w:b/>
                <w:bCs/>
                <w:kern w:val="0"/>
              </w:rPr>
              <w:t>3</w:t>
            </w:r>
          </w:p>
        </w:tc>
      </w:tr>
      <w:tr>
        <w:tblPrEx>
          <w:tblCellMar>
            <w:top w:w="0" w:type="dxa"/>
            <w:left w:w="108" w:type="dxa"/>
            <w:bottom w:w="0" w:type="dxa"/>
            <w:right w:w="108" w:type="dxa"/>
          </w:tblCellMar>
        </w:tblPrEx>
        <w:trPr>
          <w:trHeight w:val="454" w:hRule="atLeast"/>
          <w:jc w:val="center"/>
        </w:trPr>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kern w:val="0"/>
              </w:rPr>
              <w:t>11</w:t>
            </w:r>
          </w:p>
        </w:tc>
        <w:tc>
          <w:tcPr>
            <w:tcW w:w="344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b/>
                <w:bCs/>
                <w:kern w:val="0"/>
              </w:rPr>
            </w:pPr>
            <w:r>
              <w:rPr>
                <w:rFonts w:hint="eastAsia" w:ascii="宋体" w:cs="宋体"/>
                <w:b/>
                <w:bCs/>
                <w:kern w:val="0"/>
                <w:lang w:val="zh-CN"/>
              </w:rPr>
              <w:t>硼族、碳族、氮族元素：</w:t>
            </w:r>
          </w:p>
          <w:p>
            <w:pPr>
              <w:autoSpaceDE w:val="0"/>
              <w:autoSpaceDN w:val="0"/>
              <w:adjustRightInd w:val="0"/>
              <w:rPr>
                <w:kern w:val="0"/>
              </w:rPr>
            </w:pPr>
            <w:r>
              <w:rPr>
                <w:rFonts w:hint="eastAsia" w:ascii="宋体" w:cs="宋体"/>
                <w:kern w:val="0"/>
                <w:lang w:val="zh-CN"/>
              </w:rPr>
              <w:t>（</w:t>
            </w:r>
            <w:r>
              <w:rPr>
                <w:kern w:val="0"/>
              </w:rPr>
              <w:t>1</w:t>
            </w:r>
            <w:r>
              <w:rPr>
                <w:rFonts w:hint="eastAsia" w:ascii="宋体" w:cs="宋体"/>
                <w:kern w:val="0"/>
                <w:lang w:val="zh-CN"/>
              </w:rPr>
              <w:t>）缺电子原子和缺电子化合物的概念。硼族元素的通性。乙硼烷的结构和重要性质。硼酸的晶体结构和性质、硼砂的结构和性质。</w:t>
            </w:r>
          </w:p>
          <w:p>
            <w:pPr>
              <w:autoSpaceDE w:val="0"/>
              <w:autoSpaceDN w:val="0"/>
              <w:adjustRightInd w:val="0"/>
              <w:rPr>
                <w:kern w:val="0"/>
              </w:rPr>
            </w:pPr>
            <w:r>
              <w:rPr>
                <w:rFonts w:hint="eastAsia" w:ascii="宋体" w:cs="宋体"/>
                <w:kern w:val="0"/>
                <w:lang w:val="zh-CN"/>
              </w:rPr>
              <w:t>（</w:t>
            </w:r>
            <w:r>
              <w:rPr>
                <w:kern w:val="0"/>
              </w:rPr>
              <w:t>2</w:t>
            </w:r>
            <w:r>
              <w:rPr>
                <w:rFonts w:hint="eastAsia" w:ascii="宋体" w:cs="宋体"/>
                <w:kern w:val="0"/>
                <w:lang w:val="zh-CN"/>
              </w:rPr>
              <w:t>）铝及其重要化合物的性质。</w:t>
            </w:r>
          </w:p>
          <w:p>
            <w:pPr>
              <w:autoSpaceDE w:val="0"/>
              <w:autoSpaceDN w:val="0"/>
              <w:adjustRightInd w:val="0"/>
              <w:rPr>
                <w:kern w:val="0"/>
              </w:rPr>
            </w:pPr>
            <w:r>
              <w:rPr>
                <w:rFonts w:hint="eastAsia" w:ascii="宋体" w:cs="宋体"/>
                <w:kern w:val="0"/>
                <w:lang w:val="zh-CN"/>
              </w:rPr>
              <w:t>（</w:t>
            </w:r>
            <w:r>
              <w:rPr>
                <w:kern w:val="0"/>
              </w:rPr>
              <w:t>3</w:t>
            </w:r>
            <w:r>
              <w:rPr>
                <w:rFonts w:hint="eastAsia" w:ascii="宋体" w:cs="宋体"/>
                <w:kern w:val="0"/>
                <w:lang w:val="zh-CN"/>
              </w:rPr>
              <w:t>）碳族元素的通性。碳单质的结构、二氧化碳、碳酸及其盐的重要性质。硅单质、二氧化硅、硅酸及其盐的重要性质、硅的卤化物。</w:t>
            </w:r>
          </w:p>
          <w:p>
            <w:pPr>
              <w:autoSpaceDE w:val="0"/>
              <w:autoSpaceDN w:val="0"/>
              <w:adjustRightInd w:val="0"/>
              <w:rPr>
                <w:kern w:val="0"/>
              </w:rPr>
            </w:pPr>
            <w:r>
              <w:rPr>
                <w:rFonts w:hint="eastAsia" w:ascii="宋体" w:cs="宋体"/>
                <w:kern w:val="0"/>
                <w:lang w:val="zh-CN"/>
              </w:rPr>
              <w:t>（</w:t>
            </w:r>
            <w:r>
              <w:rPr>
                <w:kern w:val="0"/>
              </w:rPr>
              <w:t>4</w:t>
            </w:r>
            <w:r>
              <w:rPr>
                <w:rFonts w:hint="eastAsia" w:ascii="宋体" w:cs="宋体"/>
                <w:kern w:val="0"/>
                <w:lang w:val="zh-CN"/>
              </w:rPr>
              <w:t>）锡、铅的氧化物；锡、铅氢氧化物的酸碱性及其变化规律。</w:t>
            </w:r>
            <w:r>
              <w:rPr>
                <w:kern w:val="0"/>
              </w:rPr>
              <w:t>Sn</w:t>
            </w:r>
            <w:r>
              <w:rPr>
                <w:rFonts w:hint="eastAsia" w:ascii="宋体" w:cs="宋体"/>
                <w:kern w:val="0"/>
                <w:lang w:val="zh-CN"/>
              </w:rPr>
              <w:t>（</w:t>
            </w:r>
            <w:r>
              <w:rPr>
                <w:kern w:val="0"/>
              </w:rPr>
              <w:t>II</w:t>
            </w:r>
            <w:r>
              <w:rPr>
                <w:rFonts w:hint="eastAsia" w:ascii="宋体" w:cs="宋体"/>
                <w:kern w:val="0"/>
                <w:lang w:val="zh-CN"/>
              </w:rPr>
              <w:t>）的还原性和</w:t>
            </w:r>
            <w:r>
              <w:rPr>
                <w:kern w:val="0"/>
              </w:rPr>
              <w:t>Pb</w:t>
            </w:r>
            <w:r>
              <w:rPr>
                <w:rFonts w:hint="eastAsia" w:ascii="宋体" w:cs="宋体"/>
                <w:kern w:val="0"/>
                <w:lang w:val="zh-CN"/>
              </w:rPr>
              <w:t>（</w:t>
            </w:r>
            <w:r>
              <w:rPr>
                <w:kern w:val="0"/>
              </w:rPr>
              <w:t>IV</w:t>
            </w:r>
            <w:r>
              <w:rPr>
                <w:rFonts w:hint="eastAsia" w:ascii="宋体" w:cs="宋体"/>
                <w:kern w:val="0"/>
                <w:lang w:val="zh-CN"/>
              </w:rPr>
              <w:t>）的氧化性。锡、铅硫化物的颜色、生成和溶解性。</w:t>
            </w:r>
          </w:p>
          <w:p>
            <w:pPr>
              <w:autoSpaceDE w:val="0"/>
              <w:autoSpaceDN w:val="0"/>
              <w:adjustRightInd w:val="0"/>
              <w:rPr>
                <w:kern w:val="0"/>
              </w:rPr>
            </w:pPr>
            <w:r>
              <w:rPr>
                <w:rFonts w:hint="eastAsia" w:ascii="宋体" w:cs="宋体"/>
                <w:kern w:val="0"/>
                <w:lang w:val="zh-CN"/>
              </w:rPr>
              <w:t>（</w:t>
            </w:r>
            <w:r>
              <w:rPr>
                <w:kern w:val="0"/>
              </w:rPr>
              <w:t>5</w:t>
            </w:r>
            <w:r>
              <w:rPr>
                <w:rFonts w:hint="eastAsia" w:ascii="宋体" w:cs="宋体"/>
                <w:kern w:val="0"/>
                <w:lang w:val="zh-CN"/>
              </w:rPr>
              <w:t>）氮族元素的性质、规律、通性。氮分子的结构和特殊稳定性。氨的结构和性质、铵盐的性质。</w:t>
            </w:r>
          </w:p>
          <w:p>
            <w:pPr>
              <w:autoSpaceDE w:val="0"/>
              <w:autoSpaceDN w:val="0"/>
              <w:adjustRightInd w:val="0"/>
              <w:rPr>
                <w:b/>
                <w:bCs/>
                <w:kern w:val="0"/>
              </w:rPr>
            </w:pPr>
            <w:r>
              <w:rPr>
                <w:rFonts w:hint="eastAsia" w:ascii="宋体" w:cs="宋体"/>
                <w:kern w:val="0"/>
                <w:lang w:val="zh-CN"/>
              </w:rPr>
              <w:t>（</w:t>
            </w:r>
            <w:r>
              <w:rPr>
                <w:kern w:val="0"/>
              </w:rPr>
              <w:t>6</w:t>
            </w:r>
            <w:r>
              <w:rPr>
                <w:rFonts w:hint="eastAsia" w:ascii="宋体" w:cs="宋体"/>
                <w:kern w:val="0"/>
                <w:lang w:val="zh-CN"/>
              </w:rPr>
              <w:t>）磷的结构和性质，磷酸及其盐的性质。砷、锑、铋氧化物及其水合物的酸碱性及其变化规律。</w:t>
            </w:r>
          </w:p>
          <w:p>
            <w:pPr>
              <w:autoSpaceDE w:val="0"/>
              <w:autoSpaceDN w:val="0"/>
              <w:adjustRightInd w:val="0"/>
              <w:rPr>
                <w:rFonts w:ascii="宋体" w:cs="宋体"/>
                <w:kern w:val="0"/>
                <w:sz w:val="22"/>
                <w:szCs w:val="22"/>
                <w:lang w:val="zh-CN"/>
              </w:rPr>
            </w:pPr>
            <w:r>
              <w:rPr>
                <w:rFonts w:hint="eastAsia" w:ascii="宋体" w:cs="宋体"/>
                <w:b/>
                <w:bCs/>
                <w:kern w:val="0"/>
                <w:lang w:val="zh-CN"/>
              </w:rPr>
              <w:t>重点和难点：</w:t>
            </w:r>
            <w:r>
              <w:rPr>
                <w:kern w:val="0"/>
              </w:rPr>
              <w:t>p</w:t>
            </w:r>
            <w:r>
              <w:rPr>
                <w:rFonts w:hint="eastAsia" w:ascii="宋体" w:cs="宋体"/>
                <w:kern w:val="0"/>
                <w:lang w:val="zh-CN"/>
              </w:rPr>
              <w:t>区元素单质及其重要化合物的性质及递变规律；理解结构理论在解释</w:t>
            </w:r>
            <w:r>
              <w:rPr>
                <w:kern w:val="0"/>
              </w:rPr>
              <w:t>p</w:t>
            </w:r>
            <w:r>
              <w:rPr>
                <w:rFonts w:hint="eastAsia" w:ascii="宋体" w:cs="宋体"/>
                <w:kern w:val="0"/>
                <w:lang w:val="zh-CN"/>
              </w:rPr>
              <w:t>区元素性质方面的应用。</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kern w:val="0"/>
                <w:lang w:val="zh-CN"/>
              </w:rPr>
              <w:t>正确的学习方法及问题思考，培养学生具备职业道德和敬业精神。</w:t>
            </w: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kern w:val="0"/>
              </w:rPr>
            </w:pPr>
            <w:r>
              <w:rPr>
                <w:rFonts w:hint="eastAsia" w:ascii="宋体" w:cs="宋体"/>
                <w:kern w:val="0"/>
                <w:lang w:val="zh-CN"/>
              </w:rPr>
              <w:t>（</w:t>
            </w:r>
            <w:r>
              <w:rPr>
                <w:kern w:val="0"/>
              </w:rPr>
              <w:t>1</w:t>
            </w:r>
            <w:r>
              <w:rPr>
                <w:rFonts w:hint="eastAsia" w:ascii="宋体" w:cs="宋体"/>
                <w:kern w:val="0"/>
                <w:lang w:val="zh-CN"/>
              </w:rPr>
              <w:t>）掌握</w:t>
            </w:r>
            <w:r>
              <w:rPr>
                <w:kern w:val="0"/>
              </w:rPr>
              <w:t>p</w:t>
            </w:r>
            <w:r>
              <w:rPr>
                <w:rFonts w:hint="eastAsia" w:ascii="宋体" w:cs="宋体"/>
                <w:kern w:val="0"/>
                <w:lang w:val="zh-CN"/>
              </w:rPr>
              <w:t>区元素单质及其重要化合物的性质及递变规律。</w:t>
            </w:r>
          </w:p>
          <w:p>
            <w:pPr>
              <w:autoSpaceDE w:val="0"/>
              <w:autoSpaceDN w:val="0"/>
              <w:adjustRightInd w:val="0"/>
              <w:rPr>
                <w:rFonts w:ascii="宋体" w:cs="宋体"/>
                <w:kern w:val="0"/>
                <w:sz w:val="22"/>
                <w:szCs w:val="22"/>
                <w:lang w:val="zh-CN"/>
              </w:rPr>
            </w:pPr>
            <w:r>
              <w:rPr>
                <w:rFonts w:hint="eastAsia" w:ascii="宋体" w:cs="宋体"/>
                <w:kern w:val="0"/>
                <w:lang w:val="zh-CN"/>
              </w:rPr>
              <w:t>（</w:t>
            </w:r>
            <w:r>
              <w:rPr>
                <w:kern w:val="0"/>
              </w:rPr>
              <w:t>2</w:t>
            </w:r>
            <w:r>
              <w:rPr>
                <w:rFonts w:hint="eastAsia" w:ascii="宋体" w:cs="宋体"/>
                <w:kern w:val="0"/>
                <w:lang w:val="zh-CN"/>
              </w:rPr>
              <w:t>）理解结构理论在解释</w:t>
            </w:r>
            <w:r>
              <w:rPr>
                <w:kern w:val="0"/>
              </w:rPr>
              <w:t>p</w:t>
            </w:r>
            <w:r>
              <w:rPr>
                <w:rFonts w:hint="eastAsia" w:ascii="宋体" w:cs="宋体"/>
                <w:kern w:val="0"/>
                <w:lang w:val="zh-CN"/>
              </w:rPr>
              <w:t>区元素性质方面的应用。</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12" w:lineRule="atLeast"/>
              <w:jc w:val="center"/>
              <w:rPr>
                <w:rFonts w:ascii="宋体" w:cs="宋体"/>
                <w:kern w:val="0"/>
                <w:sz w:val="22"/>
                <w:szCs w:val="22"/>
                <w:lang w:val="zh-CN"/>
              </w:rPr>
            </w:pPr>
            <w:r>
              <w:rPr>
                <w:kern w:val="0"/>
              </w:rPr>
              <w:t>4</w:t>
            </w:r>
            <w:r>
              <w:rPr>
                <w:rFonts w:hint="eastAsia" w:ascii="宋体" w:cs="宋体"/>
                <w:kern w:val="0"/>
                <w:lang w:val="zh-CN"/>
              </w:rPr>
              <w:t>（讲授）</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kern w:val="0"/>
                <w:lang w:val="zh-CN"/>
              </w:rPr>
              <w:t>讲授</w:t>
            </w:r>
            <w:r>
              <w:rPr>
                <w:kern w:val="0"/>
              </w:rPr>
              <w:t>/</w:t>
            </w:r>
            <w:r>
              <w:rPr>
                <w:rFonts w:hint="eastAsia" w:ascii="宋体" w:cs="宋体"/>
                <w:kern w:val="0"/>
                <w:lang w:val="zh-CN"/>
              </w:rPr>
              <w:t>讨论</w:t>
            </w:r>
            <w:r>
              <w:rPr>
                <w:kern w:val="0"/>
              </w:rPr>
              <w:t>/</w:t>
            </w:r>
            <w:r>
              <w:rPr>
                <w:rFonts w:hint="eastAsia" w:ascii="宋体" w:cs="宋体"/>
                <w:kern w:val="0"/>
                <w:lang w:val="zh-CN"/>
              </w:rPr>
              <w:t>实例教学等</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kern w:val="0"/>
              </w:rPr>
            </w:pPr>
            <w:r>
              <w:rPr>
                <w:rFonts w:hint="eastAsia" w:ascii="宋体" w:cs="宋体"/>
                <w:b/>
                <w:bCs/>
                <w:kern w:val="0"/>
                <w:lang w:val="zh-CN"/>
              </w:rPr>
              <w:t>目标</w:t>
            </w:r>
            <w:r>
              <w:rPr>
                <w:b/>
                <w:bCs/>
                <w:kern w:val="0"/>
              </w:rPr>
              <w:t>1</w:t>
            </w:r>
          </w:p>
          <w:p>
            <w:pPr>
              <w:autoSpaceDE w:val="0"/>
              <w:autoSpaceDN w:val="0"/>
              <w:adjustRightInd w:val="0"/>
              <w:jc w:val="center"/>
              <w:rPr>
                <w:b/>
                <w:bCs/>
                <w:kern w:val="0"/>
              </w:rPr>
            </w:pPr>
            <w:r>
              <w:rPr>
                <w:rFonts w:hint="eastAsia" w:ascii="宋体" w:cs="宋体"/>
                <w:b/>
                <w:bCs/>
                <w:kern w:val="0"/>
                <w:lang w:val="zh-CN"/>
              </w:rPr>
              <w:t>目标</w:t>
            </w:r>
            <w:r>
              <w:rPr>
                <w:b/>
                <w:bCs/>
                <w:kern w:val="0"/>
              </w:rPr>
              <w:t>2</w:t>
            </w:r>
          </w:p>
          <w:p>
            <w:pPr>
              <w:autoSpaceDE w:val="0"/>
              <w:autoSpaceDN w:val="0"/>
              <w:adjustRightInd w:val="0"/>
              <w:jc w:val="center"/>
              <w:rPr>
                <w:rFonts w:ascii="宋体" w:cs="宋体"/>
                <w:kern w:val="0"/>
                <w:sz w:val="22"/>
                <w:szCs w:val="22"/>
                <w:lang w:val="zh-CN"/>
              </w:rPr>
            </w:pPr>
            <w:r>
              <w:rPr>
                <w:rFonts w:hint="eastAsia" w:ascii="宋体" w:cs="宋体"/>
                <w:b/>
                <w:bCs/>
                <w:kern w:val="0"/>
                <w:lang w:val="zh-CN"/>
              </w:rPr>
              <w:t>目标</w:t>
            </w:r>
            <w:r>
              <w:rPr>
                <w:b/>
                <w:bCs/>
                <w:kern w:val="0"/>
              </w:rPr>
              <w:t>3</w:t>
            </w:r>
          </w:p>
        </w:tc>
      </w:tr>
      <w:tr>
        <w:tblPrEx>
          <w:tblCellMar>
            <w:top w:w="0" w:type="dxa"/>
            <w:left w:w="108" w:type="dxa"/>
            <w:bottom w:w="0" w:type="dxa"/>
            <w:right w:w="108" w:type="dxa"/>
          </w:tblCellMar>
        </w:tblPrEx>
        <w:trPr>
          <w:trHeight w:val="454" w:hRule="atLeast"/>
          <w:jc w:val="center"/>
        </w:trPr>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kern w:val="0"/>
              </w:rPr>
              <w:t>12</w:t>
            </w:r>
          </w:p>
        </w:tc>
        <w:tc>
          <w:tcPr>
            <w:tcW w:w="344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b/>
                <w:bCs/>
                <w:kern w:val="0"/>
              </w:rPr>
            </w:pPr>
            <w:r>
              <w:rPr>
                <w:rFonts w:hint="eastAsia" w:ascii="宋体" w:cs="宋体"/>
                <w:b/>
                <w:bCs/>
                <w:kern w:val="0"/>
                <w:lang w:val="zh-CN"/>
              </w:rPr>
              <w:t>卤素元素：</w:t>
            </w:r>
          </w:p>
          <w:p>
            <w:pPr>
              <w:autoSpaceDE w:val="0"/>
              <w:autoSpaceDN w:val="0"/>
              <w:adjustRightInd w:val="0"/>
              <w:rPr>
                <w:kern w:val="0"/>
              </w:rPr>
            </w:pPr>
            <w:r>
              <w:rPr>
                <w:rFonts w:hint="eastAsia" w:ascii="宋体" w:cs="宋体"/>
                <w:kern w:val="0"/>
                <w:lang w:val="zh-CN"/>
              </w:rPr>
              <w:t>（</w:t>
            </w:r>
            <w:r>
              <w:rPr>
                <w:kern w:val="0"/>
              </w:rPr>
              <w:t>1</w:t>
            </w:r>
            <w:r>
              <w:rPr>
                <w:rFonts w:hint="eastAsia" w:ascii="宋体" w:cs="宋体"/>
                <w:kern w:val="0"/>
                <w:lang w:val="zh-CN"/>
              </w:rPr>
              <w:t>）卤族元素的基本性质、卤素的电势图、成键特性等。</w:t>
            </w:r>
          </w:p>
          <w:p>
            <w:pPr>
              <w:autoSpaceDE w:val="0"/>
              <w:autoSpaceDN w:val="0"/>
              <w:adjustRightInd w:val="0"/>
              <w:rPr>
                <w:kern w:val="0"/>
              </w:rPr>
            </w:pPr>
            <w:r>
              <w:rPr>
                <w:rFonts w:hint="eastAsia" w:ascii="宋体" w:cs="宋体"/>
                <w:kern w:val="0"/>
                <w:lang w:val="zh-CN"/>
              </w:rPr>
              <w:t>（</w:t>
            </w:r>
            <w:r>
              <w:rPr>
                <w:kern w:val="0"/>
              </w:rPr>
              <w:t>2</w:t>
            </w:r>
            <w:r>
              <w:rPr>
                <w:rFonts w:hint="eastAsia" w:ascii="宋体" w:cs="宋体"/>
                <w:kern w:val="0"/>
                <w:lang w:val="zh-CN"/>
              </w:rPr>
              <w:t>）卤素单质的物理性质和化学性质，卤素单质的制备和性质。</w:t>
            </w:r>
          </w:p>
          <w:p>
            <w:pPr>
              <w:autoSpaceDE w:val="0"/>
              <w:autoSpaceDN w:val="0"/>
              <w:adjustRightInd w:val="0"/>
              <w:rPr>
                <w:kern w:val="0"/>
              </w:rPr>
            </w:pPr>
            <w:r>
              <w:rPr>
                <w:rFonts w:hint="eastAsia" w:ascii="宋体" w:cs="宋体"/>
                <w:kern w:val="0"/>
                <w:lang w:val="zh-CN"/>
              </w:rPr>
              <w:t>（</w:t>
            </w:r>
            <w:r>
              <w:rPr>
                <w:kern w:val="0"/>
              </w:rPr>
              <w:t>3</w:t>
            </w:r>
            <w:r>
              <w:rPr>
                <w:rFonts w:hint="eastAsia" w:ascii="宋体" w:cs="宋体"/>
                <w:kern w:val="0"/>
                <w:lang w:val="zh-CN"/>
              </w:rPr>
              <w:t>）卤化氢的制备，还原性、酸性、稳定性的变化规律。</w:t>
            </w:r>
          </w:p>
          <w:p>
            <w:pPr>
              <w:autoSpaceDE w:val="0"/>
              <w:autoSpaceDN w:val="0"/>
              <w:adjustRightInd w:val="0"/>
              <w:rPr>
                <w:b/>
                <w:bCs/>
                <w:kern w:val="0"/>
              </w:rPr>
            </w:pPr>
            <w:r>
              <w:rPr>
                <w:rFonts w:hint="eastAsia" w:ascii="宋体" w:cs="宋体"/>
                <w:kern w:val="0"/>
                <w:lang w:val="zh-CN"/>
              </w:rPr>
              <w:t>（</w:t>
            </w:r>
            <w:r>
              <w:rPr>
                <w:kern w:val="0"/>
              </w:rPr>
              <w:t>4</w:t>
            </w:r>
            <w:r>
              <w:rPr>
                <w:rFonts w:hint="eastAsia" w:ascii="宋体" w:cs="宋体"/>
                <w:kern w:val="0"/>
                <w:lang w:val="zh-CN"/>
              </w:rPr>
              <w:t>）卤素的含氧酸及其盐的性质及其变化规律。</w:t>
            </w:r>
          </w:p>
          <w:p>
            <w:pPr>
              <w:autoSpaceDE w:val="0"/>
              <w:autoSpaceDN w:val="0"/>
              <w:adjustRightInd w:val="0"/>
              <w:rPr>
                <w:rFonts w:ascii="宋体" w:cs="宋体"/>
                <w:kern w:val="0"/>
                <w:sz w:val="22"/>
                <w:szCs w:val="22"/>
                <w:lang w:val="zh-CN"/>
              </w:rPr>
            </w:pPr>
            <w:r>
              <w:rPr>
                <w:rFonts w:hint="eastAsia" w:ascii="宋体" w:cs="宋体"/>
                <w:b/>
                <w:bCs/>
                <w:kern w:val="0"/>
                <w:lang w:val="zh-CN"/>
              </w:rPr>
              <w:t>重点和难点：</w:t>
            </w:r>
            <w:r>
              <w:rPr>
                <w:rFonts w:hint="eastAsia" w:ascii="宋体" w:cs="宋体"/>
                <w:kern w:val="0"/>
                <w:lang w:val="zh-CN"/>
              </w:rPr>
              <w:t>理解并掌握卤族元素单质及重要化合物的物理化学性质及递变规律。</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kern w:val="0"/>
                <w:lang w:val="zh-CN"/>
              </w:rPr>
              <w:t>正确的学习方法及问题思考，培养学生具备职业道德和敬业精神。</w:t>
            </w: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kern w:val="0"/>
              </w:rPr>
            </w:pPr>
            <w:r>
              <w:rPr>
                <w:rFonts w:hint="eastAsia" w:ascii="宋体" w:cs="宋体"/>
                <w:kern w:val="0"/>
                <w:lang w:val="zh-CN"/>
              </w:rPr>
              <w:t>（</w:t>
            </w:r>
            <w:r>
              <w:rPr>
                <w:kern w:val="0"/>
              </w:rPr>
              <w:t>1</w:t>
            </w:r>
            <w:r>
              <w:rPr>
                <w:rFonts w:hint="eastAsia" w:ascii="宋体" w:cs="宋体"/>
                <w:kern w:val="0"/>
                <w:lang w:val="zh-CN"/>
              </w:rPr>
              <w:t>）理解并掌握卤族元素单质及重要化合物的物理化学性质及递变规律</w:t>
            </w:r>
          </w:p>
          <w:p>
            <w:pPr>
              <w:autoSpaceDE w:val="0"/>
              <w:autoSpaceDN w:val="0"/>
              <w:adjustRightInd w:val="0"/>
              <w:rPr>
                <w:rFonts w:ascii="宋体" w:cs="宋体"/>
                <w:kern w:val="0"/>
                <w:sz w:val="22"/>
                <w:szCs w:val="22"/>
                <w:lang w:val="zh-CN"/>
              </w:rPr>
            </w:pPr>
            <w:r>
              <w:rPr>
                <w:rFonts w:hint="eastAsia" w:ascii="宋体" w:cs="宋体"/>
                <w:kern w:val="0"/>
                <w:lang w:val="zh-CN"/>
              </w:rPr>
              <w:t>（</w:t>
            </w:r>
            <w:r>
              <w:rPr>
                <w:kern w:val="0"/>
              </w:rPr>
              <w:t>2</w:t>
            </w:r>
            <w:r>
              <w:rPr>
                <w:rFonts w:hint="eastAsia" w:ascii="宋体" w:cs="宋体"/>
                <w:kern w:val="0"/>
                <w:lang w:val="zh-CN"/>
              </w:rPr>
              <w:t>）了解重要化合物的制备和用途。</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12" w:lineRule="atLeast"/>
              <w:jc w:val="center"/>
              <w:rPr>
                <w:rFonts w:ascii="宋体" w:cs="宋体"/>
                <w:kern w:val="0"/>
                <w:sz w:val="22"/>
                <w:szCs w:val="22"/>
                <w:lang w:val="zh-CN"/>
              </w:rPr>
            </w:pPr>
            <w:r>
              <w:rPr>
                <w:kern w:val="0"/>
              </w:rPr>
              <w:t>4</w:t>
            </w:r>
            <w:r>
              <w:rPr>
                <w:rFonts w:hint="eastAsia" w:ascii="宋体" w:cs="宋体"/>
                <w:kern w:val="0"/>
                <w:lang w:val="zh-CN"/>
              </w:rPr>
              <w:t>（讲授）</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kern w:val="0"/>
                <w:lang w:val="zh-CN"/>
              </w:rPr>
              <w:t>讲授</w:t>
            </w:r>
            <w:r>
              <w:rPr>
                <w:kern w:val="0"/>
              </w:rPr>
              <w:t>/</w:t>
            </w:r>
            <w:r>
              <w:rPr>
                <w:rFonts w:hint="eastAsia" w:ascii="宋体" w:cs="宋体"/>
                <w:kern w:val="0"/>
                <w:lang w:val="zh-CN"/>
              </w:rPr>
              <w:t>讨论</w:t>
            </w:r>
            <w:r>
              <w:rPr>
                <w:kern w:val="0"/>
              </w:rPr>
              <w:t>/</w:t>
            </w:r>
            <w:r>
              <w:rPr>
                <w:rFonts w:hint="eastAsia" w:ascii="宋体" w:cs="宋体"/>
                <w:kern w:val="0"/>
                <w:lang w:val="zh-CN"/>
              </w:rPr>
              <w:t>实例教学等</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kern w:val="0"/>
              </w:rPr>
            </w:pPr>
            <w:r>
              <w:rPr>
                <w:rFonts w:hint="eastAsia" w:ascii="宋体" w:cs="宋体"/>
                <w:b/>
                <w:bCs/>
                <w:kern w:val="0"/>
                <w:lang w:val="zh-CN"/>
              </w:rPr>
              <w:t>目标</w:t>
            </w:r>
            <w:r>
              <w:rPr>
                <w:b/>
                <w:bCs/>
                <w:kern w:val="0"/>
              </w:rPr>
              <w:t>1</w:t>
            </w:r>
          </w:p>
          <w:p>
            <w:pPr>
              <w:autoSpaceDE w:val="0"/>
              <w:autoSpaceDN w:val="0"/>
              <w:adjustRightInd w:val="0"/>
              <w:jc w:val="center"/>
              <w:rPr>
                <w:b/>
                <w:bCs/>
                <w:kern w:val="0"/>
              </w:rPr>
            </w:pPr>
            <w:r>
              <w:rPr>
                <w:rFonts w:hint="eastAsia" w:ascii="宋体" w:cs="宋体"/>
                <w:b/>
                <w:bCs/>
                <w:kern w:val="0"/>
                <w:lang w:val="zh-CN"/>
              </w:rPr>
              <w:t>目标</w:t>
            </w:r>
            <w:r>
              <w:rPr>
                <w:b/>
                <w:bCs/>
                <w:kern w:val="0"/>
              </w:rPr>
              <w:t>2</w:t>
            </w:r>
          </w:p>
          <w:p>
            <w:pPr>
              <w:autoSpaceDE w:val="0"/>
              <w:autoSpaceDN w:val="0"/>
              <w:adjustRightInd w:val="0"/>
              <w:jc w:val="center"/>
              <w:rPr>
                <w:rFonts w:ascii="宋体" w:cs="宋体"/>
                <w:kern w:val="0"/>
                <w:sz w:val="22"/>
                <w:szCs w:val="22"/>
                <w:lang w:val="zh-CN"/>
              </w:rPr>
            </w:pPr>
            <w:r>
              <w:rPr>
                <w:rFonts w:hint="eastAsia" w:ascii="宋体" w:cs="宋体"/>
                <w:b/>
                <w:bCs/>
                <w:kern w:val="0"/>
                <w:lang w:val="zh-CN"/>
              </w:rPr>
              <w:t>目标</w:t>
            </w:r>
            <w:r>
              <w:rPr>
                <w:b/>
                <w:bCs/>
                <w:kern w:val="0"/>
              </w:rPr>
              <w:t>3</w:t>
            </w:r>
          </w:p>
        </w:tc>
      </w:tr>
      <w:tr>
        <w:tblPrEx>
          <w:tblCellMar>
            <w:top w:w="0" w:type="dxa"/>
            <w:left w:w="108" w:type="dxa"/>
            <w:bottom w:w="0" w:type="dxa"/>
            <w:right w:w="108" w:type="dxa"/>
          </w:tblCellMar>
        </w:tblPrEx>
        <w:trPr>
          <w:trHeight w:val="454" w:hRule="atLeast"/>
          <w:jc w:val="center"/>
        </w:trPr>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kern w:val="0"/>
              </w:rPr>
              <w:t>13</w:t>
            </w:r>
          </w:p>
        </w:tc>
        <w:tc>
          <w:tcPr>
            <w:tcW w:w="344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b/>
                <w:bCs/>
                <w:kern w:val="0"/>
              </w:rPr>
            </w:pPr>
            <w:r>
              <w:rPr>
                <w:rFonts w:hint="eastAsia" w:ascii="宋体" w:cs="宋体"/>
                <w:b/>
                <w:bCs/>
                <w:kern w:val="0"/>
                <w:lang w:val="zh-CN"/>
              </w:rPr>
              <w:t>过渡元素：</w:t>
            </w:r>
          </w:p>
          <w:p>
            <w:pPr>
              <w:autoSpaceDE w:val="0"/>
              <w:autoSpaceDN w:val="0"/>
              <w:adjustRightInd w:val="0"/>
              <w:rPr>
                <w:kern w:val="0"/>
              </w:rPr>
            </w:pPr>
            <w:r>
              <w:rPr>
                <w:rFonts w:hint="eastAsia" w:ascii="宋体" w:cs="宋体"/>
                <w:kern w:val="0"/>
                <w:lang w:val="zh-CN"/>
              </w:rPr>
              <w:t>（</w:t>
            </w:r>
            <w:r>
              <w:rPr>
                <w:kern w:val="0"/>
              </w:rPr>
              <w:t>1</w:t>
            </w:r>
            <w:r>
              <w:rPr>
                <w:rFonts w:hint="eastAsia" w:ascii="宋体" w:cs="宋体"/>
                <w:kern w:val="0"/>
                <w:lang w:val="zh-CN"/>
              </w:rPr>
              <w:t>）过渡元素的原子结构特征和通性。</w:t>
            </w:r>
          </w:p>
          <w:p>
            <w:pPr>
              <w:autoSpaceDE w:val="0"/>
              <w:autoSpaceDN w:val="0"/>
              <w:adjustRightInd w:val="0"/>
              <w:rPr>
                <w:kern w:val="0"/>
              </w:rPr>
            </w:pPr>
            <w:r>
              <w:rPr>
                <w:rFonts w:hint="eastAsia" w:ascii="宋体" w:cs="宋体"/>
                <w:kern w:val="0"/>
                <w:lang w:val="zh-CN"/>
              </w:rPr>
              <w:t>（</w:t>
            </w:r>
            <w:r>
              <w:rPr>
                <w:kern w:val="0"/>
              </w:rPr>
              <w:t>2</w:t>
            </w:r>
            <w:r>
              <w:rPr>
                <w:rFonts w:hint="eastAsia" w:ascii="宋体" w:cs="宋体"/>
                <w:kern w:val="0"/>
                <w:lang w:val="zh-CN"/>
              </w:rPr>
              <w:t>）铬和锰单质的性质。</w:t>
            </w:r>
          </w:p>
          <w:p>
            <w:pPr>
              <w:autoSpaceDE w:val="0"/>
              <w:autoSpaceDN w:val="0"/>
              <w:adjustRightInd w:val="0"/>
              <w:rPr>
                <w:kern w:val="0"/>
              </w:rPr>
            </w:pPr>
            <w:r>
              <w:rPr>
                <w:rFonts w:hint="eastAsia" w:ascii="宋体" w:cs="宋体"/>
                <w:kern w:val="0"/>
                <w:lang w:val="zh-CN"/>
              </w:rPr>
              <w:t>（</w:t>
            </w:r>
            <w:r>
              <w:rPr>
                <w:kern w:val="0"/>
              </w:rPr>
              <w:t>3</w:t>
            </w:r>
            <w:r>
              <w:rPr>
                <w:rFonts w:hint="eastAsia" w:ascii="宋体" w:cs="宋体"/>
                <w:kern w:val="0"/>
                <w:lang w:val="zh-CN"/>
              </w:rPr>
              <w:t>）</w:t>
            </w:r>
            <w:r>
              <w:rPr>
                <w:kern w:val="0"/>
              </w:rPr>
              <w:t>Cr(III)</w:t>
            </w:r>
            <w:r>
              <w:rPr>
                <w:rFonts w:hint="eastAsia" w:ascii="宋体" w:cs="宋体"/>
                <w:kern w:val="0"/>
                <w:lang w:val="zh-CN"/>
              </w:rPr>
              <w:t>、</w:t>
            </w:r>
            <w:r>
              <w:rPr>
                <w:kern w:val="0"/>
              </w:rPr>
              <w:t>Cr(VI)</w:t>
            </w:r>
            <w:r>
              <w:rPr>
                <w:rFonts w:hint="eastAsia" w:ascii="宋体" w:cs="宋体"/>
                <w:kern w:val="0"/>
                <w:lang w:val="zh-CN"/>
              </w:rPr>
              <w:t>化合物的酸碱性、氧化还原性及其相互转化。</w:t>
            </w:r>
            <w:r>
              <w:rPr>
                <w:kern w:val="0"/>
              </w:rPr>
              <w:t>Mn(II)</w:t>
            </w:r>
            <w:r>
              <w:rPr>
                <w:rFonts w:hint="eastAsia" w:ascii="宋体" w:cs="宋体"/>
                <w:kern w:val="0"/>
                <w:lang w:val="zh-CN"/>
              </w:rPr>
              <w:t>，</w:t>
            </w:r>
            <w:r>
              <w:rPr>
                <w:kern w:val="0"/>
              </w:rPr>
              <w:t>Mn(IV)</w:t>
            </w:r>
            <w:r>
              <w:rPr>
                <w:rFonts w:hint="eastAsia" w:ascii="宋体" w:cs="宋体"/>
                <w:kern w:val="0"/>
                <w:lang w:val="zh-CN"/>
              </w:rPr>
              <w:t>，</w:t>
            </w:r>
            <w:r>
              <w:rPr>
                <w:kern w:val="0"/>
              </w:rPr>
              <w:t>Mn(VI)</w:t>
            </w:r>
            <w:r>
              <w:rPr>
                <w:rFonts w:hint="eastAsia" w:ascii="宋体" w:cs="宋体"/>
                <w:kern w:val="0"/>
                <w:lang w:val="zh-CN"/>
              </w:rPr>
              <w:t>，</w:t>
            </w:r>
            <w:r>
              <w:rPr>
                <w:kern w:val="0"/>
              </w:rPr>
              <w:t>Mn(VII)</w:t>
            </w:r>
            <w:r>
              <w:rPr>
                <w:rFonts w:hint="eastAsia" w:ascii="宋体" w:cs="宋体"/>
                <w:kern w:val="0"/>
                <w:lang w:val="zh-CN"/>
              </w:rPr>
              <w:t>重要化合物的性质。</w:t>
            </w:r>
          </w:p>
          <w:p>
            <w:pPr>
              <w:autoSpaceDE w:val="0"/>
              <w:autoSpaceDN w:val="0"/>
              <w:adjustRightInd w:val="0"/>
              <w:rPr>
                <w:kern w:val="0"/>
              </w:rPr>
            </w:pPr>
            <w:r>
              <w:rPr>
                <w:rFonts w:hint="eastAsia" w:ascii="宋体" w:cs="宋体"/>
                <w:kern w:val="0"/>
                <w:lang w:val="zh-CN"/>
              </w:rPr>
              <w:t>（</w:t>
            </w:r>
            <w:r>
              <w:rPr>
                <w:kern w:val="0"/>
              </w:rPr>
              <w:t>4</w:t>
            </w:r>
            <w:r>
              <w:rPr>
                <w:rFonts w:hint="eastAsia" w:ascii="宋体" w:cs="宋体"/>
                <w:kern w:val="0"/>
                <w:lang w:val="zh-CN"/>
              </w:rPr>
              <w:t>）铜族元素的通性。</w:t>
            </w:r>
          </w:p>
          <w:p>
            <w:pPr>
              <w:autoSpaceDE w:val="0"/>
              <w:autoSpaceDN w:val="0"/>
              <w:adjustRightInd w:val="0"/>
              <w:rPr>
                <w:kern w:val="0"/>
              </w:rPr>
            </w:pPr>
            <w:r>
              <w:rPr>
                <w:rFonts w:hint="eastAsia" w:ascii="宋体" w:cs="宋体"/>
                <w:kern w:val="0"/>
                <w:lang w:val="zh-CN"/>
              </w:rPr>
              <w:t>（</w:t>
            </w:r>
            <w:r>
              <w:rPr>
                <w:kern w:val="0"/>
              </w:rPr>
              <w:t>5</w:t>
            </w:r>
            <w:r>
              <w:rPr>
                <w:rFonts w:hint="eastAsia" w:ascii="宋体" w:cs="宋体"/>
                <w:kern w:val="0"/>
                <w:lang w:val="zh-CN"/>
              </w:rPr>
              <w:t>）铜的氧化物、氢氧化物、重要铜盐的性质，</w:t>
            </w:r>
            <w:r>
              <w:rPr>
                <w:kern w:val="0"/>
              </w:rPr>
              <w:t>Cu(I)</w:t>
            </w:r>
            <w:r>
              <w:rPr>
                <w:rFonts w:hint="eastAsia" w:ascii="宋体" w:cs="宋体"/>
                <w:kern w:val="0"/>
                <w:lang w:val="zh-CN"/>
              </w:rPr>
              <w:t>和</w:t>
            </w:r>
            <w:r>
              <w:rPr>
                <w:kern w:val="0"/>
              </w:rPr>
              <w:t>Cu(II)</w:t>
            </w:r>
            <w:r>
              <w:rPr>
                <w:rFonts w:hint="eastAsia" w:ascii="宋体" w:cs="宋体"/>
                <w:kern w:val="0"/>
                <w:lang w:val="zh-CN"/>
              </w:rPr>
              <w:t>的相互转化，铜的重要配合物，水溶液中</w:t>
            </w:r>
            <w:r>
              <w:rPr>
                <w:kern w:val="0"/>
              </w:rPr>
              <w:t>Cu2+</w:t>
            </w:r>
            <w:r>
              <w:rPr>
                <w:rFonts w:hint="eastAsia" w:ascii="宋体" w:cs="宋体"/>
                <w:kern w:val="0"/>
                <w:lang w:val="zh-CN"/>
              </w:rPr>
              <w:t>的重要反应。</w:t>
            </w:r>
          </w:p>
          <w:p>
            <w:pPr>
              <w:autoSpaceDE w:val="0"/>
              <w:autoSpaceDN w:val="0"/>
              <w:adjustRightInd w:val="0"/>
              <w:rPr>
                <w:rFonts w:ascii="宋体" w:cs="宋体"/>
                <w:kern w:val="0"/>
                <w:sz w:val="22"/>
                <w:szCs w:val="22"/>
                <w:lang w:val="zh-CN"/>
              </w:rPr>
            </w:pPr>
            <w:r>
              <w:rPr>
                <w:rFonts w:hint="eastAsia" w:ascii="宋体" w:cs="宋体"/>
                <w:b/>
                <w:bCs/>
                <w:kern w:val="0"/>
                <w:lang w:val="zh-CN"/>
              </w:rPr>
              <w:t>重点和难点：</w:t>
            </w:r>
            <w:r>
              <w:rPr>
                <w:rFonts w:hint="eastAsia" w:ascii="宋体" w:cs="宋体"/>
                <w:kern w:val="0"/>
                <w:lang w:val="zh-CN"/>
              </w:rPr>
              <w:t>理解并掌握</w:t>
            </w:r>
            <w:r>
              <w:rPr>
                <w:kern w:val="0"/>
              </w:rPr>
              <w:t>d</w:t>
            </w:r>
            <w:r>
              <w:rPr>
                <w:rFonts w:hint="eastAsia" w:ascii="宋体" w:cs="宋体"/>
                <w:kern w:val="0"/>
                <w:lang w:val="zh-CN"/>
              </w:rPr>
              <w:t>区重要元素的性质及应用；理解结构理论在解释</w:t>
            </w:r>
            <w:r>
              <w:rPr>
                <w:kern w:val="0"/>
              </w:rPr>
              <w:t>d</w:t>
            </w:r>
            <w:r>
              <w:rPr>
                <w:rFonts w:hint="eastAsia" w:ascii="宋体" w:cs="宋体"/>
                <w:kern w:val="0"/>
                <w:lang w:val="zh-CN"/>
              </w:rPr>
              <w:t>区元素性质方面的应用。</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kern w:val="0"/>
                <w:lang w:val="zh-CN"/>
              </w:rPr>
              <w:t>正确的学习方法及问题思考，培养学生具备职业道德和敬业精神。</w:t>
            </w: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kern w:val="0"/>
              </w:rPr>
            </w:pPr>
            <w:r>
              <w:rPr>
                <w:rFonts w:hint="eastAsia" w:ascii="宋体" w:cs="宋体"/>
                <w:kern w:val="0"/>
                <w:lang w:val="zh-CN"/>
              </w:rPr>
              <w:t>（</w:t>
            </w:r>
            <w:r>
              <w:rPr>
                <w:kern w:val="0"/>
              </w:rPr>
              <w:t>1</w:t>
            </w:r>
            <w:r>
              <w:rPr>
                <w:rFonts w:hint="eastAsia" w:ascii="宋体" w:cs="宋体"/>
                <w:kern w:val="0"/>
                <w:lang w:val="zh-CN"/>
              </w:rPr>
              <w:t>）理解并掌握</w:t>
            </w:r>
            <w:r>
              <w:rPr>
                <w:kern w:val="0"/>
              </w:rPr>
              <w:t>d</w:t>
            </w:r>
            <w:r>
              <w:rPr>
                <w:rFonts w:hint="eastAsia" w:ascii="宋体" w:cs="宋体"/>
                <w:kern w:val="0"/>
                <w:lang w:val="zh-CN"/>
              </w:rPr>
              <w:t>区重要元素的性质及应用</w:t>
            </w:r>
          </w:p>
          <w:p>
            <w:pPr>
              <w:autoSpaceDE w:val="0"/>
              <w:autoSpaceDN w:val="0"/>
              <w:adjustRightInd w:val="0"/>
              <w:rPr>
                <w:rFonts w:ascii="宋体" w:cs="宋体"/>
                <w:kern w:val="0"/>
                <w:sz w:val="22"/>
                <w:szCs w:val="22"/>
                <w:lang w:val="zh-CN"/>
              </w:rPr>
            </w:pPr>
            <w:r>
              <w:rPr>
                <w:rFonts w:hint="eastAsia" w:ascii="宋体" w:cs="宋体"/>
                <w:kern w:val="0"/>
                <w:lang w:val="zh-CN"/>
              </w:rPr>
              <w:t>（</w:t>
            </w:r>
            <w:r>
              <w:rPr>
                <w:kern w:val="0"/>
              </w:rPr>
              <w:t>2</w:t>
            </w:r>
            <w:r>
              <w:rPr>
                <w:rFonts w:hint="eastAsia" w:ascii="宋体" w:cs="宋体"/>
                <w:kern w:val="0"/>
                <w:lang w:val="zh-CN"/>
              </w:rPr>
              <w:t>）理解结构理论在解释</w:t>
            </w:r>
            <w:r>
              <w:rPr>
                <w:kern w:val="0"/>
              </w:rPr>
              <w:t>d</w:t>
            </w:r>
            <w:r>
              <w:rPr>
                <w:rFonts w:hint="eastAsia" w:ascii="宋体" w:cs="宋体"/>
                <w:kern w:val="0"/>
                <w:lang w:val="zh-CN"/>
              </w:rPr>
              <w:t>区元素性质方面的应用。</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12" w:lineRule="atLeast"/>
              <w:jc w:val="center"/>
              <w:rPr>
                <w:rFonts w:ascii="宋体" w:cs="宋体"/>
                <w:kern w:val="0"/>
                <w:sz w:val="22"/>
                <w:szCs w:val="22"/>
                <w:lang w:val="zh-CN"/>
              </w:rPr>
            </w:pPr>
            <w:r>
              <w:rPr>
                <w:kern w:val="0"/>
              </w:rPr>
              <w:t>6</w:t>
            </w:r>
            <w:r>
              <w:rPr>
                <w:rFonts w:hint="eastAsia" w:ascii="宋体" w:cs="宋体"/>
                <w:kern w:val="0"/>
                <w:lang w:val="zh-CN"/>
              </w:rPr>
              <w:t>（讲授）</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kern w:val="0"/>
                <w:lang w:val="zh-CN"/>
              </w:rPr>
              <w:t>讲授</w:t>
            </w:r>
            <w:r>
              <w:rPr>
                <w:kern w:val="0"/>
              </w:rPr>
              <w:t>/</w:t>
            </w:r>
            <w:r>
              <w:rPr>
                <w:rFonts w:hint="eastAsia" w:ascii="宋体" w:cs="宋体"/>
                <w:kern w:val="0"/>
                <w:lang w:val="zh-CN"/>
              </w:rPr>
              <w:t>讨论</w:t>
            </w:r>
            <w:r>
              <w:rPr>
                <w:kern w:val="0"/>
              </w:rPr>
              <w:t>/</w:t>
            </w:r>
            <w:r>
              <w:rPr>
                <w:rFonts w:hint="eastAsia" w:ascii="宋体" w:cs="宋体"/>
                <w:kern w:val="0"/>
                <w:lang w:val="zh-CN"/>
              </w:rPr>
              <w:t>实例教学等</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kern w:val="0"/>
              </w:rPr>
            </w:pPr>
            <w:r>
              <w:rPr>
                <w:rFonts w:hint="eastAsia" w:ascii="宋体" w:cs="宋体"/>
                <w:b/>
                <w:bCs/>
                <w:kern w:val="0"/>
                <w:lang w:val="zh-CN"/>
              </w:rPr>
              <w:t>目标</w:t>
            </w:r>
            <w:r>
              <w:rPr>
                <w:b/>
                <w:bCs/>
                <w:kern w:val="0"/>
              </w:rPr>
              <w:t>1</w:t>
            </w:r>
          </w:p>
          <w:p>
            <w:pPr>
              <w:autoSpaceDE w:val="0"/>
              <w:autoSpaceDN w:val="0"/>
              <w:adjustRightInd w:val="0"/>
              <w:jc w:val="center"/>
              <w:rPr>
                <w:b/>
                <w:bCs/>
                <w:kern w:val="0"/>
              </w:rPr>
            </w:pPr>
            <w:r>
              <w:rPr>
                <w:rFonts w:hint="eastAsia" w:ascii="宋体" w:cs="宋体"/>
                <w:b/>
                <w:bCs/>
                <w:kern w:val="0"/>
                <w:lang w:val="zh-CN"/>
              </w:rPr>
              <w:t>目标</w:t>
            </w:r>
            <w:r>
              <w:rPr>
                <w:b/>
                <w:bCs/>
                <w:kern w:val="0"/>
              </w:rPr>
              <w:t>2</w:t>
            </w:r>
          </w:p>
          <w:p>
            <w:pPr>
              <w:autoSpaceDE w:val="0"/>
              <w:autoSpaceDN w:val="0"/>
              <w:adjustRightInd w:val="0"/>
              <w:jc w:val="center"/>
              <w:rPr>
                <w:rFonts w:ascii="宋体" w:cs="宋体"/>
                <w:kern w:val="0"/>
                <w:sz w:val="22"/>
                <w:szCs w:val="22"/>
                <w:lang w:val="zh-CN"/>
              </w:rPr>
            </w:pPr>
            <w:r>
              <w:rPr>
                <w:rFonts w:hint="eastAsia" w:ascii="宋体" w:cs="宋体"/>
                <w:b/>
                <w:bCs/>
                <w:kern w:val="0"/>
                <w:lang w:val="zh-CN"/>
              </w:rPr>
              <w:t>目标</w:t>
            </w:r>
            <w:r>
              <w:rPr>
                <w:b/>
                <w:bCs/>
                <w:kern w:val="0"/>
              </w:rPr>
              <w:t>3</w:t>
            </w:r>
          </w:p>
        </w:tc>
      </w:tr>
    </w:tbl>
    <w:p>
      <w:pPr>
        <w:autoSpaceDE w:val="0"/>
        <w:autoSpaceDN w:val="0"/>
        <w:adjustRightInd w:val="0"/>
        <w:spacing w:line="360" w:lineRule="auto"/>
        <w:rPr>
          <w:b/>
          <w:bCs/>
          <w:kern w:val="0"/>
          <w:sz w:val="28"/>
          <w:szCs w:val="28"/>
        </w:rPr>
      </w:pPr>
      <w:r>
        <w:rPr>
          <w:rFonts w:hint="eastAsia" w:ascii="宋体" w:cs="宋体"/>
          <w:b/>
          <w:bCs/>
          <w:kern w:val="0"/>
          <w:sz w:val="28"/>
          <w:szCs w:val="28"/>
          <w:lang w:val="zh-CN"/>
        </w:rPr>
        <w:t>四、课程实施</w:t>
      </w:r>
    </w:p>
    <w:p>
      <w:pPr>
        <w:autoSpaceDE w:val="0"/>
        <w:autoSpaceDN w:val="0"/>
        <w:adjustRightInd w:val="0"/>
        <w:spacing w:line="360" w:lineRule="auto"/>
        <w:ind w:firstLine="482"/>
        <w:rPr>
          <w:b/>
          <w:bCs/>
          <w:kern w:val="0"/>
          <w:sz w:val="24"/>
          <w:szCs w:val="24"/>
        </w:rPr>
      </w:pPr>
      <w:r>
        <w:rPr>
          <w:rFonts w:hint="eastAsia" w:ascii="宋体" w:cs="宋体"/>
          <w:b/>
          <w:bCs/>
          <w:kern w:val="0"/>
          <w:sz w:val="24"/>
          <w:szCs w:val="24"/>
          <w:lang w:val="zh-CN"/>
        </w:rPr>
        <w:t>（一）教学方法与教学手段</w:t>
      </w:r>
    </w:p>
    <w:p>
      <w:pPr>
        <w:autoSpaceDE w:val="0"/>
        <w:autoSpaceDN w:val="0"/>
        <w:adjustRightInd w:val="0"/>
        <w:spacing w:line="360" w:lineRule="auto"/>
        <w:ind w:firstLine="480"/>
        <w:rPr>
          <w:color w:val="000000"/>
          <w:kern w:val="0"/>
          <w:sz w:val="24"/>
          <w:szCs w:val="24"/>
        </w:rPr>
      </w:pPr>
      <w:r>
        <w:rPr>
          <w:color w:val="000000"/>
          <w:kern w:val="0"/>
          <w:sz w:val="24"/>
          <w:szCs w:val="24"/>
        </w:rPr>
        <w:t>1.</w:t>
      </w:r>
      <w:r>
        <w:rPr>
          <w:rFonts w:hint="eastAsia" w:ascii="宋体" w:cs="宋体"/>
          <w:color w:val="000000"/>
          <w:kern w:val="0"/>
          <w:sz w:val="24"/>
          <w:szCs w:val="24"/>
          <w:lang w:val="zh-CN"/>
        </w:rPr>
        <w:t>采用多媒体教学手段，配合例题的讲解及适当的思考题，保证讲课进度的同时，注意学生的掌握程度和课堂的气氛。</w:t>
      </w:r>
    </w:p>
    <w:p>
      <w:pPr>
        <w:autoSpaceDE w:val="0"/>
        <w:autoSpaceDN w:val="0"/>
        <w:adjustRightInd w:val="0"/>
        <w:spacing w:line="360" w:lineRule="auto"/>
        <w:ind w:firstLine="480"/>
        <w:rPr>
          <w:color w:val="000000"/>
          <w:kern w:val="0"/>
          <w:sz w:val="24"/>
          <w:szCs w:val="24"/>
        </w:rPr>
      </w:pPr>
      <w:r>
        <w:rPr>
          <w:kern w:val="0"/>
          <w:sz w:val="24"/>
          <w:szCs w:val="24"/>
        </w:rPr>
        <w:t>2.</w:t>
      </w:r>
      <w:r>
        <w:rPr>
          <w:rFonts w:hint="eastAsia" w:ascii="宋体" w:cs="宋体"/>
          <w:color w:val="000000"/>
          <w:kern w:val="0"/>
          <w:sz w:val="24"/>
          <w:szCs w:val="24"/>
          <w:lang w:val="zh-CN"/>
        </w:rPr>
        <w:t>课程讲授与启发式教学、课堂讨论、解释实际现象、线上网络教学等多种教学方式结合，实行互动研究型教学，重点培养学生的理论素养和创新思维能力。因此，本课程要求课前必须阅读教材的相关部分和参考文献；课上主动参与讨论；课后按时完成布置的作业，积极进行教学互动交流。</w:t>
      </w:r>
    </w:p>
    <w:p>
      <w:pPr>
        <w:autoSpaceDE w:val="0"/>
        <w:autoSpaceDN w:val="0"/>
        <w:adjustRightInd w:val="0"/>
        <w:spacing w:line="360" w:lineRule="auto"/>
        <w:ind w:firstLine="482"/>
        <w:rPr>
          <w:b/>
          <w:bCs/>
          <w:kern w:val="0"/>
          <w:sz w:val="24"/>
          <w:szCs w:val="24"/>
        </w:rPr>
      </w:pPr>
      <w:r>
        <w:rPr>
          <w:rFonts w:hint="eastAsia" w:ascii="宋体" w:cs="宋体"/>
          <w:b/>
          <w:bCs/>
          <w:kern w:val="0"/>
          <w:sz w:val="24"/>
          <w:szCs w:val="24"/>
          <w:lang w:val="zh-CN"/>
        </w:rPr>
        <w:t>（二）课程实施与保障</w:t>
      </w:r>
    </w:p>
    <w:tbl>
      <w:tblPr>
        <w:tblStyle w:val="10"/>
        <w:tblW w:w="9105" w:type="dxa"/>
        <w:jc w:val="center"/>
        <w:tblLayout w:type="fixed"/>
        <w:tblCellMar>
          <w:top w:w="0" w:type="dxa"/>
          <w:left w:w="28" w:type="dxa"/>
          <w:bottom w:w="0" w:type="dxa"/>
          <w:right w:w="28" w:type="dxa"/>
        </w:tblCellMar>
      </w:tblPr>
      <w:tblGrid>
        <w:gridCol w:w="582"/>
        <w:gridCol w:w="1269"/>
        <w:gridCol w:w="7254"/>
      </w:tblGrid>
      <w:tr>
        <w:tblPrEx>
          <w:tblCellMar>
            <w:top w:w="0" w:type="dxa"/>
            <w:left w:w="28" w:type="dxa"/>
            <w:bottom w:w="0" w:type="dxa"/>
            <w:right w:w="28" w:type="dxa"/>
          </w:tblCellMar>
        </w:tblPrEx>
        <w:trPr>
          <w:trHeight w:val="1" w:hRule="atLeast"/>
          <w:jc w:val="center"/>
        </w:trPr>
        <w:tc>
          <w:tcPr>
            <w:tcW w:w="1850" w:type="dxa"/>
            <w:gridSpan w:val="2"/>
            <w:tcBorders>
              <w:top w:val="single" w:color="000000" w:sz="6" w:space="0"/>
              <w:left w:val="single" w:color="000000" w:sz="6" w:space="0"/>
              <w:bottom w:val="single" w:color="000000" w:sz="4" w:space="0"/>
              <w:right w:val="single" w:color="000000" w:sz="6" w:space="0"/>
            </w:tcBorders>
            <w:shd w:val="clear" w:color="auto" w:fill="FFFFFF"/>
            <w:vAlign w:val="center"/>
          </w:tcPr>
          <w:p>
            <w:pPr>
              <w:autoSpaceDE w:val="0"/>
              <w:autoSpaceDN w:val="0"/>
              <w:adjustRightInd w:val="0"/>
              <w:spacing w:line="276" w:lineRule="auto"/>
              <w:jc w:val="center"/>
              <w:rPr>
                <w:rFonts w:ascii="宋体" w:cs="宋体"/>
                <w:kern w:val="0"/>
                <w:sz w:val="22"/>
                <w:szCs w:val="22"/>
                <w:lang w:val="zh-CN"/>
              </w:rPr>
            </w:pPr>
            <w:r>
              <w:rPr>
                <w:rFonts w:hint="eastAsia" w:ascii="宋体" w:cs="宋体"/>
                <w:kern w:val="0"/>
                <w:lang w:val="zh-CN"/>
              </w:rPr>
              <w:t>主要教学环节</w:t>
            </w:r>
          </w:p>
        </w:tc>
        <w:tc>
          <w:tcPr>
            <w:tcW w:w="7250" w:type="dxa"/>
            <w:tcBorders>
              <w:top w:val="single" w:color="000000" w:sz="6" w:space="0"/>
              <w:left w:val="single" w:color="000000" w:sz="6" w:space="0"/>
              <w:bottom w:val="single" w:color="000000" w:sz="4" w:space="0"/>
              <w:right w:val="single" w:color="000000" w:sz="6" w:space="0"/>
            </w:tcBorders>
            <w:shd w:val="clear" w:color="auto" w:fill="FFFFFF"/>
            <w:vAlign w:val="center"/>
          </w:tcPr>
          <w:p>
            <w:pPr>
              <w:autoSpaceDE w:val="0"/>
              <w:autoSpaceDN w:val="0"/>
              <w:adjustRightInd w:val="0"/>
              <w:spacing w:line="276" w:lineRule="auto"/>
              <w:jc w:val="center"/>
              <w:rPr>
                <w:rFonts w:ascii="宋体" w:cs="宋体"/>
                <w:kern w:val="0"/>
                <w:sz w:val="22"/>
                <w:szCs w:val="22"/>
                <w:lang w:val="zh-CN"/>
              </w:rPr>
            </w:pPr>
            <w:r>
              <w:rPr>
                <w:rFonts w:hint="eastAsia" w:ascii="宋体" w:cs="宋体"/>
                <w:kern w:val="0"/>
                <w:lang w:val="zh-CN"/>
              </w:rPr>
              <w:t>质量要求</w:t>
            </w:r>
          </w:p>
        </w:tc>
      </w:tr>
      <w:tr>
        <w:tblPrEx>
          <w:tblCellMar>
            <w:top w:w="0" w:type="dxa"/>
            <w:left w:w="28" w:type="dxa"/>
            <w:bottom w:w="0" w:type="dxa"/>
            <w:right w:w="28" w:type="dxa"/>
          </w:tblCellMar>
        </w:tblPrEx>
        <w:trPr>
          <w:trHeight w:val="563" w:hRule="atLeast"/>
          <w:jc w:val="center"/>
        </w:trPr>
        <w:tc>
          <w:tcPr>
            <w:tcW w:w="582" w:type="dxa"/>
            <w:tcBorders>
              <w:top w:val="single" w:color="000000" w:sz="4" w:space="0"/>
              <w:left w:val="single" w:color="000000" w:sz="6" w:space="0"/>
              <w:bottom w:val="single" w:color="000000" w:sz="4" w:space="0"/>
              <w:right w:val="single" w:color="000000" w:sz="4" w:space="0"/>
            </w:tcBorders>
            <w:shd w:val="clear" w:color="auto" w:fill="FFFFFF"/>
            <w:vAlign w:val="center"/>
          </w:tcPr>
          <w:p>
            <w:pPr>
              <w:autoSpaceDE w:val="0"/>
              <w:autoSpaceDN w:val="0"/>
              <w:adjustRightInd w:val="0"/>
              <w:spacing w:line="276" w:lineRule="auto"/>
              <w:jc w:val="center"/>
              <w:rPr>
                <w:rFonts w:ascii="宋体" w:cs="宋体"/>
                <w:kern w:val="0"/>
                <w:sz w:val="22"/>
                <w:szCs w:val="22"/>
                <w:lang w:val="zh-CN"/>
              </w:rPr>
            </w:pPr>
            <w:r>
              <w:rPr>
                <w:kern w:val="0"/>
              </w:rPr>
              <w:t>1</w:t>
            </w:r>
          </w:p>
        </w:tc>
        <w:tc>
          <w:tcPr>
            <w:tcW w:w="12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276" w:lineRule="auto"/>
              <w:jc w:val="center"/>
              <w:rPr>
                <w:rFonts w:ascii="宋体" w:cs="宋体"/>
                <w:kern w:val="0"/>
                <w:sz w:val="22"/>
                <w:szCs w:val="22"/>
                <w:lang w:val="zh-CN"/>
              </w:rPr>
            </w:pPr>
            <w:r>
              <w:rPr>
                <w:rFonts w:hint="eastAsia" w:ascii="宋体" w:cs="宋体"/>
                <w:kern w:val="0"/>
                <w:lang w:val="zh-CN"/>
              </w:rPr>
              <w:t>备课</w:t>
            </w:r>
          </w:p>
        </w:tc>
        <w:tc>
          <w:tcPr>
            <w:tcW w:w="7250" w:type="dxa"/>
            <w:tcBorders>
              <w:top w:val="single" w:color="000000" w:sz="4" w:space="0"/>
              <w:left w:val="single" w:color="000000" w:sz="4" w:space="0"/>
              <w:bottom w:val="single" w:color="000000" w:sz="4" w:space="0"/>
              <w:right w:val="single" w:color="000000" w:sz="6" w:space="0"/>
            </w:tcBorders>
            <w:shd w:val="clear" w:color="auto" w:fill="FFFFFF"/>
            <w:vAlign w:val="center"/>
          </w:tcPr>
          <w:p>
            <w:pPr>
              <w:autoSpaceDE w:val="0"/>
              <w:autoSpaceDN w:val="0"/>
              <w:adjustRightInd w:val="0"/>
              <w:spacing w:line="276" w:lineRule="auto"/>
              <w:rPr>
                <w:kern w:val="0"/>
              </w:rPr>
            </w:pPr>
            <w:r>
              <w:rPr>
                <w:rFonts w:hint="eastAsia" w:ascii="宋体" w:cs="宋体"/>
                <w:kern w:val="0"/>
                <w:lang w:val="zh-CN"/>
              </w:rPr>
              <w:t>（</w:t>
            </w:r>
            <w:r>
              <w:rPr>
                <w:kern w:val="0"/>
              </w:rPr>
              <w:t>1</w:t>
            </w:r>
            <w:r>
              <w:rPr>
                <w:rFonts w:hint="eastAsia" w:ascii="宋体" w:cs="宋体"/>
                <w:kern w:val="0"/>
                <w:lang w:val="zh-CN"/>
              </w:rPr>
              <w:t>）掌握本课程教学大纲内容，严格按照教学大纲要求进行课程教学内容的组织。</w:t>
            </w:r>
          </w:p>
          <w:p>
            <w:pPr>
              <w:autoSpaceDE w:val="0"/>
              <w:autoSpaceDN w:val="0"/>
              <w:adjustRightInd w:val="0"/>
              <w:spacing w:line="276" w:lineRule="auto"/>
              <w:rPr>
                <w:kern w:val="0"/>
              </w:rPr>
            </w:pPr>
            <w:r>
              <w:rPr>
                <w:rFonts w:hint="eastAsia" w:ascii="宋体" w:cs="宋体"/>
                <w:kern w:val="0"/>
                <w:lang w:val="zh-CN"/>
              </w:rPr>
              <w:t>（</w:t>
            </w:r>
            <w:r>
              <w:rPr>
                <w:kern w:val="0"/>
              </w:rPr>
              <w:t>2</w:t>
            </w:r>
            <w:r>
              <w:rPr>
                <w:rFonts w:hint="eastAsia" w:ascii="宋体" w:cs="宋体"/>
                <w:kern w:val="0"/>
                <w:lang w:val="zh-CN"/>
              </w:rPr>
              <w:t>）熟悉教材各章节，借助专业书籍资料，并依据教学大纲编写授课计划，编写每次授课的教案。教案内容包括章节标题、教学目的、教法设计、课堂类型、时间分配、授课内容、课后作业、教学效果分析等方面。</w:t>
            </w:r>
          </w:p>
          <w:p>
            <w:pPr>
              <w:autoSpaceDE w:val="0"/>
              <w:autoSpaceDN w:val="0"/>
              <w:adjustRightInd w:val="0"/>
              <w:spacing w:line="276" w:lineRule="auto"/>
              <w:rPr>
                <w:rFonts w:ascii="宋体" w:cs="宋体"/>
                <w:kern w:val="0"/>
                <w:sz w:val="22"/>
                <w:szCs w:val="22"/>
                <w:lang w:val="zh-CN"/>
              </w:rPr>
            </w:pPr>
            <w:r>
              <w:rPr>
                <w:rFonts w:hint="eastAsia" w:ascii="宋体" w:cs="宋体"/>
                <w:kern w:val="0"/>
                <w:lang w:val="zh-CN"/>
              </w:rPr>
              <w:t>（</w:t>
            </w:r>
            <w:r>
              <w:rPr>
                <w:kern w:val="0"/>
              </w:rPr>
              <w:t>3</w:t>
            </w:r>
            <w:r>
              <w:rPr>
                <w:rFonts w:hint="eastAsia" w:ascii="宋体" w:cs="宋体"/>
                <w:kern w:val="0"/>
                <w:lang w:val="zh-CN"/>
              </w:rPr>
              <w:t>）根据各部分教学内容，构思授课思路、技巧，选择合适的教学方法。</w:t>
            </w:r>
          </w:p>
        </w:tc>
      </w:tr>
      <w:tr>
        <w:tblPrEx>
          <w:tblCellMar>
            <w:top w:w="0" w:type="dxa"/>
            <w:left w:w="28" w:type="dxa"/>
            <w:bottom w:w="0" w:type="dxa"/>
            <w:right w:w="28" w:type="dxa"/>
          </w:tblCellMar>
        </w:tblPrEx>
        <w:trPr>
          <w:trHeight w:val="1" w:hRule="atLeast"/>
          <w:jc w:val="center"/>
        </w:trPr>
        <w:tc>
          <w:tcPr>
            <w:tcW w:w="582" w:type="dxa"/>
            <w:tcBorders>
              <w:top w:val="single" w:color="000000" w:sz="4" w:space="0"/>
              <w:left w:val="single" w:color="000000" w:sz="6" w:space="0"/>
              <w:bottom w:val="single" w:color="000000" w:sz="4" w:space="0"/>
              <w:right w:val="single" w:color="000000" w:sz="4" w:space="0"/>
            </w:tcBorders>
            <w:shd w:val="clear" w:color="auto" w:fill="FFFFFF"/>
            <w:vAlign w:val="center"/>
          </w:tcPr>
          <w:p>
            <w:pPr>
              <w:autoSpaceDE w:val="0"/>
              <w:autoSpaceDN w:val="0"/>
              <w:adjustRightInd w:val="0"/>
              <w:spacing w:line="276" w:lineRule="auto"/>
              <w:jc w:val="center"/>
              <w:rPr>
                <w:rFonts w:ascii="宋体" w:cs="宋体"/>
                <w:kern w:val="0"/>
                <w:sz w:val="22"/>
                <w:szCs w:val="22"/>
                <w:lang w:val="zh-CN"/>
              </w:rPr>
            </w:pPr>
            <w:r>
              <w:rPr>
                <w:kern w:val="0"/>
              </w:rPr>
              <w:t>2</w:t>
            </w:r>
          </w:p>
        </w:tc>
        <w:tc>
          <w:tcPr>
            <w:tcW w:w="12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276" w:lineRule="auto"/>
              <w:jc w:val="center"/>
              <w:rPr>
                <w:rFonts w:ascii="宋体" w:cs="宋体"/>
                <w:kern w:val="0"/>
                <w:sz w:val="22"/>
                <w:szCs w:val="22"/>
                <w:lang w:val="zh-CN"/>
              </w:rPr>
            </w:pPr>
            <w:r>
              <w:rPr>
                <w:rFonts w:hint="eastAsia" w:ascii="宋体" w:cs="宋体"/>
                <w:kern w:val="0"/>
                <w:lang w:val="zh-CN"/>
              </w:rPr>
              <w:t>讲授</w:t>
            </w:r>
          </w:p>
        </w:tc>
        <w:tc>
          <w:tcPr>
            <w:tcW w:w="7250" w:type="dxa"/>
            <w:tcBorders>
              <w:top w:val="single" w:color="000000" w:sz="4" w:space="0"/>
              <w:left w:val="single" w:color="000000" w:sz="4" w:space="0"/>
              <w:bottom w:val="single" w:color="000000" w:sz="4" w:space="0"/>
              <w:right w:val="single" w:color="000000" w:sz="6" w:space="0"/>
            </w:tcBorders>
            <w:shd w:val="clear" w:color="auto" w:fill="FFFFFF"/>
            <w:vAlign w:val="center"/>
          </w:tcPr>
          <w:p>
            <w:pPr>
              <w:autoSpaceDE w:val="0"/>
              <w:autoSpaceDN w:val="0"/>
              <w:adjustRightInd w:val="0"/>
              <w:spacing w:line="276" w:lineRule="auto"/>
              <w:rPr>
                <w:kern w:val="0"/>
              </w:rPr>
            </w:pPr>
            <w:r>
              <w:rPr>
                <w:rFonts w:hint="eastAsia" w:ascii="宋体" w:cs="宋体"/>
                <w:kern w:val="0"/>
                <w:lang w:val="zh-CN"/>
              </w:rPr>
              <w:t>（</w:t>
            </w:r>
            <w:r>
              <w:rPr>
                <w:kern w:val="0"/>
              </w:rPr>
              <w:t>1</w:t>
            </w:r>
            <w:r>
              <w:rPr>
                <w:rFonts w:hint="eastAsia" w:ascii="宋体" w:cs="宋体"/>
                <w:kern w:val="0"/>
                <w:lang w:val="zh-CN"/>
              </w:rPr>
              <w:t>）要点准确、推理正确、条理清晰、重点突出，能够理论联系实际，熟练地解答和讲解例题。</w:t>
            </w:r>
          </w:p>
          <w:p>
            <w:pPr>
              <w:autoSpaceDE w:val="0"/>
              <w:autoSpaceDN w:val="0"/>
              <w:adjustRightInd w:val="0"/>
              <w:spacing w:line="276" w:lineRule="auto"/>
              <w:rPr>
                <w:kern w:val="0"/>
              </w:rPr>
            </w:pPr>
            <w:r>
              <w:rPr>
                <w:rFonts w:hint="eastAsia" w:ascii="宋体" w:cs="宋体"/>
                <w:kern w:val="0"/>
                <w:lang w:val="zh-CN"/>
              </w:rPr>
              <w:t>（</w:t>
            </w:r>
            <w:r>
              <w:rPr>
                <w:kern w:val="0"/>
              </w:rPr>
              <w:t>2</w:t>
            </w:r>
            <w:r>
              <w:rPr>
                <w:rFonts w:hint="eastAsia" w:ascii="宋体" w:cs="宋体"/>
                <w:kern w:val="0"/>
                <w:lang w:val="zh-CN"/>
              </w:rPr>
              <w:t>）采用多种教学方式（如启发式教学、例题教学、讨论式教学、多媒体示范教学等），注重培养学生发现、分析和解决问题的能力。</w:t>
            </w:r>
          </w:p>
          <w:p>
            <w:pPr>
              <w:autoSpaceDE w:val="0"/>
              <w:autoSpaceDN w:val="0"/>
              <w:adjustRightInd w:val="0"/>
              <w:spacing w:line="276" w:lineRule="auto"/>
              <w:rPr>
                <w:kern w:val="0"/>
              </w:rPr>
            </w:pPr>
            <w:r>
              <w:rPr>
                <w:rFonts w:hint="eastAsia" w:ascii="宋体" w:cs="宋体"/>
                <w:kern w:val="0"/>
                <w:lang w:val="zh-CN"/>
              </w:rPr>
              <w:t>（</w:t>
            </w:r>
            <w:r>
              <w:rPr>
                <w:kern w:val="0"/>
              </w:rPr>
              <w:t>3</w:t>
            </w:r>
            <w:r>
              <w:rPr>
                <w:rFonts w:hint="eastAsia" w:ascii="宋体" w:cs="宋体"/>
                <w:kern w:val="0"/>
                <w:lang w:val="zh-CN"/>
              </w:rPr>
              <w:t>）能够采用现代信息技术辅助教学。</w:t>
            </w:r>
          </w:p>
          <w:p>
            <w:pPr>
              <w:autoSpaceDE w:val="0"/>
              <w:autoSpaceDN w:val="0"/>
              <w:adjustRightInd w:val="0"/>
              <w:spacing w:line="276" w:lineRule="auto"/>
              <w:rPr>
                <w:rFonts w:ascii="宋体" w:cs="宋体"/>
                <w:kern w:val="0"/>
                <w:sz w:val="22"/>
                <w:szCs w:val="22"/>
                <w:lang w:val="zh-CN"/>
              </w:rPr>
            </w:pPr>
            <w:r>
              <w:rPr>
                <w:rFonts w:hint="eastAsia" w:ascii="宋体" w:cs="宋体"/>
                <w:kern w:val="0"/>
                <w:lang w:val="zh-CN"/>
              </w:rPr>
              <w:t>（</w:t>
            </w:r>
            <w:r>
              <w:rPr>
                <w:kern w:val="0"/>
              </w:rPr>
              <w:t>4</w:t>
            </w:r>
            <w:r>
              <w:rPr>
                <w:rFonts w:hint="eastAsia" w:ascii="宋体" w:cs="宋体"/>
                <w:kern w:val="0"/>
                <w:lang w:val="zh-CN"/>
              </w:rPr>
              <w:t>）表达方式应能便于学生理解、接受，力求形象生动，使学生在掌握知识的过程中，保持较为浓厚的学习兴趣。</w:t>
            </w:r>
          </w:p>
        </w:tc>
      </w:tr>
      <w:tr>
        <w:tblPrEx>
          <w:tblCellMar>
            <w:top w:w="0" w:type="dxa"/>
            <w:left w:w="28" w:type="dxa"/>
            <w:bottom w:w="0" w:type="dxa"/>
            <w:right w:w="28" w:type="dxa"/>
          </w:tblCellMar>
        </w:tblPrEx>
        <w:trPr>
          <w:trHeight w:val="2641" w:hRule="atLeast"/>
          <w:jc w:val="center"/>
        </w:trPr>
        <w:tc>
          <w:tcPr>
            <w:tcW w:w="582" w:type="dxa"/>
            <w:tcBorders>
              <w:top w:val="single" w:color="000000" w:sz="4" w:space="0"/>
              <w:left w:val="single" w:color="000000" w:sz="6" w:space="0"/>
              <w:bottom w:val="single" w:color="000000" w:sz="4" w:space="0"/>
              <w:right w:val="single" w:color="000000" w:sz="4" w:space="0"/>
            </w:tcBorders>
            <w:shd w:val="clear" w:color="auto" w:fill="FFFFFF"/>
            <w:vAlign w:val="center"/>
          </w:tcPr>
          <w:p>
            <w:pPr>
              <w:autoSpaceDE w:val="0"/>
              <w:autoSpaceDN w:val="0"/>
              <w:adjustRightInd w:val="0"/>
              <w:spacing w:line="276" w:lineRule="auto"/>
              <w:jc w:val="center"/>
              <w:rPr>
                <w:rFonts w:ascii="宋体" w:cs="宋体"/>
                <w:kern w:val="0"/>
                <w:sz w:val="22"/>
                <w:szCs w:val="22"/>
                <w:lang w:val="zh-CN"/>
              </w:rPr>
            </w:pPr>
            <w:r>
              <w:rPr>
                <w:kern w:val="0"/>
              </w:rPr>
              <w:t>3</w:t>
            </w:r>
          </w:p>
        </w:tc>
        <w:tc>
          <w:tcPr>
            <w:tcW w:w="12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276" w:lineRule="auto"/>
              <w:jc w:val="center"/>
              <w:rPr>
                <w:rFonts w:ascii="宋体" w:cs="宋体"/>
                <w:kern w:val="0"/>
                <w:sz w:val="22"/>
                <w:szCs w:val="22"/>
                <w:lang w:val="zh-CN"/>
              </w:rPr>
            </w:pPr>
            <w:r>
              <w:rPr>
                <w:rFonts w:hint="eastAsia" w:ascii="宋体" w:cs="宋体"/>
                <w:kern w:val="0"/>
                <w:lang w:val="zh-CN"/>
              </w:rPr>
              <w:t>作业布置与批改</w:t>
            </w:r>
          </w:p>
        </w:tc>
        <w:tc>
          <w:tcPr>
            <w:tcW w:w="7250" w:type="dxa"/>
            <w:tcBorders>
              <w:top w:val="single" w:color="000000" w:sz="4" w:space="0"/>
              <w:left w:val="single" w:color="000000" w:sz="4" w:space="0"/>
              <w:bottom w:val="single" w:color="000000" w:sz="4" w:space="0"/>
              <w:right w:val="single" w:color="000000" w:sz="6" w:space="0"/>
            </w:tcBorders>
            <w:shd w:val="clear" w:color="auto" w:fill="FFFFFF"/>
            <w:vAlign w:val="center"/>
          </w:tcPr>
          <w:p>
            <w:pPr>
              <w:autoSpaceDE w:val="0"/>
              <w:autoSpaceDN w:val="0"/>
              <w:adjustRightInd w:val="0"/>
              <w:spacing w:line="276" w:lineRule="auto"/>
              <w:rPr>
                <w:kern w:val="0"/>
              </w:rPr>
            </w:pPr>
            <w:r>
              <w:rPr>
                <w:rFonts w:hint="eastAsia" w:ascii="宋体" w:cs="宋体"/>
                <w:kern w:val="0"/>
                <w:lang w:val="zh-CN"/>
              </w:rPr>
              <w:t>学生必须完成规定数量的作业，作业必须达到以下基本要求：</w:t>
            </w:r>
          </w:p>
          <w:p>
            <w:pPr>
              <w:autoSpaceDE w:val="0"/>
              <w:autoSpaceDN w:val="0"/>
              <w:adjustRightInd w:val="0"/>
              <w:spacing w:line="276" w:lineRule="auto"/>
              <w:rPr>
                <w:kern w:val="0"/>
              </w:rPr>
            </w:pPr>
            <w:r>
              <w:rPr>
                <w:rFonts w:hint="eastAsia" w:ascii="宋体" w:cs="宋体"/>
                <w:kern w:val="0"/>
                <w:lang w:val="zh-CN"/>
              </w:rPr>
              <w:t>（</w:t>
            </w:r>
            <w:r>
              <w:rPr>
                <w:kern w:val="0"/>
              </w:rPr>
              <w:t>1</w:t>
            </w:r>
            <w:r>
              <w:rPr>
                <w:rFonts w:hint="eastAsia" w:ascii="宋体" w:cs="宋体"/>
                <w:kern w:val="0"/>
                <w:lang w:val="zh-CN"/>
              </w:rPr>
              <w:t>）按时按量完成作业，不缺交，不抄袭。</w:t>
            </w:r>
          </w:p>
          <w:p>
            <w:pPr>
              <w:autoSpaceDE w:val="0"/>
              <w:autoSpaceDN w:val="0"/>
              <w:adjustRightInd w:val="0"/>
              <w:spacing w:line="276" w:lineRule="auto"/>
              <w:rPr>
                <w:kern w:val="0"/>
              </w:rPr>
            </w:pPr>
            <w:r>
              <w:rPr>
                <w:rFonts w:hint="eastAsia" w:ascii="宋体" w:cs="宋体"/>
                <w:kern w:val="0"/>
                <w:lang w:val="zh-CN"/>
              </w:rPr>
              <w:t>（</w:t>
            </w:r>
            <w:r>
              <w:rPr>
                <w:kern w:val="0"/>
              </w:rPr>
              <w:t>2</w:t>
            </w:r>
            <w:r>
              <w:rPr>
                <w:rFonts w:hint="eastAsia" w:ascii="宋体" w:cs="宋体"/>
                <w:kern w:val="0"/>
                <w:lang w:val="zh-CN"/>
              </w:rPr>
              <w:t>）书写规范、清晰。</w:t>
            </w:r>
          </w:p>
          <w:p>
            <w:pPr>
              <w:autoSpaceDE w:val="0"/>
              <w:autoSpaceDN w:val="0"/>
              <w:adjustRightInd w:val="0"/>
              <w:spacing w:line="276" w:lineRule="auto"/>
              <w:rPr>
                <w:kern w:val="0"/>
              </w:rPr>
            </w:pPr>
            <w:r>
              <w:rPr>
                <w:rFonts w:hint="eastAsia" w:ascii="宋体" w:cs="宋体"/>
                <w:kern w:val="0"/>
                <w:lang w:val="zh-CN"/>
              </w:rPr>
              <w:t>（</w:t>
            </w:r>
            <w:r>
              <w:rPr>
                <w:kern w:val="0"/>
              </w:rPr>
              <w:t>3</w:t>
            </w:r>
            <w:r>
              <w:rPr>
                <w:rFonts w:hint="eastAsia" w:ascii="宋体" w:cs="宋体"/>
                <w:kern w:val="0"/>
                <w:lang w:val="zh-CN"/>
              </w:rPr>
              <w:t>）解题方法和步骤正确。</w:t>
            </w:r>
          </w:p>
          <w:p>
            <w:pPr>
              <w:autoSpaceDE w:val="0"/>
              <w:autoSpaceDN w:val="0"/>
              <w:adjustRightInd w:val="0"/>
              <w:spacing w:line="276" w:lineRule="auto"/>
              <w:rPr>
                <w:kern w:val="0"/>
              </w:rPr>
            </w:pPr>
            <w:r>
              <w:rPr>
                <w:rFonts w:hint="eastAsia" w:ascii="宋体" w:cs="宋体"/>
                <w:kern w:val="0"/>
                <w:lang w:val="zh-CN"/>
              </w:rPr>
              <w:t>教师批改和讲评作业要求如下：</w:t>
            </w:r>
          </w:p>
          <w:p>
            <w:pPr>
              <w:autoSpaceDE w:val="0"/>
              <w:autoSpaceDN w:val="0"/>
              <w:adjustRightInd w:val="0"/>
              <w:spacing w:line="276" w:lineRule="auto"/>
              <w:rPr>
                <w:kern w:val="0"/>
              </w:rPr>
            </w:pPr>
            <w:r>
              <w:rPr>
                <w:rFonts w:hint="eastAsia" w:ascii="宋体" w:cs="宋体"/>
                <w:kern w:val="0"/>
                <w:lang w:val="zh-CN"/>
              </w:rPr>
              <w:t>（</w:t>
            </w:r>
            <w:r>
              <w:rPr>
                <w:kern w:val="0"/>
              </w:rPr>
              <w:t>1</w:t>
            </w:r>
            <w:r>
              <w:rPr>
                <w:rFonts w:hint="eastAsia" w:ascii="宋体" w:cs="宋体"/>
                <w:kern w:val="0"/>
                <w:lang w:val="zh-CN"/>
              </w:rPr>
              <w:t>）学生的作业要按时全部批改，并及时进行讲评。</w:t>
            </w:r>
          </w:p>
          <w:p>
            <w:pPr>
              <w:autoSpaceDE w:val="0"/>
              <w:autoSpaceDN w:val="0"/>
              <w:adjustRightInd w:val="0"/>
              <w:spacing w:line="276" w:lineRule="auto"/>
              <w:rPr>
                <w:kern w:val="0"/>
              </w:rPr>
            </w:pPr>
            <w:r>
              <w:rPr>
                <w:rFonts w:hint="eastAsia" w:ascii="宋体" w:cs="宋体"/>
                <w:kern w:val="0"/>
                <w:lang w:val="zh-CN"/>
              </w:rPr>
              <w:t>（</w:t>
            </w:r>
            <w:r>
              <w:rPr>
                <w:kern w:val="0"/>
              </w:rPr>
              <w:t>2</w:t>
            </w:r>
            <w:r>
              <w:rPr>
                <w:rFonts w:hint="eastAsia" w:ascii="宋体" w:cs="宋体"/>
                <w:kern w:val="0"/>
                <w:lang w:val="zh-CN"/>
              </w:rPr>
              <w:t>）教师批改和讲评作业要认真、细致，表明出现的错误并写明日期。</w:t>
            </w:r>
          </w:p>
          <w:p>
            <w:pPr>
              <w:autoSpaceDE w:val="0"/>
              <w:autoSpaceDN w:val="0"/>
              <w:adjustRightInd w:val="0"/>
              <w:spacing w:line="276" w:lineRule="auto"/>
              <w:rPr>
                <w:rFonts w:ascii="宋体" w:cs="宋体"/>
                <w:kern w:val="0"/>
                <w:sz w:val="22"/>
                <w:szCs w:val="22"/>
                <w:lang w:val="zh-CN"/>
              </w:rPr>
            </w:pPr>
            <w:r>
              <w:rPr>
                <w:rFonts w:hint="eastAsia" w:ascii="宋体" w:cs="宋体"/>
                <w:kern w:val="0"/>
                <w:lang w:val="zh-CN"/>
              </w:rPr>
              <w:t>（</w:t>
            </w:r>
            <w:r>
              <w:rPr>
                <w:kern w:val="0"/>
              </w:rPr>
              <w:t>3</w:t>
            </w:r>
            <w:r>
              <w:rPr>
                <w:rFonts w:hint="eastAsia" w:ascii="宋体" w:cs="宋体"/>
                <w:kern w:val="0"/>
                <w:lang w:val="zh-CN"/>
              </w:rPr>
              <w:t>）学生作业的平均成绩应作为本课程总评成绩中平时成绩的重要组成部分。</w:t>
            </w:r>
          </w:p>
        </w:tc>
      </w:tr>
      <w:tr>
        <w:tblPrEx>
          <w:tblCellMar>
            <w:top w:w="0" w:type="dxa"/>
            <w:left w:w="28" w:type="dxa"/>
            <w:bottom w:w="0" w:type="dxa"/>
            <w:right w:w="28" w:type="dxa"/>
          </w:tblCellMar>
        </w:tblPrEx>
        <w:trPr>
          <w:trHeight w:val="1075" w:hRule="atLeast"/>
          <w:jc w:val="center"/>
        </w:trPr>
        <w:tc>
          <w:tcPr>
            <w:tcW w:w="582" w:type="dxa"/>
            <w:tcBorders>
              <w:top w:val="single" w:color="000000" w:sz="4" w:space="0"/>
              <w:left w:val="single" w:color="000000" w:sz="6" w:space="0"/>
              <w:bottom w:val="single" w:color="000000" w:sz="4" w:space="0"/>
              <w:right w:val="single" w:color="000000" w:sz="4" w:space="0"/>
            </w:tcBorders>
            <w:shd w:val="clear" w:color="auto" w:fill="FFFFFF"/>
            <w:vAlign w:val="center"/>
          </w:tcPr>
          <w:p>
            <w:pPr>
              <w:autoSpaceDE w:val="0"/>
              <w:autoSpaceDN w:val="0"/>
              <w:adjustRightInd w:val="0"/>
              <w:spacing w:line="276" w:lineRule="auto"/>
              <w:jc w:val="center"/>
              <w:rPr>
                <w:rFonts w:ascii="宋体" w:cs="宋体"/>
                <w:kern w:val="0"/>
                <w:sz w:val="22"/>
                <w:szCs w:val="22"/>
                <w:lang w:val="zh-CN"/>
              </w:rPr>
            </w:pPr>
            <w:r>
              <w:rPr>
                <w:kern w:val="0"/>
              </w:rPr>
              <w:t>4</w:t>
            </w:r>
          </w:p>
        </w:tc>
        <w:tc>
          <w:tcPr>
            <w:tcW w:w="12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276" w:lineRule="auto"/>
              <w:jc w:val="center"/>
              <w:rPr>
                <w:rFonts w:ascii="宋体" w:cs="宋体"/>
                <w:kern w:val="0"/>
                <w:sz w:val="22"/>
                <w:szCs w:val="22"/>
                <w:lang w:val="zh-CN"/>
              </w:rPr>
            </w:pPr>
            <w:r>
              <w:rPr>
                <w:rFonts w:hint="eastAsia" w:ascii="宋体" w:cs="宋体"/>
                <w:kern w:val="0"/>
                <w:lang w:val="zh-CN"/>
              </w:rPr>
              <w:t>课外答疑</w:t>
            </w:r>
          </w:p>
        </w:tc>
        <w:tc>
          <w:tcPr>
            <w:tcW w:w="7250" w:type="dxa"/>
            <w:tcBorders>
              <w:top w:val="single" w:color="000000" w:sz="4" w:space="0"/>
              <w:left w:val="single" w:color="000000" w:sz="4" w:space="0"/>
              <w:bottom w:val="single" w:color="000000" w:sz="4" w:space="0"/>
              <w:right w:val="single" w:color="000000" w:sz="6" w:space="0"/>
            </w:tcBorders>
            <w:shd w:val="clear" w:color="auto" w:fill="FFFFFF"/>
            <w:vAlign w:val="center"/>
          </w:tcPr>
          <w:p>
            <w:pPr>
              <w:autoSpaceDE w:val="0"/>
              <w:autoSpaceDN w:val="0"/>
              <w:adjustRightInd w:val="0"/>
              <w:spacing w:line="276" w:lineRule="auto"/>
              <w:rPr>
                <w:rFonts w:ascii="宋体" w:cs="宋体"/>
                <w:kern w:val="0"/>
                <w:sz w:val="22"/>
                <w:szCs w:val="22"/>
                <w:lang w:val="zh-CN"/>
              </w:rPr>
            </w:pPr>
            <w:r>
              <w:rPr>
                <w:rFonts w:hint="eastAsia" w:ascii="宋体" w:cs="宋体"/>
                <w:kern w:val="0"/>
                <w:lang w:val="zh-CN"/>
              </w:rPr>
              <w:t>为了解学生的学习情况，帮助学生更好地理解和消化所学知识、改进学习方法和思维方式，培养其独立思考问题的能力，任课教师需每周安排一定时间进行课外答疑与辅导。</w:t>
            </w:r>
          </w:p>
        </w:tc>
      </w:tr>
      <w:tr>
        <w:tblPrEx>
          <w:tblCellMar>
            <w:top w:w="0" w:type="dxa"/>
            <w:left w:w="28" w:type="dxa"/>
            <w:bottom w:w="0" w:type="dxa"/>
            <w:right w:w="28" w:type="dxa"/>
          </w:tblCellMar>
        </w:tblPrEx>
        <w:trPr>
          <w:trHeight w:val="1540" w:hRule="atLeast"/>
          <w:jc w:val="center"/>
        </w:trPr>
        <w:tc>
          <w:tcPr>
            <w:tcW w:w="582" w:type="dxa"/>
            <w:tcBorders>
              <w:top w:val="single" w:color="000000" w:sz="4" w:space="0"/>
              <w:left w:val="single" w:color="000000" w:sz="6" w:space="0"/>
              <w:bottom w:val="single" w:color="000000" w:sz="4" w:space="0"/>
              <w:right w:val="single" w:color="000000" w:sz="4" w:space="0"/>
            </w:tcBorders>
            <w:shd w:val="clear" w:color="auto" w:fill="FFFFFF"/>
            <w:vAlign w:val="center"/>
          </w:tcPr>
          <w:p>
            <w:pPr>
              <w:autoSpaceDE w:val="0"/>
              <w:autoSpaceDN w:val="0"/>
              <w:adjustRightInd w:val="0"/>
              <w:spacing w:line="276" w:lineRule="auto"/>
              <w:jc w:val="center"/>
              <w:rPr>
                <w:rFonts w:ascii="宋体" w:cs="宋体"/>
                <w:kern w:val="0"/>
                <w:sz w:val="22"/>
                <w:szCs w:val="22"/>
                <w:lang w:val="zh-CN"/>
              </w:rPr>
            </w:pPr>
            <w:r>
              <w:rPr>
                <w:kern w:val="0"/>
              </w:rPr>
              <w:t>5</w:t>
            </w:r>
          </w:p>
        </w:tc>
        <w:tc>
          <w:tcPr>
            <w:tcW w:w="12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276" w:lineRule="auto"/>
              <w:jc w:val="center"/>
              <w:rPr>
                <w:rFonts w:ascii="宋体" w:cs="宋体"/>
                <w:kern w:val="0"/>
                <w:sz w:val="22"/>
                <w:szCs w:val="22"/>
                <w:lang w:val="zh-CN"/>
              </w:rPr>
            </w:pPr>
            <w:r>
              <w:rPr>
                <w:rFonts w:hint="eastAsia" w:ascii="宋体" w:cs="宋体"/>
                <w:kern w:val="0"/>
                <w:lang w:val="zh-CN"/>
              </w:rPr>
              <w:t>成绩考核</w:t>
            </w:r>
          </w:p>
        </w:tc>
        <w:tc>
          <w:tcPr>
            <w:tcW w:w="7250" w:type="dxa"/>
            <w:tcBorders>
              <w:top w:val="single" w:color="000000" w:sz="4" w:space="0"/>
              <w:left w:val="single" w:color="000000" w:sz="4" w:space="0"/>
              <w:bottom w:val="single" w:color="000000" w:sz="4" w:space="0"/>
              <w:right w:val="single" w:color="000000" w:sz="6" w:space="0"/>
            </w:tcBorders>
            <w:shd w:val="clear" w:color="auto" w:fill="FFFFFF"/>
            <w:vAlign w:val="center"/>
          </w:tcPr>
          <w:p>
            <w:pPr>
              <w:autoSpaceDE w:val="0"/>
              <w:autoSpaceDN w:val="0"/>
              <w:adjustRightInd w:val="0"/>
              <w:spacing w:line="276" w:lineRule="auto"/>
              <w:rPr>
                <w:kern w:val="0"/>
              </w:rPr>
            </w:pPr>
            <w:r>
              <w:rPr>
                <w:rFonts w:hint="eastAsia" w:ascii="宋体" w:cs="宋体"/>
                <w:kern w:val="0"/>
                <w:lang w:val="zh-CN"/>
              </w:rPr>
              <w:t>本课程考核的方式为闭卷笔试。考试采取教考分离，监考由学院统一安排。有下列情况之一者，总评成绩为不及格：</w:t>
            </w:r>
          </w:p>
          <w:p>
            <w:pPr>
              <w:autoSpaceDE w:val="0"/>
              <w:autoSpaceDN w:val="0"/>
              <w:adjustRightInd w:val="0"/>
              <w:spacing w:line="276" w:lineRule="auto"/>
              <w:rPr>
                <w:kern w:val="0"/>
              </w:rPr>
            </w:pPr>
            <w:r>
              <w:rPr>
                <w:rFonts w:hint="eastAsia" w:ascii="宋体" w:cs="宋体"/>
                <w:kern w:val="0"/>
                <w:lang w:val="zh-CN"/>
              </w:rPr>
              <w:t>（</w:t>
            </w:r>
            <w:r>
              <w:rPr>
                <w:kern w:val="0"/>
              </w:rPr>
              <w:t>1</w:t>
            </w:r>
            <w:r>
              <w:rPr>
                <w:rFonts w:hint="eastAsia" w:ascii="宋体" w:cs="宋体"/>
                <w:kern w:val="0"/>
                <w:lang w:val="zh-CN"/>
              </w:rPr>
              <w:t>）缺交作业次数达</w:t>
            </w:r>
            <w:r>
              <w:rPr>
                <w:kern w:val="0"/>
              </w:rPr>
              <w:t>1/3</w:t>
            </w:r>
            <w:r>
              <w:rPr>
                <w:rFonts w:hint="eastAsia" w:ascii="宋体" w:cs="宋体"/>
                <w:kern w:val="0"/>
                <w:lang w:val="zh-CN"/>
              </w:rPr>
              <w:t>以上者。</w:t>
            </w:r>
          </w:p>
          <w:p>
            <w:pPr>
              <w:autoSpaceDE w:val="0"/>
              <w:autoSpaceDN w:val="0"/>
              <w:adjustRightInd w:val="0"/>
              <w:spacing w:line="276" w:lineRule="auto"/>
              <w:rPr>
                <w:kern w:val="0"/>
              </w:rPr>
            </w:pPr>
            <w:r>
              <w:rPr>
                <w:rFonts w:hint="eastAsia" w:ascii="宋体" w:cs="宋体"/>
                <w:kern w:val="0"/>
                <w:lang w:val="zh-CN"/>
              </w:rPr>
              <w:t>（</w:t>
            </w:r>
            <w:r>
              <w:rPr>
                <w:kern w:val="0"/>
              </w:rPr>
              <w:t>2</w:t>
            </w:r>
            <w:r>
              <w:rPr>
                <w:rFonts w:hint="eastAsia" w:ascii="宋体" w:cs="宋体"/>
                <w:kern w:val="0"/>
                <w:lang w:val="zh-CN"/>
              </w:rPr>
              <w:t>）缺课次数达本学期总授课学时的</w:t>
            </w:r>
            <w:r>
              <w:rPr>
                <w:kern w:val="0"/>
              </w:rPr>
              <w:t>1/3</w:t>
            </w:r>
            <w:r>
              <w:rPr>
                <w:rFonts w:hint="eastAsia" w:ascii="宋体" w:cs="宋体"/>
                <w:kern w:val="0"/>
                <w:lang w:val="zh-CN"/>
              </w:rPr>
              <w:t>以上者。</w:t>
            </w:r>
          </w:p>
          <w:p>
            <w:pPr>
              <w:autoSpaceDE w:val="0"/>
              <w:autoSpaceDN w:val="0"/>
              <w:adjustRightInd w:val="0"/>
              <w:spacing w:line="276" w:lineRule="auto"/>
              <w:rPr>
                <w:rFonts w:ascii="宋体" w:cs="宋体"/>
                <w:kern w:val="0"/>
                <w:sz w:val="22"/>
                <w:szCs w:val="22"/>
                <w:lang w:val="zh-CN"/>
              </w:rPr>
            </w:pPr>
            <w:r>
              <w:rPr>
                <w:rFonts w:hint="eastAsia" w:ascii="宋体" w:cs="宋体"/>
                <w:kern w:val="0"/>
                <w:lang w:val="zh-CN"/>
              </w:rPr>
              <w:t>（</w:t>
            </w:r>
            <w:r>
              <w:rPr>
                <w:kern w:val="0"/>
              </w:rPr>
              <w:t>3</w:t>
            </w:r>
            <w:r>
              <w:rPr>
                <w:rFonts w:hint="eastAsia" w:ascii="宋体" w:cs="宋体"/>
                <w:kern w:val="0"/>
                <w:lang w:val="zh-CN"/>
              </w:rPr>
              <w:t>）课程目标小于</w:t>
            </w:r>
            <w:r>
              <w:rPr>
                <w:kern w:val="0"/>
              </w:rPr>
              <w:t>0.6</w:t>
            </w:r>
            <w:r>
              <w:rPr>
                <w:rFonts w:hint="eastAsia" w:ascii="宋体" w:cs="宋体"/>
                <w:kern w:val="0"/>
                <w:lang w:val="zh-CN"/>
              </w:rPr>
              <w:t>。</w:t>
            </w:r>
          </w:p>
        </w:tc>
      </w:tr>
    </w:tbl>
    <w:p>
      <w:pPr>
        <w:autoSpaceDE w:val="0"/>
        <w:autoSpaceDN w:val="0"/>
        <w:adjustRightInd w:val="0"/>
        <w:spacing w:line="360" w:lineRule="auto"/>
        <w:ind w:firstLine="562"/>
        <w:rPr>
          <w:b/>
          <w:bCs/>
          <w:kern w:val="0"/>
          <w:sz w:val="28"/>
          <w:szCs w:val="28"/>
        </w:rPr>
      </w:pPr>
      <w:r>
        <w:rPr>
          <w:rFonts w:hint="eastAsia" w:ascii="宋体" w:cs="宋体"/>
          <w:b/>
          <w:bCs/>
          <w:kern w:val="0"/>
          <w:sz w:val="28"/>
          <w:szCs w:val="28"/>
          <w:lang w:val="zh-CN"/>
        </w:rPr>
        <w:t>五、考核方式</w:t>
      </w:r>
    </w:p>
    <w:p>
      <w:pPr>
        <w:autoSpaceDE w:val="0"/>
        <w:autoSpaceDN w:val="0"/>
        <w:adjustRightInd w:val="0"/>
        <w:spacing w:line="360" w:lineRule="auto"/>
        <w:ind w:firstLine="480"/>
        <w:rPr>
          <w:kern w:val="0"/>
          <w:sz w:val="24"/>
          <w:szCs w:val="24"/>
        </w:rPr>
      </w:pPr>
      <w:r>
        <w:rPr>
          <w:rFonts w:hint="eastAsia" w:ascii="宋体" w:cs="宋体"/>
          <w:kern w:val="0"/>
          <w:sz w:val="24"/>
          <w:szCs w:val="24"/>
          <w:lang w:val="zh-CN"/>
        </w:rPr>
        <w:t>（一）课程考核包括期末考试、作业、期中测验考核和小组论文，期末考试采用闭卷笔试。</w:t>
      </w:r>
    </w:p>
    <w:p>
      <w:pPr>
        <w:autoSpaceDE w:val="0"/>
        <w:autoSpaceDN w:val="0"/>
        <w:adjustRightInd w:val="0"/>
        <w:spacing w:line="360" w:lineRule="auto"/>
        <w:ind w:firstLine="480"/>
        <w:rPr>
          <w:kern w:val="0"/>
          <w:sz w:val="24"/>
          <w:szCs w:val="24"/>
        </w:rPr>
      </w:pPr>
      <w:r>
        <w:rPr>
          <w:rFonts w:hint="eastAsia" w:ascii="宋体" w:cs="宋体"/>
          <w:kern w:val="0"/>
          <w:sz w:val="24"/>
          <w:szCs w:val="24"/>
          <w:lang w:val="zh-CN"/>
        </w:rPr>
        <w:t>（二）课程成绩</w:t>
      </w:r>
      <w:r>
        <w:rPr>
          <w:kern w:val="0"/>
          <w:sz w:val="24"/>
          <w:szCs w:val="24"/>
        </w:rPr>
        <w:t>=</w:t>
      </w:r>
      <w:r>
        <w:rPr>
          <w:rFonts w:hint="eastAsia" w:ascii="宋体" w:cs="宋体"/>
          <w:kern w:val="0"/>
          <w:sz w:val="24"/>
          <w:szCs w:val="24"/>
          <w:lang w:val="zh-CN"/>
        </w:rPr>
        <w:t>作业成绩×</w:t>
      </w:r>
      <w:r>
        <w:rPr>
          <w:rFonts w:hint="eastAsia"/>
          <w:kern w:val="0"/>
          <w:sz w:val="24"/>
          <w:szCs w:val="24"/>
        </w:rPr>
        <w:t>20</w:t>
      </w:r>
      <w:r>
        <w:rPr>
          <w:kern w:val="0"/>
          <w:sz w:val="24"/>
          <w:szCs w:val="24"/>
        </w:rPr>
        <w:t>%</w:t>
      </w:r>
      <w:r>
        <w:rPr>
          <w:rFonts w:hint="eastAsia"/>
          <w:kern w:val="0"/>
          <w:sz w:val="24"/>
          <w:szCs w:val="24"/>
        </w:rPr>
        <w:t xml:space="preserve"> </w:t>
      </w:r>
      <w:r>
        <w:rPr>
          <w:kern w:val="0"/>
          <w:sz w:val="24"/>
          <w:szCs w:val="24"/>
        </w:rPr>
        <w:t>+</w:t>
      </w:r>
      <w:r>
        <w:rPr>
          <w:rFonts w:hint="eastAsia"/>
          <w:kern w:val="0"/>
          <w:sz w:val="24"/>
          <w:szCs w:val="24"/>
        </w:rPr>
        <w:t xml:space="preserve"> </w:t>
      </w:r>
      <w:r>
        <w:rPr>
          <w:rFonts w:hint="eastAsia" w:ascii="宋体" w:cs="宋体"/>
          <w:kern w:val="0"/>
          <w:sz w:val="24"/>
          <w:szCs w:val="24"/>
          <w:lang w:val="zh-CN"/>
        </w:rPr>
        <w:t>考勤×</w:t>
      </w:r>
      <w:r>
        <w:rPr>
          <w:kern w:val="0"/>
          <w:sz w:val="24"/>
          <w:szCs w:val="24"/>
        </w:rPr>
        <w:t>10%</w:t>
      </w:r>
      <w:r>
        <w:rPr>
          <w:rFonts w:hint="eastAsia"/>
          <w:kern w:val="0"/>
          <w:sz w:val="24"/>
          <w:szCs w:val="24"/>
        </w:rPr>
        <w:t xml:space="preserve"> </w:t>
      </w:r>
      <w:r>
        <w:rPr>
          <w:kern w:val="0"/>
          <w:sz w:val="24"/>
          <w:szCs w:val="24"/>
        </w:rPr>
        <w:t>+</w:t>
      </w:r>
      <w:r>
        <w:rPr>
          <w:rFonts w:hint="eastAsia"/>
          <w:kern w:val="0"/>
          <w:sz w:val="24"/>
          <w:szCs w:val="24"/>
        </w:rPr>
        <w:t xml:space="preserve"> </w:t>
      </w:r>
      <w:r>
        <w:rPr>
          <w:kern w:val="0"/>
          <w:sz w:val="24"/>
          <w:szCs w:val="24"/>
        </w:rPr>
        <w:t>期中测验</w:t>
      </w:r>
      <w:r>
        <w:rPr>
          <w:rFonts w:hint="eastAsia" w:ascii="宋体" w:cs="宋体"/>
          <w:kern w:val="0"/>
          <w:sz w:val="24"/>
          <w:szCs w:val="24"/>
          <w:lang w:val="zh-CN"/>
        </w:rPr>
        <w:t>×</w:t>
      </w:r>
      <w:r>
        <w:rPr>
          <w:rFonts w:hint="eastAsia"/>
          <w:kern w:val="0"/>
          <w:sz w:val="24"/>
          <w:szCs w:val="24"/>
        </w:rPr>
        <w:t>20</w:t>
      </w:r>
      <w:r>
        <w:rPr>
          <w:kern w:val="0"/>
          <w:sz w:val="24"/>
          <w:szCs w:val="24"/>
        </w:rPr>
        <w:t>%</w:t>
      </w:r>
      <w:r>
        <w:rPr>
          <w:rFonts w:hint="eastAsia"/>
          <w:kern w:val="0"/>
          <w:sz w:val="24"/>
          <w:szCs w:val="24"/>
        </w:rPr>
        <w:t xml:space="preserve"> + </w:t>
      </w:r>
      <w:r>
        <w:rPr>
          <w:rFonts w:hint="eastAsia" w:ascii="宋体" w:cs="宋体"/>
          <w:kern w:val="0"/>
          <w:sz w:val="24"/>
          <w:szCs w:val="24"/>
          <w:lang w:val="zh-CN"/>
        </w:rPr>
        <w:t>小组论文（调研或汇报）×</w:t>
      </w:r>
      <w:r>
        <w:rPr>
          <w:rFonts w:hint="eastAsia"/>
          <w:kern w:val="0"/>
          <w:sz w:val="24"/>
          <w:szCs w:val="24"/>
        </w:rPr>
        <w:t>1</w:t>
      </w:r>
      <w:r>
        <w:rPr>
          <w:kern w:val="0"/>
          <w:sz w:val="24"/>
          <w:szCs w:val="24"/>
        </w:rPr>
        <w:t>0%</w:t>
      </w:r>
      <w:r>
        <w:rPr>
          <w:rFonts w:hint="eastAsia"/>
          <w:kern w:val="0"/>
          <w:sz w:val="24"/>
          <w:szCs w:val="24"/>
        </w:rPr>
        <w:t xml:space="preserve"> + </w:t>
      </w:r>
      <w:r>
        <w:rPr>
          <w:rFonts w:hint="eastAsia" w:ascii="宋体" w:cs="宋体"/>
          <w:kern w:val="0"/>
          <w:sz w:val="24"/>
          <w:szCs w:val="24"/>
          <w:lang w:val="zh-CN"/>
        </w:rPr>
        <w:t>期末考试成绩×</w:t>
      </w:r>
      <w:r>
        <w:rPr>
          <w:rFonts w:hint="eastAsia"/>
          <w:kern w:val="0"/>
          <w:sz w:val="24"/>
          <w:szCs w:val="24"/>
        </w:rPr>
        <w:t>4</w:t>
      </w:r>
      <w:r>
        <w:rPr>
          <w:kern w:val="0"/>
          <w:sz w:val="24"/>
          <w:szCs w:val="24"/>
        </w:rPr>
        <w:t>0%</w:t>
      </w:r>
      <w:r>
        <w:rPr>
          <w:rFonts w:hint="eastAsia" w:ascii="宋体" w:cs="宋体"/>
          <w:kern w:val="0"/>
          <w:sz w:val="24"/>
          <w:szCs w:val="24"/>
          <w:lang w:val="zh-CN"/>
        </w:rPr>
        <w:t>。具体内容和比例如表所示。</w:t>
      </w:r>
    </w:p>
    <w:tbl>
      <w:tblPr>
        <w:tblStyle w:val="10"/>
        <w:tblW w:w="9130" w:type="dxa"/>
        <w:tblInd w:w="56" w:type="dxa"/>
        <w:tblLayout w:type="fixed"/>
        <w:tblCellMar>
          <w:top w:w="0" w:type="dxa"/>
          <w:left w:w="56" w:type="dxa"/>
          <w:bottom w:w="0" w:type="dxa"/>
          <w:right w:w="56" w:type="dxa"/>
        </w:tblCellMar>
      </w:tblPr>
      <w:tblGrid>
        <w:gridCol w:w="1043"/>
        <w:gridCol w:w="715"/>
        <w:gridCol w:w="1560"/>
        <w:gridCol w:w="364"/>
        <w:gridCol w:w="2896"/>
        <w:gridCol w:w="638"/>
        <w:gridCol w:w="638"/>
        <w:gridCol w:w="638"/>
        <w:gridCol w:w="638"/>
      </w:tblGrid>
      <w:tr>
        <w:tblPrEx>
          <w:tblCellMar>
            <w:top w:w="0" w:type="dxa"/>
            <w:left w:w="56" w:type="dxa"/>
            <w:bottom w:w="0" w:type="dxa"/>
            <w:right w:w="56" w:type="dxa"/>
          </w:tblCellMar>
        </w:tblPrEx>
        <w:trPr>
          <w:trHeight w:val="159" w:hRule="atLeast"/>
        </w:trPr>
        <w:tc>
          <w:tcPr>
            <w:tcW w:w="104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rFonts w:hint="eastAsia" w:ascii="宋体" w:cs="宋体"/>
                <w:kern w:val="0"/>
                <w:lang w:val="zh-CN"/>
              </w:rPr>
              <w:t>考核环节</w:t>
            </w:r>
          </w:p>
        </w:tc>
        <w:tc>
          <w:tcPr>
            <w:tcW w:w="71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rFonts w:hint="eastAsia" w:ascii="宋体" w:cs="宋体"/>
                <w:kern w:val="0"/>
                <w:lang w:val="zh-CN"/>
              </w:rPr>
              <w:t>成绩比例</w:t>
            </w:r>
          </w:p>
        </w:tc>
        <w:tc>
          <w:tcPr>
            <w:tcW w:w="48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rFonts w:hint="eastAsia" w:ascii="宋体" w:cs="宋体"/>
                <w:kern w:val="0"/>
                <w:lang w:val="zh-CN"/>
              </w:rPr>
              <w:t>考核内容与评价细则</w:t>
            </w:r>
          </w:p>
        </w:tc>
        <w:tc>
          <w:tcPr>
            <w:tcW w:w="255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rFonts w:hint="eastAsia" w:ascii="宋体" w:cs="宋体"/>
                <w:kern w:val="0"/>
                <w:lang w:val="zh-CN"/>
              </w:rPr>
              <w:t>支撑目标</w:t>
            </w:r>
          </w:p>
        </w:tc>
      </w:tr>
      <w:tr>
        <w:tblPrEx>
          <w:tblCellMar>
            <w:top w:w="0" w:type="dxa"/>
            <w:left w:w="56" w:type="dxa"/>
            <w:bottom w:w="0" w:type="dxa"/>
            <w:right w:w="56" w:type="dxa"/>
          </w:tblCellMar>
        </w:tblPrEx>
        <w:trPr>
          <w:trHeight w:val="159" w:hRule="atLeast"/>
        </w:trPr>
        <w:tc>
          <w:tcPr>
            <w:tcW w:w="1043"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cs="宋体"/>
                <w:kern w:val="0"/>
                <w:sz w:val="22"/>
                <w:szCs w:val="22"/>
                <w:lang w:val="zh-CN"/>
              </w:rPr>
            </w:pPr>
          </w:p>
        </w:tc>
        <w:tc>
          <w:tcPr>
            <w:tcW w:w="7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cs="宋体"/>
                <w:kern w:val="0"/>
                <w:sz w:val="22"/>
                <w:szCs w:val="22"/>
                <w:lang w:val="zh-CN"/>
              </w:rPr>
            </w:pPr>
          </w:p>
        </w:tc>
        <w:tc>
          <w:tcPr>
            <w:tcW w:w="4820"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cs="宋体"/>
                <w:kern w:val="0"/>
                <w:sz w:val="22"/>
                <w:szCs w:val="22"/>
                <w:lang w:val="zh-CN"/>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rFonts w:hint="eastAsia" w:ascii="宋体" w:cs="宋体"/>
                <w:kern w:val="0"/>
                <w:lang w:val="zh-CN"/>
              </w:rPr>
              <w:t>目标</w:t>
            </w:r>
            <w:r>
              <w:rPr>
                <w:kern w:val="0"/>
              </w:rPr>
              <w:t>1</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rFonts w:hint="eastAsia" w:ascii="宋体" w:cs="宋体"/>
                <w:kern w:val="0"/>
                <w:lang w:val="zh-CN"/>
              </w:rPr>
              <w:t>目标</w:t>
            </w:r>
            <w:r>
              <w:rPr>
                <w:kern w:val="0"/>
              </w:rPr>
              <w:t>2</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rFonts w:hint="eastAsia" w:ascii="宋体" w:cs="宋体"/>
                <w:kern w:val="0"/>
                <w:lang w:val="zh-CN"/>
              </w:rPr>
              <w:t>目标</w:t>
            </w:r>
            <w:r>
              <w:rPr>
                <w:kern w:val="0"/>
              </w:rPr>
              <w:t>3</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p>
        </w:tc>
      </w:tr>
      <w:tr>
        <w:tblPrEx>
          <w:tblCellMar>
            <w:top w:w="0" w:type="dxa"/>
            <w:left w:w="56" w:type="dxa"/>
            <w:bottom w:w="0" w:type="dxa"/>
            <w:right w:w="56" w:type="dxa"/>
          </w:tblCellMar>
        </w:tblPrEx>
        <w:trPr>
          <w:trHeight w:val="159" w:hRule="atLeast"/>
        </w:trPr>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rFonts w:hint="eastAsia" w:ascii="宋体" w:cs="宋体"/>
                <w:kern w:val="0"/>
                <w:lang w:val="zh-CN"/>
              </w:rPr>
              <w:t>考勤</w:t>
            </w:r>
          </w:p>
        </w:tc>
        <w:tc>
          <w:tcPr>
            <w:tcW w:w="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kern w:val="0"/>
              </w:rPr>
              <w:t>10%</w:t>
            </w:r>
          </w:p>
        </w:tc>
        <w:tc>
          <w:tcPr>
            <w:tcW w:w="482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kern w:val="0"/>
                <w:lang w:val="zh-CN"/>
              </w:rPr>
              <w:t>课堂不定期点名，考核能否按时到勤，对于旷课、迟到和早退者适当扣分，根据平时课堂笔记、课堂回答问题等情况确定平时表现分数。</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kern w:val="0"/>
              </w:rPr>
              <w:t>4%</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kern w:val="0"/>
              </w:rPr>
              <w:t>3%</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kern w:val="0"/>
              </w:rPr>
              <w:t>3%</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p>
        </w:tc>
      </w:tr>
      <w:tr>
        <w:tblPrEx>
          <w:tblCellMar>
            <w:top w:w="0" w:type="dxa"/>
            <w:left w:w="56" w:type="dxa"/>
            <w:bottom w:w="0" w:type="dxa"/>
            <w:right w:w="56" w:type="dxa"/>
          </w:tblCellMar>
        </w:tblPrEx>
        <w:trPr>
          <w:trHeight w:val="159" w:hRule="atLeast"/>
        </w:trPr>
        <w:tc>
          <w:tcPr>
            <w:tcW w:w="10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rFonts w:hint="eastAsia" w:ascii="宋体" w:cs="宋体"/>
                <w:kern w:val="0"/>
                <w:lang w:val="zh-CN"/>
              </w:rPr>
              <w:t>作</w:t>
            </w:r>
            <w:r>
              <w:rPr>
                <w:kern w:val="0"/>
              </w:rPr>
              <w:t xml:space="preserve">    </w:t>
            </w:r>
            <w:r>
              <w:rPr>
                <w:rFonts w:hint="eastAsia" w:ascii="宋体" w:cs="宋体"/>
                <w:kern w:val="0"/>
                <w:lang w:val="zh-CN"/>
              </w:rPr>
              <w:t>业</w:t>
            </w:r>
          </w:p>
        </w:tc>
        <w:tc>
          <w:tcPr>
            <w:tcW w:w="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kern w:val="0"/>
              </w:rPr>
              <w:t>20%</w:t>
            </w:r>
          </w:p>
        </w:tc>
        <w:tc>
          <w:tcPr>
            <w:tcW w:w="482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rPr>
                <w:rFonts w:ascii="宋体" w:cs="宋体"/>
                <w:kern w:val="0"/>
                <w:sz w:val="22"/>
                <w:szCs w:val="22"/>
                <w:lang w:val="zh-CN"/>
              </w:rPr>
            </w:pPr>
            <w:r>
              <w:rPr>
                <w:rFonts w:hint="eastAsia" w:ascii="宋体" w:cs="宋体"/>
                <w:kern w:val="0"/>
                <w:lang w:val="zh-CN"/>
              </w:rPr>
              <w:t>重点章节对应有思考题和习题，考核学生对每节课知识点的复习、理解和掌握度。对每次作业完成情况做记录并百分制打分。</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color w:val="000000"/>
                <w:kern w:val="0"/>
              </w:rPr>
              <w:t>10%</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color w:val="000000"/>
                <w:kern w:val="0"/>
              </w:rPr>
              <w:t>5%</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color w:val="000000"/>
                <w:kern w:val="0"/>
              </w:rPr>
              <w:t>5%</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p>
        </w:tc>
      </w:tr>
      <w:tr>
        <w:tblPrEx>
          <w:tblCellMar>
            <w:top w:w="0" w:type="dxa"/>
            <w:left w:w="56" w:type="dxa"/>
            <w:bottom w:w="0" w:type="dxa"/>
            <w:right w:w="56" w:type="dxa"/>
          </w:tblCellMar>
        </w:tblPrEx>
        <w:trPr>
          <w:trHeight w:val="159" w:hRule="atLeast"/>
        </w:trPr>
        <w:tc>
          <w:tcPr>
            <w:tcW w:w="1043" w:type="dxa"/>
            <w:vMerge w:val="restart"/>
            <w:tcBorders>
              <w:top w:val="single" w:color="000000" w:sz="4" w:space="0"/>
              <w:left w:val="single" w:color="000000" w:sz="4" w:space="0"/>
              <w:right w:val="single" w:color="000000" w:sz="4" w:space="0"/>
            </w:tcBorders>
            <w:shd w:val="clear" w:color="auto" w:fill="FFFFFF"/>
            <w:vAlign w:val="center"/>
          </w:tcPr>
          <w:p>
            <w:pPr>
              <w:autoSpaceDE w:val="0"/>
              <w:autoSpaceDN w:val="0"/>
              <w:adjustRightInd w:val="0"/>
              <w:jc w:val="center"/>
              <w:rPr>
                <w:rFonts w:hint="eastAsia" w:ascii="宋体" w:cs="宋体"/>
                <w:kern w:val="0"/>
                <w:lang w:val="zh-CN"/>
              </w:rPr>
            </w:pPr>
            <w:r>
              <w:rPr>
                <w:rFonts w:hint="eastAsia" w:ascii="宋体" w:cs="宋体"/>
                <w:kern w:val="0"/>
                <w:lang w:val="zh-CN"/>
              </w:rPr>
              <w:t>期中测验</w:t>
            </w:r>
          </w:p>
        </w:tc>
        <w:tc>
          <w:tcPr>
            <w:tcW w:w="715" w:type="dxa"/>
            <w:vMerge w:val="restart"/>
            <w:tcBorders>
              <w:top w:val="single" w:color="000000" w:sz="4" w:space="0"/>
              <w:left w:val="single" w:color="000000" w:sz="4" w:space="0"/>
              <w:right w:val="single" w:color="000000" w:sz="4" w:space="0"/>
            </w:tcBorders>
            <w:shd w:val="clear" w:color="auto" w:fill="FFFFFF"/>
            <w:vAlign w:val="center"/>
          </w:tcPr>
          <w:p>
            <w:pPr>
              <w:autoSpaceDE w:val="0"/>
              <w:autoSpaceDN w:val="0"/>
              <w:adjustRightInd w:val="0"/>
              <w:jc w:val="center"/>
              <w:rPr>
                <w:kern w:val="0"/>
              </w:rPr>
            </w:pPr>
            <w:r>
              <w:rPr>
                <w:rFonts w:hint="eastAsia"/>
                <w:kern w:val="0"/>
              </w:rPr>
              <w:t>20%</w:t>
            </w:r>
          </w:p>
        </w:tc>
        <w:tc>
          <w:tcPr>
            <w:tcW w:w="1924" w:type="dxa"/>
            <w:gridSpan w:val="2"/>
            <w:tcBorders>
              <w:top w:val="single" w:color="000000" w:sz="4" w:space="0"/>
              <w:left w:val="single" w:color="000000" w:sz="4" w:space="0"/>
              <w:bottom w:val="single" w:color="000000" w:sz="4" w:space="0"/>
              <w:right w:val="single" w:color="auto" w:sz="4" w:space="0"/>
            </w:tcBorders>
            <w:shd w:val="clear" w:color="auto" w:fill="FFFFFF"/>
            <w:vAlign w:val="center"/>
          </w:tcPr>
          <w:p>
            <w:pPr>
              <w:autoSpaceDE w:val="0"/>
              <w:autoSpaceDN w:val="0"/>
              <w:adjustRightInd w:val="0"/>
              <w:rPr>
                <w:rFonts w:hint="eastAsia" w:ascii="宋体" w:cs="宋体"/>
                <w:kern w:val="0"/>
                <w:lang w:val="zh-CN"/>
              </w:rPr>
            </w:pPr>
            <w:r>
              <w:rPr>
                <w:rFonts w:hint="eastAsia" w:ascii="宋体" w:cs="宋体"/>
                <w:kern w:val="0"/>
                <w:lang w:val="zh-CN"/>
              </w:rPr>
              <w:t>题型</w:t>
            </w:r>
          </w:p>
        </w:tc>
        <w:tc>
          <w:tcPr>
            <w:tcW w:w="2896" w:type="dxa"/>
            <w:tcBorders>
              <w:top w:val="single" w:color="000000" w:sz="4" w:space="0"/>
              <w:left w:val="single" w:color="auto" w:sz="4" w:space="0"/>
              <w:bottom w:val="single" w:color="000000" w:sz="4" w:space="0"/>
              <w:right w:val="single" w:color="000000" w:sz="4" w:space="0"/>
            </w:tcBorders>
            <w:shd w:val="clear" w:color="auto" w:fill="FFFFFF"/>
            <w:vAlign w:val="center"/>
          </w:tcPr>
          <w:p>
            <w:pPr>
              <w:autoSpaceDE w:val="0"/>
              <w:autoSpaceDN w:val="0"/>
              <w:adjustRightInd w:val="0"/>
              <w:rPr>
                <w:rFonts w:hint="eastAsia" w:ascii="宋体" w:cs="宋体"/>
                <w:kern w:val="0"/>
                <w:lang w:val="zh-CN"/>
              </w:rPr>
            </w:pPr>
            <w:r>
              <w:rPr>
                <w:rFonts w:hint="eastAsia" w:ascii="宋体" w:cs="宋体"/>
                <w:kern w:val="0"/>
                <w:lang w:val="zh-CN"/>
              </w:rPr>
              <w:t>考核内容及相应试题</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color w:val="000000"/>
                <w:kern w:val="0"/>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color w:val="000000"/>
                <w:kern w:val="0"/>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color w:val="000000"/>
                <w:kern w:val="0"/>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p>
        </w:tc>
      </w:tr>
      <w:tr>
        <w:tblPrEx>
          <w:tblCellMar>
            <w:top w:w="0" w:type="dxa"/>
            <w:left w:w="56" w:type="dxa"/>
            <w:bottom w:w="0" w:type="dxa"/>
            <w:right w:w="56" w:type="dxa"/>
          </w:tblCellMar>
        </w:tblPrEx>
        <w:trPr>
          <w:trHeight w:val="159" w:hRule="atLeast"/>
        </w:trPr>
        <w:tc>
          <w:tcPr>
            <w:tcW w:w="1043" w:type="dxa"/>
            <w:vMerge w:val="continue"/>
            <w:tcBorders>
              <w:left w:val="single" w:color="000000" w:sz="4" w:space="0"/>
              <w:right w:val="single" w:color="000000" w:sz="4" w:space="0"/>
            </w:tcBorders>
            <w:shd w:val="clear" w:color="auto" w:fill="FFFFFF"/>
            <w:vAlign w:val="center"/>
          </w:tcPr>
          <w:p>
            <w:pPr>
              <w:autoSpaceDE w:val="0"/>
              <w:autoSpaceDN w:val="0"/>
              <w:adjustRightInd w:val="0"/>
              <w:jc w:val="center"/>
              <w:rPr>
                <w:rFonts w:hint="eastAsia" w:ascii="宋体" w:cs="宋体"/>
                <w:kern w:val="0"/>
                <w:lang w:val="zh-CN"/>
              </w:rPr>
            </w:pPr>
          </w:p>
        </w:tc>
        <w:tc>
          <w:tcPr>
            <w:tcW w:w="715" w:type="dxa"/>
            <w:vMerge w:val="continue"/>
            <w:tcBorders>
              <w:left w:val="single" w:color="000000" w:sz="4" w:space="0"/>
              <w:right w:val="single" w:color="000000" w:sz="4" w:space="0"/>
            </w:tcBorders>
            <w:shd w:val="clear" w:color="auto" w:fill="FFFFFF"/>
            <w:vAlign w:val="center"/>
          </w:tcPr>
          <w:p>
            <w:pPr>
              <w:autoSpaceDE w:val="0"/>
              <w:autoSpaceDN w:val="0"/>
              <w:adjustRightInd w:val="0"/>
              <w:jc w:val="center"/>
              <w:rPr>
                <w:kern w:val="0"/>
              </w:rPr>
            </w:pPr>
          </w:p>
        </w:tc>
        <w:tc>
          <w:tcPr>
            <w:tcW w:w="1924" w:type="dxa"/>
            <w:gridSpan w:val="2"/>
            <w:tcBorders>
              <w:top w:val="single" w:color="000000" w:sz="4" w:space="0"/>
              <w:left w:val="single" w:color="000000" w:sz="4" w:space="0"/>
              <w:bottom w:val="single" w:color="000000" w:sz="4" w:space="0"/>
              <w:right w:val="single" w:color="auto" w:sz="4" w:space="0"/>
            </w:tcBorders>
            <w:shd w:val="clear" w:color="auto" w:fill="FFFFFF"/>
            <w:vAlign w:val="center"/>
          </w:tcPr>
          <w:p>
            <w:pPr>
              <w:autoSpaceDE w:val="0"/>
              <w:autoSpaceDN w:val="0"/>
              <w:adjustRightInd w:val="0"/>
              <w:rPr>
                <w:rFonts w:hint="eastAsia" w:ascii="宋体" w:cs="宋体"/>
                <w:kern w:val="0"/>
                <w:lang w:val="zh-CN"/>
              </w:rPr>
            </w:pPr>
            <w:r>
              <w:rPr>
                <w:rFonts w:hint="eastAsia" w:ascii="宋体" w:cs="宋体"/>
                <w:kern w:val="0"/>
                <w:lang w:val="zh-CN"/>
              </w:rPr>
              <w:t>选择题</w:t>
            </w:r>
          </w:p>
        </w:tc>
        <w:tc>
          <w:tcPr>
            <w:tcW w:w="2896" w:type="dxa"/>
            <w:tcBorders>
              <w:top w:val="single" w:color="000000" w:sz="4" w:space="0"/>
              <w:left w:val="single" w:color="auto" w:sz="4" w:space="0"/>
              <w:bottom w:val="single" w:color="000000" w:sz="4" w:space="0"/>
              <w:right w:val="single" w:color="000000" w:sz="4" w:space="0"/>
            </w:tcBorders>
            <w:shd w:val="clear" w:color="auto" w:fill="FFFFFF"/>
            <w:vAlign w:val="center"/>
          </w:tcPr>
          <w:p>
            <w:pPr>
              <w:autoSpaceDE w:val="0"/>
              <w:autoSpaceDN w:val="0"/>
              <w:adjustRightInd w:val="0"/>
              <w:rPr>
                <w:rFonts w:hint="eastAsia" w:ascii="宋体" w:cs="宋体"/>
                <w:kern w:val="0"/>
                <w:lang w:val="zh-CN"/>
              </w:rPr>
            </w:pPr>
            <w:r>
              <w:rPr>
                <w:rFonts w:hint="eastAsia" w:ascii="宋体" w:cs="宋体"/>
                <w:kern w:val="0"/>
                <w:lang w:val="zh-CN"/>
              </w:rPr>
              <w:t>主要考核无机化学基本概念和原理。</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color w:val="000000"/>
                <w:kern w:val="0"/>
              </w:rPr>
            </w:pPr>
            <w:r>
              <w:rPr>
                <w:rFonts w:hint="eastAsia"/>
                <w:color w:val="000000"/>
                <w:kern w:val="0"/>
              </w:rPr>
              <w:t>2%</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color w:val="000000"/>
                <w:kern w:val="0"/>
              </w:rPr>
            </w:pPr>
            <w:r>
              <w:rPr>
                <w:rFonts w:hint="eastAsia"/>
                <w:color w:val="000000"/>
                <w:kern w:val="0"/>
              </w:rPr>
              <w:t>2%</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color w:val="000000"/>
                <w:kern w:val="0"/>
              </w:rPr>
            </w:pPr>
            <w:r>
              <w:rPr>
                <w:rFonts w:hint="eastAsia"/>
                <w:color w:val="000000"/>
                <w:kern w:val="0"/>
              </w:rPr>
              <w:t>2%</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p>
        </w:tc>
      </w:tr>
      <w:tr>
        <w:tblPrEx>
          <w:tblCellMar>
            <w:top w:w="0" w:type="dxa"/>
            <w:left w:w="56" w:type="dxa"/>
            <w:bottom w:w="0" w:type="dxa"/>
            <w:right w:w="56" w:type="dxa"/>
          </w:tblCellMar>
        </w:tblPrEx>
        <w:trPr>
          <w:trHeight w:val="159" w:hRule="atLeast"/>
        </w:trPr>
        <w:tc>
          <w:tcPr>
            <w:tcW w:w="1043" w:type="dxa"/>
            <w:vMerge w:val="continue"/>
            <w:tcBorders>
              <w:left w:val="single" w:color="000000" w:sz="4" w:space="0"/>
              <w:right w:val="single" w:color="000000" w:sz="4" w:space="0"/>
            </w:tcBorders>
            <w:shd w:val="clear" w:color="auto" w:fill="FFFFFF"/>
            <w:vAlign w:val="center"/>
          </w:tcPr>
          <w:p>
            <w:pPr>
              <w:autoSpaceDE w:val="0"/>
              <w:autoSpaceDN w:val="0"/>
              <w:adjustRightInd w:val="0"/>
              <w:jc w:val="center"/>
              <w:rPr>
                <w:rFonts w:hint="eastAsia" w:ascii="宋体" w:cs="宋体"/>
                <w:kern w:val="0"/>
                <w:lang w:val="zh-CN"/>
              </w:rPr>
            </w:pPr>
          </w:p>
        </w:tc>
        <w:tc>
          <w:tcPr>
            <w:tcW w:w="715" w:type="dxa"/>
            <w:vMerge w:val="continue"/>
            <w:tcBorders>
              <w:left w:val="single" w:color="000000" w:sz="4" w:space="0"/>
              <w:right w:val="single" w:color="000000" w:sz="4" w:space="0"/>
            </w:tcBorders>
            <w:shd w:val="clear" w:color="auto" w:fill="FFFFFF"/>
            <w:vAlign w:val="center"/>
          </w:tcPr>
          <w:p>
            <w:pPr>
              <w:autoSpaceDE w:val="0"/>
              <w:autoSpaceDN w:val="0"/>
              <w:adjustRightInd w:val="0"/>
              <w:jc w:val="center"/>
              <w:rPr>
                <w:kern w:val="0"/>
              </w:rPr>
            </w:pPr>
          </w:p>
        </w:tc>
        <w:tc>
          <w:tcPr>
            <w:tcW w:w="1924" w:type="dxa"/>
            <w:gridSpan w:val="2"/>
            <w:tcBorders>
              <w:top w:val="single" w:color="000000" w:sz="4" w:space="0"/>
              <w:left w:val="single" w:color="000000" w:sz="4" w:space="0"/>
              <w:bottom w:val="single" w:color="000000" w:sz="4" w:space="0"/>
              <w:right w:val="single" w:color="auto" w:sz="4" w:space="0"/>
            </w:tcBorders>
            <w:shd w:val="clear" w:color="auto" w:fill="FFFFFF"/>
            <w:vAlign w:val="center"/>
          </w:tcPr>
          <w:p>
            <w:pPr>
              <w:autoSpaceDE w:val="0"/>
              <w:autoSpaceDN w:val="0"/>
              <w:adjustRightInd w:val="0"/>
              <w:rPr>
                <w:rFonts w:hint="eastAsia" w:ascii="宋体" w:cs="宋体"/>
                <w:kern w:val="0"/>
                <w:lang w:val="zh-CN"/>
              </w:rPr>
            </w:pPr>
            <w:r>
              <w:rPr>
                <w:rFonts w:hint="eastAsia" w:ascii="宋体" w:cs="宋体"/>
                <w:kern w:val="0"/>
                <w:lang w:val="zh-CN"/>
              </w:rPr>
              <w:t>简答题</w:t>
            </w:r>
          </w:p>
        </w:tc>
        <w:tc>
          <w:tcPr>
            <w:tcW w:w="2896" w:type="dxa"/>
            <w:tcBorders>
              <w:top w:val="single" w:color="000000" w:sz="4" w:space="0"/>
              <w:left w:val="single" w:color="auto" w:sz="4" w:space="0"/>
              <w:bottom w:val="single" w:color="000000" w:sz="4" w:space="0"/>
              <w:right w:val="single" w:color="000000" w:sz="4" w:space="0"/>
            </w:tcBorders>
            <w:shd w:val="clear" w:color="auto" w:fill="FFFFFF"/>
            <w:vAlign w:val="center"/>
          </w:tcPr>
          <w:p>
            <w:pPr>
              <w:autoSpaceDE w:val="0"/>
              <w:autoSpaceDN w:val="0"/>
              <w:adjustRightInd w:val="0"/>
              <w:rPr>
                <w:rFonts w:hint="eastAsia" w:ascii="宋体" w:cs="宋体"/>
                <w:kern w:val="0"/>
                <w:lang w:val="zh-CN"/>
              </w:rPr>
            </w:pPr>
            <w:r>
              <w:rPr>
                <w:rFonts w:hint="eastAsia" w:ascii="宋体" w:cs="宋体"/>
                <w:kern w:val="0"/>
                <w:lang w:val="zh-CN"/>
              </w:rPr>
              <w:t>主要考核无机化学中的定律。</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color w:val="000000"/>
                <w:kern w:val="0"/>
              </w:rPr>
            </w:pPr>
            <w:r>
              <w:rPr>
                <w:rFonts w:hint="eastAsia"/>
                <w:color w:val="000000"/>
                <w:kern w:val="0"/>
              </w:rPr>
              <w:t>2%</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color w:val="000000"/>
                <w:kern w:val="0"/>
              </w:rPr>
            </w:pPr>
            <w:r>
              <w:rPr>
                <w:rFonts w:hint="eastAsia"/>
                <w:color w:val="000000"/>
                <w:kern w:val="0"/>
              </w:rPr>
              <w:t>2%</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color w:val="000000"/>
                <w:kern w:val="0"/>
              </w:rPr>
            </w:pPr>
            <w:r>
              <w:rPr>
                <w:rFonts w:hint="eastAsia"/>
                <w:color w:val="000000"/>
                <w:kern w:val="0"/>
              </w:rPr>
              <w:t>2%</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p>
        </w:tc>
      </w:tr>
      <w:tr>
        <w:tblPrEx>
          <w:tblCellMar>
            <w:top w:w="0" w:type="dxa"/>
            <w:left w:w="56" w:type="dxa"/>
            <w:bottom w:w="0" w:type="dxa"/>
            <w:right w:w="56" w:type="dxa"/>
          </w:tblCellMar>
        </w:tblPrEx>
        <w:trPr>
          <w:trHeight w:val="159" w:hRule="atLeast"/>
        </w:trPr>
        <w:tc>
          <w:tcPr>
            <w:tcW w:w="1043" w:type="dxa"/>
            <w:vMerge w:val="continue"/>
            <w:tcBorders>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ascii="宋体" w:cs="宋体"/>
                <w:kern w:val="0"/>
                <w:lang w:val="zh-CN"/>
              </w:rPr>
            </w:pPr>
          </w:p>
        </w:tc>
        <w:tc>
          <w:tcPr>
            <w:tcW w:w="715" w:type="dxa"/>
            <w:vMerge w:val="continue"/>
            <w:tcBorders>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kern w:val="0"/>
              </w:rPr>
            </w:pPr>
          </w:p>
        </w:tc>
        <w:tc>
          <w:tcPr>
            <w:tcW w:w="1924" w:type="dxa"/>
            <w:gridSpan w:val="2"/>
            <w:tcBorders>
              <w:top w:val="single" w:color="000000" w:sz="4" w:space="0"/>
              <w:left w:val="single" w:color="000000" w:sz="4" w:space="0"/>
              <w:bottom w:val="single" w:color="000000" w:sz="4" w:space="0"/>
              <w:right w:val="single" w:color="auto" w:sz="4" w:space="0"/>
            </w:tcBorders>
            <w:shd w:val="clear" w:color="auto" w:fill="FFFFFF"/>
            <w:vAlign w:val="center"/>
          </w:tcPr>
          <w:p>
            <w:pPr>
              <w:autoSpaceDE w:val="0"/>
              <w:autoSpaceDN w:val="0"/>
              <w:adjustRightInd w:val="0"/>
              <w:rPr>
                <w:rFonts w:hint="eastAsia" w:ascii="宋体" w:cs="宋体"/>
                <w:kern w:val="0"/>
                <w:lang w:val="zh-CN"/>
              </w:rPr>
            </w:pPr>
            <w:r>
              <w:rPr>
                <w:rFonts w:hint="eastAsia" w:ascii="宋体" w:cs="宋体"/>
                <w:kern w:val="0"/>
                <w:lang w:val="zh-CN"/>
              </w:rPr>
              <w:t>计算题</w:t>
            </w:r>
          </w:p>
        </w:tc>
        <w:tc>
          <w:tcPr>
            <w:tcW w:w="2896" w:type="dxa"/>
            <w:tcBorders>
              <w:top w:val="single" w:color="000000" w:sz="4" w:space="0"/>
              <w:left w:val="single" w:color="auto" w:sz="4" w:space="0"/>
              <w:bottom w:val="single" w:color="000000" w:sz="4" w:space="0"/>
              <w:right w:val="single" w:color="000000" w:sz="4" w:space="0"/>
            </w:tcBorders>
            <w:shd w:val="clear" w:color="auto" w:fill="FFFFFF"/>
            <w:vAlign w:val="center"/>
          </w:tcPr>
          <w:p>
            <w:pPr>
              <w:autoSpaceDE w:val="0"/>
              <w:autoSpaceDN w:val="0"/>
              <w:adjustRightInd w:val="0"/>
              <w:rPr>
                <w:rFonts w:hint="eastAsia" w:ascii="宋体" w:cs="宋体"/>
                <w:kern w:val="0"/>
                <w:lang w:val="zh-CN"/>
              </w:rPr>
            </w:pPr>
            <w:r>
              <w:rPr>
                <w:rFonts w:hint="eastAsia" w:ascii="宋体" w:cs="宋体"/>
                <w:kern w:val="0"/>
                <w:lang w:val="zh-CN"/>
              </w:rPr>
              <w:t>主要考核定量定性方法，方法评价等。</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color w:val="000000"/>
                <w:kern w:val="0"/>
              </w:rPr>
            </w:pPr>
            <w:r>
              <w:rPr>
                <w:rFonts w:hint="eastAsia"/>
                <w:color w:val="000000"/>
                <w:kern w:val="0"/>
              </w:rPr>
              <w:t>4%</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color w:val="000000"/>
                <w:kern w:val="0"/>
              </w:rPr>
            </w:pPr>
            <w:r>
              <w:rPr>
                <w:rFonts w:hint="eastAsia"/>
                <w:color w:val="000000"/>
                <w:kern w:val="0"/>
              </w:rPr>
              <w:t>2%</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color w:val="000000"/>
                <w:kern w:val="0"/>
              </w:rPr>
            </w:pPr>
            <w:r>
              <w:rPr>
                <w:rFonts w:hint="eastAsia"/>
                <w:color w:val="000000"/>
                <w:kern w:val="0"/>
              </w:rPr>
              <w:t>2%</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p>
        </w:tc>
      </w:tr>
      <w:tr>
        <w:tblPrEx>
          <w:tblCellMar>
            <w:top w:w="0" w:type="dxa"/>
            <w:left w:w="56" w:type="dxa"/>
            <w:bottom w:w="0" w:type="dxa"/>
            <w:right w:w="56" w:type="dxa"/>
          </w:tblCellMar>
        </w:tblPrEx>
        <w:trPr>
          <w:trHeight w:val="1" w:hRule="atLeast"/>
        </w:trPr>
        <w:tc>
          <w:tcPr>
            <w:tcW w:w="104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jc w:val="center"/>
              <w:rPr>
                <w:rFonts w:ascii="宋体" w:cs="宋体"/>
                <w:kern w:val="0"/>
                <w:sz w:val="22"/>
                <w:szCs w:val="22"/>
                <w:lang w:val="zh-CN"/>
              </w:rPr>
            </w:pPr>
            <w:r>
              <w:rPr>
                <w:rFonts w:hint="eastAsia" w:ascii="宋体" w:cs="宋体"/>
                <w:kern w:val="0"/>
                <w:lang w:val="zh-CN"/>
              </w:rPr>
              <w:t>小组论文（调研或汇报）</w:t>
            </w:r>
          </w:p>
        </w:tc>
        <w:tc>
          <w:tcPr>
            <w:tcW w:w="715"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jc w:val="center"/>
              <w:rPr>
                <w:rFonts w:ascii="宋体" w:cs="宋体"/>
                <w:kern w:val="0"/>
                <w:sz w:val="22"/>
                <w:szCs w:val="22"/>
                <w:lang w:val="zh-CN"/>
              </w:rPr>
            </w:pPr>
            <w:r>
              <w:rPr>
                <w:rFonts w:hint="eastAsia"/>
                <w:kern w:val="0"/>
              </w:rPr>
              <w:t>1</w:t>
            </w:r>
            <w:r>
              <w:rPr>
                <w:kern w:val="0"/>
              </w:rPr>
              <w:t xml:space="preserve">0% </w:t>
            </w:r>
          </w:p>
        </w:tc>
        <w:tc>
          <w:tcPr>
            <w:tcW w:w="4820" w:type="dxa"/>
            <w:gridSpan w:val="3"/>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rPr>
                <w:rFonts w:ascii="宋体" w:cs="宋体"/>
                <w:kern w:val="0"/>
                <w:sz w:val="22"/>
                <w:szCs w:val="22"/>
                <w:lang w:val="zh-CN"/>
              </w:rPr>
            </w:pPr>
            <w:r>
              <w:rPr>
                <w:rFonts w:hint="eastAsia" w:ascii="宋体" w:cs="宋体"/>
                <w:color w:val="000000"/>
                <w:kern w:val="0"/>
                <w:lang w:val="zh-CN"/>
              </w:rPr>
              <w:t>主要考核学生思考和解决问题的能力，每组提交一份小论文，按照论文情况进行打分。</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rFonts w:hint="eastAsia"/>
                <w:color w:val="000000"/>
                <w:kern w:val="0"/>
              </w:rPr>
              <w:t>2</w:t>
            </w:r>
            <w:r>
              <w:rPr>
                <w:color w:val="000000"/>
                <w:kern w:val="0"/>
              </w:rPr>
              <w:t>%</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rFonts w:hint="eastAsia"/>
                <w:color w:val="000000"/>
                <w:kern w:val="0"/>
              </w:rPr>
              <w:t>4</w:t>
            </w:r>
            <w:r>
              <w:rPr>
                <w:color w:val="000000"/>
                <w:kern w:val="0"/>
              </w:rPr>
              <w:t>%</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rFonts w:hint="eastAsia"/>
                <w:color w:val="000000"/>
                <w:kern w:val="0"/>
              </w:rPr>
              <w:t>4</w:t>
            </w:r>
            <w:r>
              <w:rPr>
                <w:color w:val="000000"/>
                <w:kern w:val="0"/>
              </w:rPr>
              <w:t>%</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p>
        </w:tc>
      </w:tr>
      <w:tr>
        <w:tblPrEx>
          <w:tblCellMar>
            <w:top w:w="0" w:type="dxa"/>
            <w:left w:w="56" w:type="dxa"/>
            <w:bottom w:w="0" w:type="dxa"/>
            <w:right w:w="56" w:type="dxa"/>
          </w:tblCellMar>
        </w:tblPrEx>
        <w:trPr>
          <w:trHeight w:val="475" w:hRule="atLeast"/>
        </w:trPr>
        <w:tc>
          <w:tcPr>
            <w:tcW w:w="1043" w:type="dxa"/>
            <w:vMerge w:val="restart"/>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jc w:val="center"/>
              <w:rPr>
                <w:rFonts w:ascii="宋体" w:cs="宋体"/>
                <w:kern w:val="0"/>
                <w:sz w:val="22"/>
                <w:szCs w:val="22"/>
                <w:lang w:val="zh-CN"/>
              </w:rPr>
            </w:pPr>
            <w:r>
              <w:rPr>
                <w:rFonts w:hint="eastAsia" w:ascii="宋体" w:cs="宋体"/>
                <w:kern w:val="0"/>
                <w:lang w:val="zh-CN"/>
              </w:rPr>
              <w:t>期末试卷</w:t>
            </w:r>
          </w:p>
        </w:tc>
        <w:tc>
          <w:tcPr>
            <w:tcW w:w="715" w:type="dxa"/>
            <w:vMerge w:val="restart"/>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jc w:val="center"/>
              <w:rPr>
                <w:rFonts w:ascii="宋体" w:cs="宋体"/>
                <w:kern w:val="0"/>
                <w:sz w:val="22"/>
                <w:szCs w:val="22"/>
                <w:lang w:val="zh-CN"/>
              </w:rPr>
            </w:pPr>
            <w:r>
              <w:rPr>
                <w:rFonts w:hint="eastAsia"/>
                <w:kern w:val="0"/>
              </w:rPr>
              <w:t>4</w:t>
            </w:r>
            <w:r>
              <w:rPr>
                <w:kern w:val="0"/>
              </w:rPr>
              <w:t xml:space="preserve">0% </w:t>
            </w:r>
          </w:p>
        </w:tc>
        <w:tc>
          <w:tcPr>
            <w:tcW w:w="15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jc w:val="center"/>
              <w:rPr>
                <w:rFonts w:ascii="宋体" w:cs="宋体"/>
                <w:kern w:val="0"/>
                <w:sz w:val="22"/>
                <w:szCs w:val="22"/>
                <w:lang w:val="zh-CN"/>
              </w:rPr>
            </w:pPr>
            <w:r>
              <w:rPr>
                <w:rFonts w:hint="eastAsia" w:ascii="宋体" w:cs="宋体"/>
                <w:color w:val="000000"/>
                <w:kern w:val="0"/>
                <w:lang w:val="zh-CN"/>
              </w:rPr>
              <w:t>题型</w:t>
            </w:r>
          </w:p>
        </w:tc>
        <w:tc>
          <w:tcPr>
            <w:tcW w:w="3260"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jc w:val="center"/>
              <w:rPr>
                <w:rFonts w:ascii="宋体" w:cs="宋体"/>
                <w:kern w:val="0"/>
                <w:sz w:val="22"/>
                <w:szCs w:val="22"/>
                <w:lang w:val="zh-CN"/>
              </w:rPr>
            </w:pPr>
            <w:r>
              <w:rPr>
                <w:rFonts w:hint="eastAsia" w:ascii="宋体" w:cs="宋体"/>
                <w:color w:val="000000"/>
                <w:kern w:val="0"/>
                <w:lang w:val="zh-CN"/>
              </w:rPr>
              <w:t>考核内容及相应试题</w:t>
            </w:r>
          </w:p>
        </w:tc>
        <w:tc>
          <w:tcPr>
            <w:tcW w:w="2552" w:type="dxa"/>
            <w:gridSpan w:val="4"/>
            <w:tcBorders>
              <w:top w:val="single" w:color="000000" w:sz="4" w:space="0"/>
              <w:left w:val="single" w:color="000000" w:sz="4" w:space="0"/>
              <w:bottom w:val="single" w:color="000000" w:sz="4" w:space="0"/>
              <w:right w:val="single" w:color="000000" w:sz="4" w:space="0"/>
            </w:tcBorders>
            <w:shd w:val="clear" w:color="auto" w:fill="FFFFFF"/>
          </w:tcPr>
          <w:p>
            <w:pPr>
              <w:autoSpaceDE w:val="0"/>
              <w:autoSpaceDN w:val="0"/>
              <w:adjustRightInd w:val="0"/>
              <w:rPr>
                <w:rFonts w:ascii="宋体" w:cs="宋体"/>
                <w:kern w:val="0"/>
                <w:sz w:val="22"/>
                <w:szCs w:val="22"/>
                <w:lang w:val="zh-CN"/>
              </w:rPr>
            </w:pPr>
          </w:p>
        </w:tc>
      </w:tr>
      <w:tr>
        <w:tblPrEx>
          <w:tblCellMar>
            <w:top w:w="0" w:type="dxa"/>
            <w:left w:w="56" w:type="dxa"/>
            <w:bottom w:w="0" w:type="dxa"/>
            <w:right w:w="56" w:type="dxa"/>
          </w:tblCellMar>
        </w:tblPrEx>
        <w:trPr>
          <w:trHeight w:val="166" w:hRule="atLeast"/>
        </w:trPr>
        <w:tc>
          <w:tcPr>
            <w:tcW w:w="1043"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cs="宋体"/>
                <w:kern w:val="0"/>
                <w:sz w:val="22"/>
                <w:szCs w:val="22"/>
                <w:lang w:val="zh-CN"/>
              </w:rPr>
            </w:pPr>
          </w:p>
        </w:tc>
        <w:tc>
          <w:tcPr>
            <w:tcW w:w="7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cs="宋体"/>
                <w:kern w:val="0"/>
                <w:sz w:val="22"/>
                <w:szCs w:val="22"/>
                <w:lang w:val="zh-CN"/>
              </w:rPr>
            </w:pPr>
          </w:p>
        </w:tc>
        <w:tc>
          <w:tcPr>
            <w:tcW w:w="15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jc w:val="center"/>
              <w:rPr>
                <w:rFonts w:ascii="宋体" w:cs="宋体"/>
                <w:kern w:val="0"/>
                <w:sz w:val="22"/>
                <w:szCs w:val="22"/>
                <w:lang w:val="zh-CN"/>
              </w:rPr>
            </w:pPr>
            <w:r>
              <w:rPr>
                <w:rFonts w:hint="eastAsia" w:ascii="宋体" w:cs="宋体"/>
                <w:color w:val="000000"/>
                <w:kern w:val="0"/>
                <w:lang w:val="zh-CN"/>
              </w:rPr>
              <w:t>选择题</w:t>
            </w:r>
          </w:p>
        </w:tc>
        <w:tc>
          <w:tcPr>
            <w:tcW w:w="3260"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rPr>
                <w:rFonts w:ascii="宋体" w:cs="宋体"/>
                <w:kern w:val="0"/>
                <w:sz w:val="22"/>
                <w:szCs w:val="22"/>
                <w:lang w:val="zh-CN"/>
              </w:rPr>
            </w:pPr>
            <w:r>
              <w:rPr>
                <w:rFonts w:hint="eastAsia" w:ascii="宋体" w:cs="宋体"/>
                <w:color w:val="000000"/>
                <w:kern w:val="0"/>
                <w:lang w:val="zh-CN"/>
              </w:rPr>
              <w:t>主要考核无机化学基本概念和原理。</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kern w:val="0"/>
              </w:rPr>
              <w:t>4%</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kern w:val="0"/>
              </w:rPr>
              <w:t>4%</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kern w:val="0"/>
              </w:rPr>
              <w:t>2%</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p>
        </w:tc>
      </w:tr>
      <w:tr>
        <w:tblPrEx>
          <w:tblCellMar>
            <w:top w:w="0" w:type="dxa"/>
            <w:left w:w="56" w:type="dxa"/>
            <w:bottom w:w="0" w:type="dxa"/>
            <w:right w:w="56" w:type="dxa"/>
          </w:tblCellMar>
        </w:tblPrEx>
        <w:trPr>
          <w:trHeight w:val="166" w:hRule="atLeast"/>
        </w:trPr>
        <w:tc>
          <w:tcPr>
            <w:tcW w:w="1043"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cs="宋体"/>
                <w:kern w:val="0"/>
                <w:sz w:val="22"/>
                <w:szCs w:val="22"/>
                <w:lang w:val="zh-CN"/>
              </w:rPr>
            </w:pPr>
          </w:p>
        </w:tc>
        <w:tc>
          <w:tcPr>
            <w:tcW w:w="7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cs="宋体"/>
                <w:kern w:val="0"/>
                <w:sz w:val="22"/>
                <w:szCs w:val="22"/>
                <w:lang w:val="zh-CN"/>
              </w:rPr>
            </w:pPr>
          </w:p>
        </w:tc>
        <w:tc>
          <w:tcPr>
            <w:tcW w:w="15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jc w:val="center"/>
              <w:rPr>
                <w:rFonts w:ascii="宋体" w:cs="宋体"/>
                <w:kern w:val="0"/>
                <w:sz w:val="22"/>
                <w:szCs w:val="22"/>
                <w:lang w:val="zh-CN"/>
              </w:rPr>
            </w:pPr>
            <w:r>
              <w:rPr>
                <w:rFonts w:hint="eastAsia" w:ascii="宋体" w:cs="宋体"/>
                <w:color w:val="000000"/>
                <w:kern w:val="0"/>
                <w:lang w:val="zh-CN"/>
              </w:rPr>
              <w:t>填空题</w:t>
            </w:r>
          </w:p>
        </w:tc>
        <w:tc>
          <w:tcPr>
            <w:tcW w:w="3260"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rPr>
                <w:rFonts w:ascii="宋体" w:cs="宋体"/>
                <w:kern w:val="0"/>
                <w:sz w:val="22"/>
                <w:szCs w:val="22"/>
                <w:lang w:val="zh-CN"/>
              </w:rPr>
            </w:pPr>
            <w:r>
              <w:rPr>
                <w:rFonts w:hint="eastAsia" w:ascii="宋体" w:cs="宋体"/>
                <w:color w:val="000000"/>
                <w:kern w:val="0"/>
                <w:lang w:val="zh-CN"/>
              </w:rPr>
              <w:t>主要考核无机化学的基本概念。</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kern w:val="0"/>
              </w:rPr>
              <w:t>4%</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kern w:val="0"/>
              </w:rPr>
              <w:t>4%</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kern w:val="0"/>
              </w:rPr>
              <w:t>2%</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p>
        </w:tc>
      </w:tr>
      <w:tr>
        <w:tblPrEx>
          <w:tblCellMar>
            <w:top w:w="0" w:type="dxa"/>
            <w:left w:w="56" w:type="dxa"/>
            <w:bottom w:w="0" w:type="dxa"/>
            <w:right w:w="56" w:type="dxa"/>
          </w:tblCellMar>
        </w:tblPrEx>
        <w:trPr>
          <w:trHeight w:val="166" w:hRule="atLeast"/>
        </w:trPr>
        <w:tc>
          <w:tcPr>
            <w:tcW w:w="1043"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cs="宋体"/>
                <w:kern w:val="0"/>
                <w:sz w:val="22"/>
                <w:szCs w:val="22"/>
                <w:lang w:val="zh-CN"/>
              </w:rPr>
            </w:pPr>
          </w:p>
        </w:tc>
        <w:tc>
          <w:tcPr>
            <w:tcW w:w="7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cs="宋体"/>
                <w:kern w:val="0"/>
                <w:sz w:val="22"/>
                <w:szCs w:val="22"/>
                <w:lang w:val="zh-CN"/>
              </w:rPr>
            </w:pPr>
          </w:p>
        </w:tc>
        <w:tc>
          <w:tcPr>
            <w:tcW w:w="15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jc w:val="center"/>
              <w:rPr>
                <w:rFonts w:ascii="宋体" w:cs="宋体"/>
                <w:kern w:val="0"/>
                <w:sz w:val="22"/>
                <w:szCs w:val="22"/>
                <w:lang w:val="zh-CN"/>
              </w:rPr>
            </w:pPr>
            <w:r>
              <w:rPr>
                <w:rFonts w:hint="eastAsia" w:ascii="宋体" w:cs="宋体"/>
                <w:color w:val="000000"/>
                <w:kern w:val="0"/>
                <w:lang w:val="zh-CN"/>
              </w:rPr>
              <w:t>简答题</w:t>
            </w:r>
          </w:p>
        </w:tc>
        <w:tc>
          <w:tcPr>
            <w:tcW w:w="3260"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rPr>
                <w:rFonts w:ascii="宋体" w:cs="宋体"/>
                <w:kern w:val="0"/>
                <w:sz w:val="22"/>
                <w:szCs w:val="22"/>
                <w:lang w:val="zh-CN"/>
              </w:rPr>
            </w:pPr>
            <w:r>
              <w:rPr>
                <w:rFonts w:hint="eastAsia" w:ascii="宋体" w:cs="宋体"/>
                <w:color w:val="000000"/>
                <w:kern w:val="0"/>
                <w:lang w:val="zh-CN"/>
              </w:rPr>
              <w:t>主要考核无机化学中的定律。</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rFonts w:hint="eastAsia"/>
                <w:color w:val="000000"/>
                <w:kern w:val="0"/>
              </w:rPr>
              <w:t>4</w:t>
            </w:r>
            <w:r>
              <w:rPr>
                <w:color w:val="000000"/>
                <w:kern w:val="0"/>
              </w:rPr>
              <w:t>%</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rFonts w:hint="eastAsia"/>
                <w:color w:val="000000"/>
                <w:kern w:val="0"/>
              </w:rPr>
              <w:t>4</w:t>
            </w:r>
            <w:r>
              <w:rPr>
                <w:color w:val="000000"/>
                <w:kern w:val="0"/>
              </w:rPr>
              <w:t>%</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rFonts w:hint="eastAsia"/>
                <w:color w:val="000000"/>
                <w:kern w:val="0"/>
              </w:rPr>
              <w:t>2</w:t>
            </w:r>
            <w:r>
              <w:rPr>
                <w:color w:val="000000"/>
                <w:kern w:val="0"/>
              </w:rPr>
              <w:t>%</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p>
        </w:tc>
      </w:tr>
      <w:tr>
        <w:tblPrEx>
          <w:tblCellMar>
            <w:top w:w="0" w:type="dxa"/>
            <w:left w:w="56" w:type="dxa"/>
            <w:bottom w:w="0" w:type="dxa"/>
            <w:right w:w="56" w:type="dxa"/>
          </w:tblCellMar>
        </w:tblPrEx>
        <w:trPr>
          <w:trHeight w:val="166" w:hRule="atLeast"/>
        </w:trPr>
        <w:tc>
          <w:tcPr>
            <w:tcW w:w="1043"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cs="宋体"/>
                <w:kern w:val="0"/>
                <w:sz w:val="22"/>
                <w:szCs w:val="22"/>
                <w:lang w:val="zh-CN"/>
              </w:rPr>
            </w:pPr>
          </w:p>
        </w:tc>
        <w:tc>
          <w:tcPr>
            <w:tcW w:w="7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cs="宋体"/>
                <w:kern w:val="0"/>
                <w:sz w:val="22"/>
                <w:szCs w:val="22"/>
                <w:lang w:val="zh-CN"/>
              </w:rPr>
            </w:pPr>
          </w:p>
        </w:tc>
        <w:tc>
          <w:tcPr>
            <w:tcW w:w="15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jc w:val="center"/>
              <w:rPr>
                <w:rFonts w:ascii="宋体" w:cs="宋体"/>
                <w:kern w:val="0"/>
                <w:sz w:val="22"/>
                <w:szCs w:val="22"/>
                <w:lang w:val="zh-CN"/>
              </w:rPr>
            </w:pPr>
            <w:r>
              <w:rPr>
                <w:rFonts w:hint="eastAsia" w:ascii="宋体" w:cs="宋体"/>
                <w:color w:val="000000"/>
                <w:kern w:val="0"/>
                <w:lang w:val="zh-CN"/>
              </w:rPr>
              <w:t>计算题</w:t>
            </w:r>
          </w:p>
        </w:tc>
        <w:tc>
          <w:tcPr>
            <w:tcW w:w="3260"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rPr>
                <w:rFonts w:ascii="宋体" w:cs="宋体"/>
                <w:kern w:val="0"/>
                <w:sz w:val="22"/>
                <w:szCs w:val="22"/>
                <w:lang w:val="zh-CN"/>
              </w:rPr>
            </w:pPr>
            <w:r>
              <w:rPr>
                <w:rFonts w:hint="eastAsia" w:ascii="宋体" w:cs="宋体"/>
                <w:color w:val="000000"/>
                <w:kern w:val="0"/>
                <w:lang w:val="zh-CN"/>
              </w:rPr>
              <w:t>主要考核定量定性方法，方法评价等。</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color w:val="000000"/>
                <w:kern w:val="0"/>
              </w:rPr>
              <w:t>4%</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color w:val="000000"/>
                <w:kern w:val="0"/>
              </w:rPr>
              <w:t>4%</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color w:val="000000"/>
                <w:kern w:val="0"/>
              </w:rPr>
              <w:t>2%</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p>
        </w:tc>
      </w:tr>
      <w:tr>
        <w:tblPrEx>
          <w:tblCellMar>
            <w:top w:w="0" w:type="dxa"/>
            <w:left w:w="56" w:type="dxa"/>
            <w:bottom w:w="0" w:type="dxa"/>
            <w:right w:w="56" w:type="dxa"/>
          </w:tblCellMar>
        </w:tblPrEx>
        <w:trPr>
          <w:trHeight w:val="511" w:hRule="atLeast"/>
        </w:trPr>
        <w:tc>
          <w:tcPr>
            <w:tcW w:w="104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jc w:val="center"/>
              <w:rPr>
                <w:rFonts w:ascii="宋体" w:cs="宋体"/>
                <w:kern w:val="0"/>
                <w:sz w:val="22"/>
                <w:szCs w:val="22"/>
                <w:lang w:val="zh-CN"/>
              </w:rPr>
            </w:pPr>
            <w:r>
              <w:rPr>
                <w:rFonts w:hint="eastAsia" w:ascii="宋体" w:cs="宋体"/>
                <w:kern w:val="0"/>
                <w:lang w:val="zh-CN"/>
              </w:rPr>
              <w:t>合</w:t>
            </w:r>
            <w:r>
              <w:rPr>
                <w:kern w:val="0"/>
              </w:rPr>
              <w:t xml:space="preserve">    </w:t>
            </w:r>
            <w:r>
              <w:rPr>
                <w:rFonts w:hint="eastAsia" w:ascii="宋体" w:cs="宋体"/>
                <w:kern w:val="0"/>
                <w:lang w:val="zh-CN"/>
              </w:rPr>
              <w:t>计</w:t>
            </w:r>
          </w:p>
        </w:tc>
        <w:tc>
          <w:tcPr>
            <w:tcW w:w="715"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jc w:val="center"/>
              <w:rPr>
                <w:rFonts w:ascii="宋体" w:cs="宋体"/>
                <w:kern w:val="0"/>
                <w:sz w:val="22"/>
                <w:szCs w:val="22"/>
                <w:lang w:val="zh-CN"/>
              </w:rPr>
            </w:pPr>
            <w:r>
              <w:rPr>
                <w:kern w:val="0"/>
              </w:rPr>
              <w:t>100%</w:t>
            </w:r>
          </w:p>
        </w:tc>
        <w:tc>
          <w:tcPr>
            <w:tcW w:w="4820" w:type="dxa"/>
            <w:gridSpan w:val="3"/>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rPr>
                <w:rFonts w:ascii="宋体" w:cs="宋体"/>
                <w:kern w:val="0"/>
                <w:sz w:val="22"/>
                <w:szCs w:val="22"/>
                <w:lang w:val="zh-CN"/>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r>
              <w:rPr>
                <w:color w:val="000000"/>
                <w:kern w:val="0"/>
              </w:rPr>
              <w:t xml:space="preserve"> </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宋体" w:cs="宋体"/>
                <w:kern w:val="0"/>
                <w:sz w:val="22"/>
                <w:szCs w:val="22"/>
                <w:lang w:val="zh-CN"/>
              </w:rPr>
            </w:pPr>
          </w:p>
        </w:tc>
      </w:tr>
    </w:tbl>
    <w:p>
      <w:pPr>
        <w:autoSpaceDE w:val="0"/>
        <w:autoSpaceDN w:val="0"/>
        <w:adjustRightInd w:val="0"/>
        <w:spacing w:line="360" w:lineRule="auto"/>
        <w:rPr>
          <w:kern w:val="0"/>
          <w:sz w:val="24"/>
          <w:szCs w:val="24"/>
        </w:rPr>
      </w:pPr>
      <w:r>
        <w:rPr>
          <w:rFonts w:hint="eastAsia" w:ascii="宋体" w:cs="宋体"/>
          <w:kern w:val="0"/>
          <w:sz w:val="24"/>
          <w:szCs w:val="24"/>
          <w:lang w:val="zh-CN"/>
        </w:rPr>
        <w:t>备注：课程目标达成度计算方法如下：</w:t>
      </w:r>
    </w:p>
    <w:p>
      <w:pPr>
        <w:autoSpaceDE w:val="0"/>
        <w:autoSpaceDN w:val="0"/>
        <w:adjustRightInd w:val="0"/>
        <w:spacing w:line="360" w:lineRule="auto"/>
        <w:jc w:val="center"/>
        <w:rPr>
          <w:kern w:val="0"/>
          <w:position w:val="-26"/>
          <w:sz w:val="24"/>
          <w:szCs w:val="24"/>
        </w:rPr>
      </w:pPr>
      <w:r>
        <w:rPr>
          <w:rFonts w:ascii="宋体" w:cs="宋体"/>
          <w:kern w:val="0"/>
          <w:sz w:val="22"/>
          <w:szCs w:val="22"/>
        </w:rPr>
        <w:drawing>
          <wp:inline distT="0" distB="0" distL="114300" distR="114300">
            <wp:extent cx="4330700" cy="431800"/>
            <wp:effectExtent l="0" t="0" r="12700" b="635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8"/>
                    <a:stretch>
                      <a:fillRect/>
                    </a:stretch>
                  </pic:blipFill>
                  <pic:spPr>
                    <a:xfrm>
                      <a:off x="0" y="0"/>
                      <a:ext cx="4330700" cy="431800"/>
                    </a:xfrm>
                    <a:prstGeom prst="rect">
                      <a:avLst/>
                    </a:prstGeom>
                    <a:noFill/>
                    <a:ln>
                      <a:noFill/>
                    </a:ln>
                  </pic:spPr>
                </pic:pic>
              </a:graphicData>
            </a:graphic>
          </wp:inline>
        </w:drawing>
      </w:r>
    </w:p>
    <w:p>
      <w:pPr>
        <w:autoSpaceDE w:val="0"/>
        <w:autoSpaceDN w:val="0"/>
        <w:adjustRightInd w:val="0"/>
        <w:spacing w:line="360" w:lineRule="auto"/>
        <w:ind w:firstLine="562"/>
        <w:rPr>
          <w:b/>
          <w:bCs/>
          <w:kern w:val="0"/>
          <w:sz w:val="28"/>
          <w:szCs w:val="28"/>
        </w:rPr>
      </w:pPr>
      <w:r>
        <w:rPr>
          <w:rFonts w:hint="eastAsia" w:ascii="宋体" w:cs="宋体"/>
          <w:b/>
          <w:bCs/>
          <w:kern w:val="0"/>
          <w:sz w:val="28"/>
          <w:szCs w:val="28"/>
          <w:lang w:val="zh-CN"/>
        </w:rPr>
        <w:t>六、有关说明</w:t>
      </w:r>
    </w:p>
    <w:p>
      <w:pPr>
        <w:autoSpaceDE w:val="0"/>
        <w:autoSpaceDN w:val="0"/>
        <w:adjustRightInd w:val="0"/>
        <w:spacing w:line="360" w:lineRule="auto"/>
        <w:ind w:firstLine="482"/>
        <w:rPr>
          <w:b/>
          <w:bCs/>
          <w:color w:val="000000"/>
          <w:kern w:val="0"/>
          <w:sz w:val="24"/>
          <w:szCs w:val="24"/>
        </w:rPr>
      </w:pPr>
      <w:r>
        <w:rPr>
          <w:rFonts w:hint="eastAsia" w:ascii="宋体" w:cs="宋体"/>
          <w:b/>
          <w:bCs/>
          <w:color w:val="000000"/>
          <w:kern w:val="0"/>
          <w:sz w:val="24"/>
          <w:szCs w:val="24"/>
          <w:lang w:val="zh-CN"/>
        </w:rPr>
        <w:t>（一）持续改进</w:t>
      </w:r>
    </w:p>
    <w:p>
      <w:pPr>
        <w:autoSpaceDE w:val="0"/>
        <w:autoSpaceDN w:val="0"/>
        <w:adjustRightInd w:val="0"/>
        <w:spacing w:line="360" w:lineRule="auto"/>
        <w:ind w:firstLine="480"/>
        <w:rPr>
          <w:kern w:val="0"/>
          <w:sz w:val="24"/>
          <w:szCs w:val="24"/>
        </w:rPr>
      </w:pPr>
      <w:r>
        <w:rPr>
          <w:rFonts w:hint="eastAsia" w:ascii="宋体" w:cs="宋体"/>
          <w:kern w:val="0"/>
          <w:sz w:val="24"/>
          <w:szCs w:val="24"/>
          <w:lang w:val="zh-CN"/>
        </w:rPr>
        <w:t>本课程根据学生作业、课堂讨论、实验环节、平时考核情况和学生、教学督导等的反馈，及时对教学中的不足之处进行改进，并在下一轮课程教学中整改完善，确保相应毕业要求指标点达成。</w:t>
      </w:r>
    </w:p>
    <w:p>
      <w:pPr>
        <w:autoSpaceDE w:val="0"/>
        <w:autoSpaceDN w:val="0"/>
        <w:adjustRightInd w:val="0"/>
        <w:spacing w:line="360" w:lineRule="auto"/>
        <w:rPr>
          <w:b/>
          <w:bCs/>
          <w:color w:val="000000"/>
          <w:kern w:val="0"/>
          <w:sz w:val="24"/>
          <w:szCs w:val="24"/>
        </w:rPr>
      </w:pPr>
      <w:r>
        <w:rPr>
          <w:rFonts w:hint="eastAsia" w:ascii="宋体" w:cs="宋体"/>
          <w:b/>
          <w:bCs/>
          <w:color w:val="000000"/>
          <w:kern w:val="0"/>
          <w:sz w:val="24"/>
          <w:szCs w:val="24"/>
          <w:lang w:val="zh-CN"/>
        </w:rPr>
        <w:t>（二）参考书目及学习资料</w:t>
      </w:r>
    </w:p>
    <w:p>
      <w:pPr>
        <w:autoSpaceDE w:val="0"/>
        <w:autoSpaceDN w:val="0"/>
        <w:adjustRightInd w:val="0"/>
        <w:spacing w:line="360" w:lineRule="auto"/>
        <w:rPr>
          <w:b/>
          <w:bCs/>
          <w:color w:val="000000"/>
          <w:kern w:val="0"/>
          <w:sz w:val="24"/>
          <w:szCs w:val="24"/>
        </w:rPr>
      </w:pPr>
      <w:r>
        <w:rPr>
          <w:kern w:val="0"/>
          <w:sz w:val="24"/>
          <w:szCs w:val="24"/>
        </w:rPr>
        <w:t>1.</w:t>
      </w:r>
      <w:r>
        <w:rPr>
          <w:rFonts w:hint="eastAsia" w:ascii="宋体" w:cs="宋体"/>
          <w:kern w:val="0"/>
          <w:sz w:val="24"/>
          <w:szCs w:val="24"/>
          <w:lang w:val="zh-CN"/>
        </w:rPr>
        <w:t>大连理工大学无机化学教研组　无机化学（第五版）</w:t>
      </w:r>
      <w:r>
        <w:rPr>
          <w:kern w:val="0"/>
          <w:sz w:val="24"/>
          <w:szCs w:val="24"/>
        </w:rPr>
        <w:t xml:space="preserve">  </w:t>
      </w:r>
      <w:r>
        <w:rPr>
          <w:rFonts w:hint="eastAsia" w:ascii="宋体" w:cs="宋体"/>
          <w:kern w:val="0"/>
          <w:sz w:val="24"/>
          <w:szCs w:val="24"/>
          <w:lang w:val="zh-CN"/>
        </w:rPr>
        <w:t>北京：高等教育出版社</w:t>
      </w:r>
    </w:p>
    <w:p>
      <w:pPr>
        <w:tabs>
          <w:tab w:val="left" w:pos="900"/>
        </w:tabs>
        <w:autoSpaceDE w:val="0"/>
        <w:autoSpaceDN w:val="0"/>
        <w:adjustRightInd w:val="0"/>
        <w:spacing w:line="360" w:lineRule="auto"/>
        <w:rPr>
          <w:kern w:val="0"/>
          <w:sz w:val="24"/>
          <w:szCs w:val="24"/>
        </w:rPr>
      </w:pPr>
      <w:r>
        <w:rPr>
          <w:kern w:val="0"/>
          <w:sz w:val="24"/>
          <w:szCs w:val="24"/>
        </w:rPr>
        <w:t xml:space="preserve">2. </w:t>
      </w:r>
      <w:r>
        <w:rPr>
          <w:rFonts w:hint="eastAsia" w:ascii="宋体" w:cs="宋体"/>
          <w:kern w:val="0"/>
          <w:sz w:val="24"/>
          <w:szCs w:val="24"/>
          <w:lang w:val="zh-CN"/>
        </w:rPr>
        <w:t>武汉大学等　</w:t>
      </w:r>
      <w:r>
        <w:rPr>
          <w:kern w:val="0"/>
          <w:sz w:val="24"/>
          <w:szCs w:val="24"/>
        </w:rPr>
        <w:t xml:space="preserve">              </w:t>
      </w:r>
      <w:r>
        <w:rPr>
          <w:rFonts w:hint="eastAsia" w:ascii="宋体" w:cs="宋体"/>
          <w:kern w:val="0"/>
          <w:sz w:val="24"/>
          <w:szCs w:val="24"/>
          <w:lang w:val="zh-CN"/>
        </w:rPr>
        <w:t>无机化学（第三版）　</w:t>
      </w:r>
      <w:r>
        <w:rPr>
          <w:rFonts w:hint="eastAsia" w:ascii="宋体" w:cs="宋体"/>
          <w:kern w:val="0"/>
          <w:sz w:val="24"/>
          <w:szCs w:val="24"/>
          <w:lang w:val="en-US" w:eastAsia="zh-CN"/>
        </w:rPr>
        <w:t xml:space="preserve"> </w:t>
      </w:r>
      <w:r>
        <w:rPr>
          <w:rFonts w:hint="eastAsia" w:ascii="宋体" w:cs="宋体"/>
          <w:kern w:val="0"/>
          <w:sz w:val="24"/>
          <w:szCs w:val="24"/>
          <w:lang w:val="zh-CN"/>
        </w:rPr>
        <w:t>北京：高等教育出版社</w:t>
      </w:r>
    </w:p>
    <w:p>
      <w:pPr>
        <w:autoSpaceDE w:val="0"/>
        <w:autoSpaceDN w:val="0"/>
        <w:adjustRightInd w:val="0"/>
        <w:spacing w:line="360" w:lineRule="auto"/>
        <w:rPr>
          <w:kern w:val="0"/>
          <w:sz w:val="24"/>
          <w:szCs w:val="24"/>
        </w:rPr>
      </w:pPr>
      <w:r>
        <w:rPr>
          <w:kern w:val="0"/>
          <w:sz w:val="24"/>
          <w:szCs w:val="24"/>
        </w:rPr>
        <w:t xml:space="preserve">3. </w:t>
      </w:r>
      <w:r>
        <w:rPr>
          <w:rFonts w:hint="eastAsia" w:ascii="宋体" w:cs="宋体"/>
          <w:kern w:val="0"/>
          <w:sz w:val="24"/>
          <w:szCs w:val="24"/>
          <w:lang w:val="zh-CN"/>
        </w:rPr>
        <w:t>天津大学无机化学教研室　</w:t>
      </w:r>
      <w:r>
        <w:rPr>
          <w:kern w:val="0"/>
          <w:sz w:val="24"/>
          <w:szCs w:val="24"/>
        </w:rPr>
        <w:t xml:space="preserve">  </w:t>
      </w:r>
      <w:r>
        <w:rPr>
          <w:rFonts w:hint="eastAsia" w:ascii="宋体" w:cs="宋体"/>
          <w:kern w:val="0"/>
          <w:sz w:val="24"/>
          <w:szCs w:val="24"/>
          <w:lang w:val="zh-CN"/>
        </w:rPr>
        <w:t>无机化学（第三版）　北京：高等教育出版社</w:t>
      </w:r>
    </w:p>
    <w:p>
      <w:pPr>
        <w:autoSpaceDE w:val="0"/>
        <w:autoSpaceDN w:val="0"/>
        <w:adjustRightInd w:val="0"/>
        <w:spacing w:line="400" w:lineRule="atLeast"/>
        <w:ind w:firstLine="6204" w:firstLineChars="2585"/>
        <w:rPr>
          <w:rFonts w:hint="eastAsia"/>
          <w:kern w:val="0"/>
          <w:sz w:val="24"/>
          <w:szCs w:val="24"/>
        </w:rPr>
      </w:pPr>
      <w:r>
        <w:rPr>
          <w:rFonts w:hint="eastAsia" w:ascii="宋体" w:cs="宋体"/>
          <w:kern w:val="0"/>
          <w:sz w:val="24"/>
          <w:szCs w:val="24"/>
          <w:lang w:val="zh-CN"/>
        </w:rPr>
        <w:t>执笔人：</w:t>
      </w:r>
      <w:r>
        <w:rPr>
          <w:kern w:val="0"/>
          <w:sz w:val="24"/>
          <w:szCs w:val="24"/>
        </w:rPr>
        <w:t xml:space="preserve"> </w:t>
      </w:r>
      <w:r>
        <w:rPr>
          <w:rFonts w:hint="eastAsia" w:ascii="宋体" w:cs="宋体"/>
          <w:kern w:val="0"/>
          <w:sz w:val="24"/>
          <w:szCs w:val="24"/>
          <w:lang w:val="zh-CN"/>
        </w:rPr>
        <w:t>邓瑶瑶</w:t>
      </w:r>
    </w:p>
    <w:p>
      <w:pPr>
        <w:autoSpaceDE w:val="0"/>
        <w:autoSpaceDN w:val="0"/>
        <w:adjustRightInd w:val="0"/>
        <w:spacing w:line="360" w:lineRule="auto"/>
        <w:ind w:firstLine="6240" w:firstLineChars="2600"/>
        <w:jc w:val="left"/>
        <w:rPr>
          <w:kern w:val="0"/>
          <w:sz w:val="24"/>
          <w:szCs w:val="24"/>
        </w:rPr>
      </w:pPr>
      <w:r>
        <w:rPr>
          <w:rFonts w:hint="eastAsia" w:ascii="宋体" w:cs="宋体"/>
          <w:kern w:val="0"/>
          <w:sz w:val="24"/>
          <w:szCs w:val="24"/>
          <w:lang w:val="zh-CN"/>
        </w:rPr>
        <w:t>审定人：</w:t>
      </w:r>
      <w:r>
        <w:rPr>
          <w:kern w:val="0"/>
          <w:sz w:val="24"/>
          <w:szCs w:val="24"/>
        </w:rPr>
        <w:t xml:space="preserve"> </w:t>
      </w:r>
      <w:r>
        <w:rPr>
          <w:rFonts w:hint="eastAsia" w:ascii="宋体" w:cs="宋体"/>
          <w:kern w:val="0"/>
          <w:sz w:val="24"/>
          <w:szCs w:val="24"/>
          <w:lang w:val="zh-CN"/>
        </w:rPr>
        <w:t>柏寄荣</w:t>
      </w:r>
    </w:p>
    <w:p>
      <w:pPr>
        <w:autoSpaceDE w:val="0"/>
        <w:autoSpaceDN w:val="0"/>
        <w:adjustRightInd w:val="0"/>
        <w:spacing w:line="360" w:lineRule="auto"/>
        <w:ind w:firstLine="6240" w:firstLineChars="2600"/>
        <w:jc w:val="left"/>
        <w:rPr>
          <w:kern w:val="0"/>
          <w:sz w:val="24"/>
          <w:szCs w:val="24"/>
        </w:rPr>
      </w:pPr>
      <w:r>
        <w:rPr>
          <w:rFonts w:hint="eastAsia" w:ascii="宋体" w:cs="宋体"/>
          <w:kern w:val="0"/>
          <w:sz w:val="24"/>
          <w:szCs w:val="24"/>
          <w:lang w:val="zh-CN"/>
        </w:rPr>
        <w:t>审批人：</w:t>
      </w:r>
      <w:r>
        <w:rPr>
          <w:kern w:val="0"/>
          <w:sz w:val="24"/>
          <w:szCs w:val="24"/>
        </w:rPr>
        <w:t xml:space="preserve"> </w:t>
      </w:r>
      <w:r>
        <w:rPr>
          <w:rFonts w:hint="eastAsia" w:ascii="宋体" w:cs="宋体"/>
          <w:kern w:val="0"/>
          <w:sz w:val="24"/>
          <w:szCs w:val="24"/>
          <w:lang w:val="zh-CN"/>
        </w:rPr>
        <w:t>吴泽颖</w:t>
      </w:r>
    </w:p>
    <w:p>
      <w:pPr>
        <w:autoSpaceDE w:val="0"/>
        <w:autoSpaceDN w:val="0"/>
        <w:adjustRightInd w:val="0"/>
        <w:spacing w:line="360" w:lineRule="auto"/>
        <w:rPr>
          <w:kern w:val="0"/>
          <w:sz w:val="24"/>
          <w:szCs w:val="24"/>
        </w:rPr>
      </w:pPr>
      <w:r>
        <w:rPr>
          <w:kern w:val="0"/>
          <w:sz w:val="24"/>
          <w:szCs w:val="24"/>
        </w:rPr>
        <w:t xml:space="preserve">                                                    </w:t>
      </w:r>
      <w:r>
        <w:rPr>
          <w:rFonts w:hint="eastAsia" w:ascii="宋体" w:cs="宋体"/>
          <w:kern w:val="0"/>
          <w:sz w:val="24"/>
          <w:szCs w:val="24"/>
          <w:lang w:val="zh-CN"/>
        </w:rPr>
        <w:t>批准时间：</w:t>
      </w:r>
      <w:r>
        <w:rPr>
          <w:kern w:val="0"/>
          <w:sz w:val="24"/>
          <w:szCs w:val="24"/>
        </w:rPr>
        <w:t>202</w:t>
      </w:r>
      <w:r>
        <w:rPr>
          <w:rFonts w:hint="eastAsia"/>
          <w:kern w:val="0"/>
          <w:sz w:val="24"/>
          <w:szCs w:val="24"/>
        </w:rPr>
        <w:t>1</w:t>
      </w:r>
      <w:r>
        <w:rPr>
          <w:kern w:val="0"/>
          <w:sz w:val="24"/>
          <w:szCs w:val="24"/>
        </w:rPr>
        <w:t>.9.1</w:t>
      </w:r>
    </w:p>
    <w:p>
      <w:pPr>
        <w:jc w:val="center"/>
        <w:rPr>
          <w:rFonts w:hint="eastAsia"/>
          <w:b/>
          <w:bCs/>
          <w:sz w:val="30"/>
        </w:rPr>
      </w:pPr>
    </w:p>
    <w:p>
      <w:pPr>
        <w:jc w:val="center"/>
        <w:rPr>
          <w:rFonts w:hint="eastAsia"/>
          <w:b/>
          <w:bCs/>
          <w:sz w:val="30"/>
        </w:rPr>
      </w:pPr>
    </w:p>
    <w:p>
      <w:pPr>
        <w:jc w:val="center"/>
        <w:rPr>
          <w:rFonts w:hint="eastAsia"/>
          <w:b/>
          <w:bCs/>
          <w:sz w:val="30"/>
        </w:rPr>
      </w:pPr>
    </w:p>
    <w:p>
      <w:pPr>
        <w:jc w:val="center"/>
        <w:rPr>
          <w:rFonts w:hint="eastAsia"/>
          <w:b/>
          <w:bCs/>
          <w:sz w:val="30"/>
        </w:rPr>
      </w:pPr>
    </w:p>
    <w:p>
      <w:pPr>
        <w:pStyle w:val="3"/>
        <w:bidi w:val="0"/>
        <w:jc w:val="center"/>
      </w:pPr>
      <w:bookmarkStart w:id="5" w:name="_Toc20551"/>
      <w:bookmarkStart w:id="6" w:name="_Toc28053"/>
      <w:r>
        <w:rPr>
          <w:rFonts w:hint="eastAsia"/>
        </w:rPr>
        <w:t>分析化学课程教学大纲</w:t>
      </w:r>
      <w:bookmarkEnd w:id="5"/>
      <w:bookmarkEnd w:id="6"/>
    </w:p>
    <w:p>
      <w:pPr>
        <w:jc w:val="center"/>
        <w:rPr>
          <w:b/>
          <w:bCs/>
          <w:sz w:val="30"/>
        </w:rPr>
      </w:pPr>
      <w:r>
        <w:rPr>
          <w:b/>
          <w:bCs/>
          <w:sz w:val="30"/>
        </w:rPr>
        <w:t>（Analytical Chemistry）</w:t>
      </w:r>
    </w:p>
    <w:p>
      <w:pPr>
        <w:spacing w:line="360" w:lineRule="auto"/>
        <w:rPr>
          <w:b/>
          <w:sz w:val="28"/>
          <w:szCs w:val="28"/>
        </w:rPr>
      </w:pPr>
      <w:r>
        <w:rPr>
          <w:b/>
          <w:sz w:val="28"/>
          <w:szCs w:val="28"/>
        </w:rPr>
        <w:t>一、课程概况</w:t>
      </w:r>
    </w:p>
    <w:p>
      <w:pPr>
        <w:spacing w:line="360" w:lineRule="auto"/>
        <w:ind w:firstLine="482" w:firstLineChars="200"/>
        <w:rPr>
          <w:b/>
          <w:kern w:val="0"/>
          <w:sz w:val="24"/>
        </w:rPr>
      </w:pPr>
      <w:r>
        <w:rPr>
          <w:b/>
          <w:bCs/>
          <w:kern w:val="0"/>
          <w:sz w:val="24"/>
        </w:rPr>
        <w:t>课程代码</w:t>
      </w:r>
      <w:r>
        <w:rPr>
          <w:b/>
          <w:kern w:val="0"/>
          <w:sz w:val="24"/>
        </w:rPr>
        <w:t>：2501004</w:t>
      </w:r>
    </w:p>
    <w:p>
      <w:pPr>
        <w:spacing w:line="360" w:lineRule="auto"/>
        <w:ind w:firstLine="482" w:firstLineChars="200"/>
        <w:rPr>
          <w:b/>
          <w:kern w:val="0"/>
          <w:sz w:val="24"/>
        </w:rPr>
      </w:pPr>
      <w:r>
        <w:rPr>
          <w:b/>
          <w:bCs/>
          <w:kern w:val="0"/>
          <w:sz w:val="24"/>
        </w:rPr>
        <w:t>学    分</w:t>
      </w:r>
      <w:r>
        <w:rPr>
          <w:b/>
          <w:kern w:val="0"/>
          <w:sz w:val="24"/>
        </w:rPr>
        <w:t>：3</w:t>
      </w:r>
    </w:p>
    <w:p>
      <w:pPr>
        <w:spacing w:line="360" w:lineRule="auto"/>
        <w:ind w:firstLine="482" w:firstLineChars="200"/>
        <w:rPr>
          <w:kern w:val="0"/>
          <w:sz w:val="24"/>
        </w:rPr>
      </w:pPr>
      <w:r>
        <w:rPr>
          <w:b/>
          <w:bCs/>
          <w:kern w:val="0"/>
          <w:sz w:val="24"/>
        </w:rPr>
        <w:t>学    时</w:t>
      </w:r>
      <w:r>
        <w:rPr>
          <w:b/>
          <w:kern w:val="0"/>
          <w:sz w:val="24"/>
        </w:rPr>
        <w:t>：48</w:t>
      </w:r>
    </w:p>
    <w:p>
      <w:pPr>
        <w:spacing w:line="360" w:lineRule="auto"/>
        <w:ind w:firstLine="482" w:firstLineChars="200"/>
        <w:rPr>
          <w:bCs/>
          <w:kern w:val="0"/>
          <w:sz w:val="24"/>
        </w:rPr>
      </w:pPr>
      <w:r>
        <w:rPr>
          <w:b/>
          <w:bCs/>
          <w:kern w:val="0"/>
          <w:sz w:val="24"/>
        </w:rPr>
        <w:t>先修课程</w:t>
      </w:r>
      <w:r>
        <w:rPr>
          <w:b/>
          <w:kern w:val="0"/>
          <w:sz w:val="24"/>
        </w:rPr>
        <w:t>：</w:t>
      </w:r>
      <w:r>
        <w:rPr>
          <w:rFonts w:hint="eastAsia"/>
          <w:bCs/>
          <w:kern w:val="0"/>
          <w:sz w:val="24"/>
        </w:rPr>
        <w:t>高等数学、大学物理、无机化学</w:t>
      </w:r>
    </w:p>
    <w:p>
      <w:pPr>
        <w:spacing w:line="360" w:lineRule="auto"/>
        <w:ind w:firstLine="482" w:firstLineChars="200"/>
        <w:rPr>
          <w:kern w:val="0"/>
          <w:sz w:val="24"/>
        </w:rPr>
      </w:pPr>
      <w:r>
        <w:rPr>
          <w:b/>
          <w:bCs/>
          <w:kern w:val="0"/>
          <w:sz w:val="24"/>
        </w:rPr>
        <w:t>适用专业</w:t>
      </w:r>
      <w:r>
        <w:rPr>
          <w:b/>
          <w:kern w:val="0"/>
          <w:sz w:val="24"/>
        </w:rPr>
        <w:t>：</w:t>
      </w:r>
      <w:r>
        <w:rPr>
          <w:rFonts w:hint="eastAsia"/>
          <w:sz w:val="24"/>
        </w:rPr>
        <w:t>化学工程与工艺</w:t>
      </w:r>
    </w:p>
    <w:p>
      <w:pPr>
        <w:spacing w:line="360" w:lineRule="auto"/>
        <w:ind w:firstLine="482" w:firstLineChars="200"/>
        <w:rPr>
          <w:sz w:val="24"/>
        </w:rPr>
      </w:pPr>
      <w:r>
        <w:rPr>
          <w:b/>
          <w:bCs/>
          <w:kern w:val="0"/>
          <w:sz w:val="24"/>
        </w:rPr>
        <w:t>教    材</w:t>
      </w:r>
      <w:r>
        <w:rPr>
          <w:b/>
          <w:kern w:val="0"/>
          <w:sz w:val="24"/>
        </w:rPr>
        <w:t>：</w:t>
      </w:r>
      <w:r>
        <w:rPr>
          <w:rFonts w:hint="eastAsia"/>
          <w:kern w:val="0"/>
          <w:sz w:val="24"/>
        </w:rPr>
        <w:t>《分析化学（第6版）》，武汉大学，高等教育出版社，2016.12</w:t>
      </w:r>
    </w:p>
    <w:p>
      <w:pPr>
        <w:spacing w:line="360" w:lineRule="auto"/>
        <w:ind w:firstLine="482" w:firstLineChars="200"/>
        <w:rPr>
          <w:kern w:val="0"/>
          <w:sz w:val="24"/>
        </w:rPr>
      </w:pPr>
      <w:r>
        <w:rPr>
          <w:b/>
          <w:bCs/>
          <w:kern w:val="0"/>
          <w:sz w:val="24"/>
        </w:rPr>
        <w:t>课程归口：</w:t>
      </w:r>
      <w:r>
        <w:rPr>
          <w:rFonts w:hint="eastAsia" w:ascii="宋体" w:hAnsi="宋体"/>
          <w:bCs/>
          <w:kern w:val="0"/>
          <w:sz w:val="24"/>
        </w:rPr>
        <w:t>化工与材料</w:t>
      </w:r>
      <w:r>
        <w:rPr>
          <w:rFonts w:ascii="宋体" w:hAnsi="宋体"/>
          <w:kern w:val="0"/>
          <w:sz w:val="24"/>
        </w:rPr>
        <w:t>学院</w:t>
      </w:r>
    </w:p>
    <w:p>
      <w:pPr>
        <w:spacing w:line="360" w:lineRule="auto"/>
        <w:ind w:firstLine="482" w:firstLineChars="200"/>
        <w:rPr>
          <w:bCs/>
          <w:kern w:val="0"/>
          <w:sz w:val="24"/>
        </w:rPr>
      </w:pPr>
      <w:r>
        <w:rPr>
          <w:b/>
          <w:bCs/>
          <w:kern w:val="0"/>
          <w:sz w:val="24"/>
        </w:rPr>
        <w:t>课程团队：</w:t>
      </w:r>
      <w:r>
        <w:rPr>
          <w:rFonts w:hint="eastAsia"/>
          <w:bCs/>
          <w:kern w:val="0"/>
          <w:sz w:val="24"/>
        </w:rPr>
        <w:t>壮亚峰、陈建欣等</w:t>
      </w:r>
    </w:p>
    <w:p>
      <w:pPr>
        <w:spacing w:line="300" w:lineRule="auto"/>
        <w:ind w:firstLine="482" w:firstLineChars="200"/>
        <w:rPr>
          <w:bCs/>
          <w:color w:val="000000"/>
          <w:sz w:val="24"/>
        </w:rPr>
      </w:pPr>
      <w:r>
        <w:rPr>
          <w:b/>
          <w:bCs/>
          <w:kern w:val="0"/>
          <w:sz w:val="24"/>
        </w:rPr>
        <w:t>课程</w:t>
      </w:r>
      <w:r>
        <w:rPr>
          <w:rFonts w:hint="eastAsia"/>
          <w:b/>
          <w:bCs/>
          <w:kern w:val="0"/>
          <w:sz w:val="24"/>
        </w:rPr>
        <w:t>性质与</w:t>
      </w:r>
      <w:r>
        <w:rPr>
          <w:b/>
          <w:bCs/>
          <w:kern w:val="0"/>
          <w:sz w:val="24"/>
        </w:rPr>
        <w:t>任务：</w:t>
      </w:r>
      <w:r>
        <w:rPr>
          <w:rFonts w:hint="eastAsia"/>
          <w:bCs/>
          <w:color w:val="000000"/>
          <w:sz w:val="24"/>
        </w:rPr>
        <w:t>本课程是化学工程与工艺专业的专业基础必修课，也可作为化工类，化学类、制药类和其它有关专业的必修课或选修课。通过本课程的学习，培养学生掌握化学分析的基本原理，树立“量”的概念，了解分析过程中的误差来源，掌握分析结果的计算及数据处理等；培养学生实事求是的科学态度和严谨细致的工作作风，为将来从事化学工程与工艺技术工作打下良好的基础，为后续专业课程及实验环节奠定基础。</w:t>
      </w:r>
    </w:p>
    <w:p>
      <w:pPr>
        <w:spacing w:line="360" w:lineRule="auto"/>
        <w:rPr>
          <w:b/>
          <w:sz w:val="28"/>
          <w:szCs w:val="28"/>
        </w:rPr>
      </w:pPr>
      <w:r>
        <w:rPr>
          <w:b/>
          <w:sz w:val="28"/>
          <w:szCs w:val="28"/>
        </w:rPr>
        <w:t>二、课程目标及对毕业要求观测点的支撑</w:t>
      </w:r>
    </w:p>
    <w:tbl>
      <w:tblPr>
        <w:tblStyle w:val="1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118"/>
        <w:gridCol w:w="2292"/>
        <w:gridCol w:w="3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38" w:type="dxa"/>
            <w:shd w:val="clear" w:color="auto" w:fill="auto"/>
            <w:noWrap/>
            <w:vAlign w:val="center"/>
          </w:tcPr>
          <w:p>
            <w:pPr>
              <w:widowControl/>
              <w:jc w:val="center"/>
              <w:rPr>
                <w:b/>
                <w:bCs/>
                <w:kern w:val="0"/>
                <w:szCs w:val="21"/>
              </w:rPr>
            </w:pPr>
            <w:r>
              <w:rPr>
                <w:b/>
                <w:bCs/>
                <w:kern w:val="0"/>
                <w:szCs w:val="21"/>
              </w:rPr>
              <w:t>序号</w:t>
            </w:r>
          </w:p>
        </w:tc>
        <w:tc>
          <w:tcPr>
            <w:tcW w:w="3118" w:type="dxa"/>
            <w:shd w:val="clear" w:color="auto" w:fill="auto"/>
            <w:noWrap/>
            <w:vAlign w:val="center"/>
          </w:tcPr>
          <w:p>
            <w:pPr>
              <w:widowControl/>
              <w:jc w:val="center"/>
              <w:rPr>
                <w:b/>
                <w:bCs/>
                <w:kern w:val="0"/>
                <w:szCs w:val="21"/>
              </w:rPr>
            </w:pPr>
            <w:r>
              <w:rPr>
                <w:b/>
                <w:bCs/>
                <w:kern w:val="0"/>
                <w:szCs w:val="21"/>
              </w:rPr>
              <w:t>课程目标</w:t>
            </w:r>
          </w:p>
        </w:tc>
        <w:tc>
          <w:tcPr>
            <w:tcW w:w="2292" w:type="dxa"/>
            <w:shd w:val="clear" w:color="auto" w:fill="auto"/>
            <w:noWrap/>
            <w:vAlign w:val="center"/>
          </w:tcPr>
          <w:p>
            <w:pPr>
              <w:widowControl/>
              <w:jc w:val="center"/>
              <w:rPr>
                <w:b/>
                <w:bCs/>
                <w:kern w:val="0"/>
                <w:szCs w:val="21"/>
              </w:rPr>
            </w:pPr>
            <w:r>
              <w:rPr>
                <w:b/>
                <w:bCs/>
                <w:kern w:val="0"/>
                <w:szCs w:val="21"/>
              </w:rPr>
              <w:t>支撑毕业要求观测点</w:t>
            </w:r>
          </w:p>
        </w:tc>
        <w:tc>
          <w:tcPr>
            <w:tcW w:w="3066" w:type="dxa"/>
            <w:shd w:val="clear" w:color="auto" w:fill="auto"/>
            <w:noWrap/>
            <w:vAlign w:val="center"/>
          </w:tcPr>
          <w:p>
            <w:pPr>
              <w:widowControl/>
              <w:jc w:val="center"/>
              <w:rPr>
                <w:b/>
                <w:bCs/>
                <w:kern w:val="0"/>
                <w:szCs w:val="21"/>
              </w:rPr>
            </w:pPr>
            <w:r>
              <w:rPr>
                <w:b/>
                <w:bCs/>
                <w:kern w:val="0"/>
                <w:szCs w:val="21"/>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38" w:type="dxa"/>
            <w:shd w:val="clear" w:color="auto" w:fill="auto"/>
            <w:noWrap/>
            <w:vAlign w:val="center"/>
          </w:tcPr>
          <w:p>
            <w:pPr>
              <w:widowControl/>
              <w:jc w:val="center"/>
              <w:rPr>
                <w:kern w:val="0"/>
                <w:szCs w:val="21"/>
              </w:rPr>
            </w:pPr>
            <w:r>
              <w:rPr>
                <w:kern w:val="0"/>
                <w:szCs w:val="21"/>
              </w:rPr>
              <w:t>1</w:t>
            </w:r>
          </w:p>
        </w:tc>
        <w:tc>
          <w:tcPr>
            <w:tcW w:w="3118" w:type="dxa"/>
            <w:shd w:val="clear" w:color="auto" w:fill="auto"/>
            <w:noWrap/>
            <w:vAlign w:val="center"/>
          </w:tcPr>
          <w:p>
            <w:pPr>
              <w:rPr>
                <w:kern w:val="0"/>
                <w:szCs w:val="21"/>
              </w:rPr>
            </w:pPr>
            <w:r>
              <w:rPr>
                <w:b/>
                <w:kern w:val="0"/>
                <w:szCs w:val="21"/>
              </w:rPr>
              <w:t>目标1：</w:t>
            </w:r>
            <w:r>
              <w:rPr>
                <w:rFonts w:hint="eastAsia"/>
                <w:kern w:val="0"/>
                <w:szCs w:val="21"/>
              </w:rPr>
              <w:t>能够了解分析化学产生的历史背景及发展过程，理解分析化学的地位和作用，掌握化学分析方法的工作原理和特点</w:t>
            </w:r>
            <w:r>
              <w:rPr>
                <w:kern w:val="0"/>
                <w:szCs w:val="21"/>
              </w:rPr>
              <w:t>。</w:t>
            </w:r>
          </w:p>
        </w:tc>
        <w:tc>
          <w:tcPr>
            <w:tcW w:w="2292" w:type="dxa"/>
            <w:shd w:val="clear" w:color="auto" w:fill="auto"/>
            <w:noWrap/>
            <w:vAlign w:val="center"/>
          </w:tcPr>
          <w:p>
            <w:pPr>
              <w:widowControl/>
              <w:rPr>
                <w:kern w:val="0"/>
                <w:szCs w:val="21"/>
              </w:rPr>
            </w:pPr>
            <w:r>
              <w:rPr>
                <w:b/>
                <w:szCs w:val="21"/>
              </w:rPr>
              <w:t>观测点1.1</w:t>
            </w:r>
            <w:r>
              <w:rPr>
                <w:szCs w:val="21"/>
              </w:rPr>
              <w:t>：</w:t>
            </w:r>
            <w:r>
              <w:rPr>
                <w:rFonts w:hint="eastAsia"/>
                <w:szCs w:val="21"/>
              </w:rPr>
              <w:t>掌握数学与自然科学知识</w:t>
            </w:r>
          </w:p>
        </w:tc>
        <w:tc>
          <w:tcPr>
            <w:tcW w:w="3066" w:type="dxa"/>
            <w:shd w:val="clear" w:color="auto" w:fill="auto"/>
            <w:noWrap/>
            <w:vAlign w:val="center"/>
          </w:tcPr>
          <w:p>
            <w:pPr>
              <w:widowControl/>
              <w:rPr>
                <w:kern w:val="0"/>
                <w:szCs w:val="21"/>
              </w:rPr>
            </w:pPr>
            <w:r>
              <w:rPr>
                <w:b/>
                <w:szCs w:val="21"/>
              </w:rPr>
              <w:t>毕业要求1</w:t>
            </w:r>
            <w:r>
              <w:rPr>
                <w:szCs w:val="21"/>
              </w:rPr>
              <w:t>工程知识：</w:t>
            </w:r>
            <w:r>
              <w:rPr>
                <w:rFonts w:hint="eastAsia"/>
                <w:szCs w:val="21"/>
              </w:rPr>
              <w:t>能够将数学、自然科学、工程基础和专业知识用于工程实践，并能解决智能制造自动化技术领域的复杂工程问题。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38" w:type="dxa"/>
            <w:shd w:val="clear" w:color="auto" w:fill="auto"/>
            <w:noWrap/>
            <w:vAlign w:val="center"/>
          </w:tcPr>
          <w:p>
            <w:pPr>
              <w:widowControl/>
              <w:jc w:val="center"/>
              <w:rPr>
                <w:kern w:val="0"/>
                <w:szCs w:val="21"/>
              </w:rPr>
            </w:pPr>
            <w:r>
              <w:rPr>
                <w:kern w:val="0"/>
                <w:szCs w:val="21"/>
              </w:rPr>
              <w:t>2</w:t>
            </w:r>
          </w:p>
        </w:tc>
        <w:tc>
          <w:tcPr>
            <w:tcW w:w="3118" w:type="dxa"/>
            <w:shd w:val="clear" w:color="auto" w:fill="auto"/>
            <w:noWrap/>
            <w:vAlign w:val="center"/>
          </w:tcPr>
          <w:p>
            <w:pPr>
              <w:widowControl/>
              <w:rPr>
                <w:kern w:val="0"/>
                <w:szCs w:val="21"/>
              </w:rPr>
            </w:pPr>
            <w:r>
              <w:rPr>
                <w:b/>
                <w:kern w:val="0"/>
                <w:szCs w:val="21"/>
              </w:rPr>
              <w:t>目标2：</w:t>
            </w:r>
            <w:r>
              <w:rPr>
                <w:rFonts w:hint="eastAsia"/>
                <w:kern w:val="0"/>
                <w:szCs w:val="21"/>
              </w:rPr>
              <w:t>能够清楚化学分析方法的分析对象，熟练掌握化学分析方法的应用。能够养成观察、发现、引申问题，自觉运用所学知识分析、解决问题的良好习惯，并具备一定的独立思考、分析概括和创新能力</w:t>
            </w:r>
            <w:r>
              <w:rPr>
                <w:kern w:val="0"/>
                <w:szCs w:val="21"/>
              </w:rPr>
              <w:t>。</w:t>
            </w:r>
          </w:p>
        </w:tc>
        <w:tc>
          <w:tcPr>
            <w:tcW w:w="2292" w:type="dxa"/>
            <w:shd w:val="clear" w:color="auto" w:fill="auto"/>
            <w:noWrap/>
            <w:vAlign w:val="center"/>
          </w:tcPr>
          <w:p>
            <w:pPr>
              <w:widowControl/>
              <w:rPr>
                <w:kern w:val="0"/>
                <w:szCs w:val="21"/>
              </w:rPr>
            </w:pPr>
            <w:r>
              <w:rPr>
                <w:b/>
                <w:color w:val="000000"/>
                <w:kern w:val="0"/>
                <w:szCs w:val="21"/>
              </w:rPr>
              <w:t>观测点</w:t>
            </w:r>
            <w:r>
              <w:rPr>
                <w:b/>
                <w:szCs w:val="21"/>
              </w:rPr>
              <w:t>2.1</w:t>
            </w:r>
            <w:r>
              <w:rPr>
                <w:szCs w:val="21"/>
              </w:rPr>
              <w:t>：</w:t>
            </w:r>
            <w:r>
              <w:rPr>
                <w:rFonts w:hint="eastAsia"/>
                <w:color w:val="000000"/>
                <w:kern w:val="0"/>
                <w:szCs w:val="21"/>
              </w:rPr>
              <w:t>能够识别和判断复杂化学工程问题的关键环节和参数。</w:t>
            </w:r>
          </w:p>
        </w:tc>
        <w:tc>
          <w:tcPr>
            <w:tcW w:w="3066" w:type="dxa"/>
            <w:shd w:val="clear" w:color="auto" w:fill="auto"/>
            <w:noWrap/>
            <w:vAlign w:val="center"/>
          </w:tcPr>
          <w:p>
            <w:pPr>
              <w:widowControl/>
              <w:rPr>
                <w:kern w:val="0"/>
                <w:szCs w:val="21"/>
              </w:rPr>
            </w:pPr>
            <w:r>
              <w:rPr>
                <w:b/>
                <w:color w:val="000000"/>
                <w:kern w:val="0"/>
                <w:szCs w:val="21"/>
              </w:rPr>
              <w:t>毕业要求2</w:t>
            </w:r>
            <w:r>
              <w:rPr>
                <w:szCs w:val="21"/>
              </w:rPr>
              <w:t>问题分析：</w:t>
            </w:r>
            <w:r>
              <w:rPr>
                <w:rFonts w:hint="eastAsia"/>
                <w:szCs w:val="21"/>
              </w:rPr>
              <w:t>能够应用数学、自然科学和工程科学的基本原理，识别、表达、并通过文献研究分析智能制造自动化技术领域的复杂工程问题，以获得有效结论。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38" w:type="dxa"/>
            <w:shd w:val="clear" w:color="auto" w:fill="auto"/>
            <w:noWrap/>
            <w:vAlign w:val="center"/>
          </w:tcPr>
          <w:p>
            <w:pPr>
              <w:widowControl/>
              <w:jc w:val="center"/>
              <w:rPr>
                <w:kern w:val="0"/>
                <w:szCs w:val="21"/>
              </w:rPr>
            </w:pPr>
            <w:r>
              <w:rPr>
                <w:kern w:val="0"/>
                <w:szCs w:val="21"/>
              </w:rPr>
              <w:t>3</w:t>
            </w:r>
          </w:p>
        </w:tc>
        <w:tc>
          <w:tcPr>
            <w:tcW w:w="3118" w:type="dxa"/>
            <w:shd w:val="clear" w:color="auto" w:fill="auto"/>
            <w:noWrap/>
            <w:vAlign w:val="center"/>
          </w:tcPr>
          <w:p>
            <w:pPr>
              <w:widowControl/>
              <w:rPr>
                <w:kern w:val="0"/>
                <w:szCs w:val="21"/>
              </w:rPr>
            </w:pPr>
            <w:r>
              <w:rPr>
                <w:b/>
                <w:kern w:val="0"/>
                <w:szCs w:val="21"/>
              </w:rPr>
              <w:t>目标3：</w:t>
            </w:r>
            <w:r>
              <w:rPr>
                <w:rFonts w:hint="eastAsia"/>
                <w:kern w:val="0"/>
                <w:szCs w:val="21"/>
              </w:rPr>
              <w:t>能够养成运用所学知识对自己身边有关物质鉴定与分析的关注和思索的良好习惯，能够把所学的知识和技能应用到具体应用实践中去</w:t>
            </w:r>
            <w:r>
              <w:rPr>
                <w:kern w:val="0"/>
                <w:szCs w:val="21"/>
              </w:rPr>
              <w:t>。</w:t>
            </w:r>
          </w:p>
        </w:tc>
        <w:tc>
          <w:tcPr>
            <w:tcW w:w="2292" w:type="dxa"/>
            <w:shd w:val="clear" w:color="auto" w:fill="auto"/>
            <w:noWrap/>
            <w:vAlign w:val="center"/>
          </w:tcPr>
          <w:p>
            <w:pPr>
              <w:widowControl/>
              <w:rPr>
                <w:kern w:val="0"/>
                <w:szCs w:val="21"/>
              </w:rPr>
            </w:pPr>
            <w:r>
              <w:rPr>
                <w:b/>
                <w:kern w:val="0"/>
                <w:szCs w:val="21"/>
              </w:rPr>
              <w:t>观测点</w:t>
            </w:r>
            <w:r>
              <w:rPr>
                <w:b/>
                <w:szCs w:val="21"/>
              </w:rPr>
              <w:t>4.1</w:t>
            </w:r>
            <w:r>
              <w:rPr>
                <w:szCs w:val="21"/>
              </w:rPr>
              <w:t>：</w:t>
            </w:r>
            <w:r>
              <w:rPr>
                <w:rFonts w:hint="eastAsia"/>
                <w:shd w:val="clear" w:color="auto" w:fill="FFFFFF"/>
              </w:rPr>
              <w:t>能够比较和选择研究路线，设计实验方案。</w:t>
            </w:r>
          </w:p>
        </w:tc>
        <w:tc>
          <w:tcPr>
            <w:tcW w:w="3066" w:type="dxa"/>
            <w:shd w:val="clear" w:color="auto" w:fill="auto"/>
            <w:noWrap/>
            <w:vAlign w:val="center"/>
          </w:tcPr>
          <w:p>
            <w:pPr>
              <w:widowControl/>
              <w:rPr>
                <w:kern w:val="0"/>
                <w:szCs w:val="21"/>
              </w:rPr>
            </w:pPr>
            <w:r>
              <w:rPr>
                <w:b/>
                <w:color w:val="000000"/>
                <w:kern w:val="0"/>
                <w:szCs w:val="21"/>
              </w:rPr>
              <w:t>毕业要求4</w:t>
            </w:r>
            <w:r>
              <w:rPr>
                <w:color w:val="000000"/>
                <w:kern w:val="0"/>
                <w:szCs w:val="21"/>
              </w:rPr>
              <w:t>研究：</w:t>
            </w:r>
            <w:r>
              <w:rPr>
                <w:rFonts w:hint="eastAsia"/>
                <w:color w:val="000000"/>
                <w:kern w:val="0"/>
                <w:szCs w:val="21"/>
              </w:rPr>
              <w:t>能够基于科学原理并采用科学方法对智能制造自动化技术领域的复杂工程问题进行研究，包括设计实验、分析与解释数据、并通过信息综合得到合理有效的结论。</w:t>
            </w:r>
          </w:p>
        </w:tc>
      </w:tr>
    </w:tbl>
    <w:p>
      <w:pPr>
        <w:spacing w:line="360" w:lineRule="auto"/>
        <w:rPr>
          <w:b/>
          <w:sz w:val="28"/>
          <w:szCs w:val="28"/>
        </w:rPr>
      </w:pPr>
      <w:r>
        <w:rPr>
          <w:b/>
          <w:sz w:val="28"/>
          <w:szCs w:val="28"/>
        </w:rPr>
        <w:t>三、</w:t>
      </w:r>
      <w:r>
        <w:rPr>
          <w:rFonts w:hint="eastAsia"/>
          <w:b/>
          <w:sz w:val="28"/>
          <w:szCs w:val="28"/>
        </w:rPr>
        <w:t>教学</w:t>
      </w:r>
      <w:r>
        <w:rPr>
          <w:b/>
          <w:sz w:val="28"/>
          <w:szCs w:val="28"/>
        </w:rPr>
        <w:t>内容及要求</w:t>
      </w:r>
    </w:p>
    <w:tbl>
      <w:tblPr>
        <w:tblStyle w:val="10"/>
        <w:tblW w:w="9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2632"/>
        <w:gridCol w:w="1134"/>
        <w:gridCol w:w="2028"/>
        <w:gridCol w:w="699"/>
        <w:gridCol w:w="975"/>
        <w:gridCol w:w="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vAlign w:val="center"/>
          </w:tcPr>
          <w:p>
            <w:pPr>
              <w:jc w:val="center"/>
              <w:rPr>
                <w:b/>
                <w:bCs/>
                <w:szCs w:val="21"/>
              </w:rPr>
            </w:pPr>
            <w:r>
              <w:rPr>
                <w:b/>
                <w:bCs/>
                <w:szCs w:val="21"/>
              </w:rPr>
              <w:t>序号</w:t>
            </w:r>
          </w:p>
        </w:tc>
        <w:tc>
          <w:tcPr>
            <w:tcW w:w="2632" w:type="dxa"/>
            <w:shd w:val="clear" w:color="auto" w:fill="auto"/>
            <w:vAlign w:val="center"/>
          </w:tcPr>
          <w:p>
            <w:pPr>
              <w:jc w:val="center"/>
              <w:rPr>
                <w:b/>
                <w:bCs/>
                <w:szCs w:val="21"/>
              </w:rPr>
            </w:pPr>
            <w:r>
              <w:rPr>
                <w:b/>
                <w:bCs/>
                <w:szCs w:val="21"/>
              </w:rPr>
              <w:t>教学内容</w:t>
            </w:r>
          </w:p>
        </w:tc>
        <w:tc>
          <w:tcPr>
            <w:tcW w:w="1134" w:type="dxa"/>
            <w:shd w:val="clear" w:color="auto" w:fill="auto"/>
            <w:vAlign w:val="center"/>
          </w:tcPr>
          <w:p>
            <w:pPr>
              <w:jc w:val="center"/>
              <w:rPr>
                <w:b/>
                <w:bCs/>
                <w:szCs w:val="21"/>
              </w:rPr>
            </w:pPr>
            <w:r>
              <w:rPr>
                <w:b/>
                <w:bCs/>
                <w:szCs w:val="21"/>
              </w:rPr>
              <w:t>思政元素</w:t>
            </w:r>
          </w:p>
        </w:tc>
        <w:tc>
          <w:tcPr>
            <w:tcW w:w="2028" w:type="dxa"/>
            <w:shd w:val="clear" w:color="auto" w:fill="auto"/>
            <w:vAlign w:val="center"/>
          </w:tcPr>
          <w:p>
            <w:pPr>
              <w:jc w:val="center"/>
              <w:rPr>
                <w:b/>
                <w:bCs/>
                <w:szCs w:val="21"/>
              </w:rPr>
            </w:pPr>
            <w:r>
              <w:rPr>
                <w:b/>
                <w:bCs/>
                <w:szCs w:val="21"/>
              </w:rPr>
              <w:t>预期学习成果</w:t>
            </w:r>
          </w:p>
        </w:tc>
        <w:tc>
          <w:tcPr>
            <w:tcW w:w="699" w:type="dxa"/>
            <w:shd w:val="clear" w:color="auto" w:fill="auto"/>
            <w:vAlign w:val="center"/>
          </w:tcPr>
          <w:p>
            <w:pPr>
              <w:jc w:val="center"/>
              <w:rPr>
                <w:b/>
                <w:bCs/>
                <w:szCs w:val="21"/>
              </w:rPr>
            </w:pPr>
            <w:r>
              <w:rPr>
                <w:b/>
                <w:bCs/>
                <w:szCs w:val="21"/>
              </w:rPr>
              <w:t>教学学时</w:t>
            </w:r>
          </w:p>
        </w:tc>
        <w:tc>
          <w:tcPr>
            <w:tcW w:w="975" w:type="dxa"/>
            <w:shd w:val="clear" w:color="auto" w:fill="auto"/>
            <w:vAlign w:val="center"/>
          </w:tcPr>
          <w:p>
            <w:pPr>
              <w:jc w:val="center"/>
              <w:rPr>
                <w:b/>
                <w:bCs/>
                <w:szCs w:val="21"/>
              </w:rPr>
            </w:pPr>
            <w:r>
              <w:rPr>
                <w:b/>
                <w:bCs/>
                <w:szCs w:val="21"/>
              </w:rPr>
              <w:t>教学方式</w:t>
            </w:r>
          </w:p>
        </w:tc>
        <w:tc>
          <w:tcPr>
            <w:tcW w:w="925" w:type="dxa"/>
            <w:shd w:val="clear" w:color="auto" w:fill="auto"/>
            <w:vAlign w:val="center"/>
          </w:tcPr>
          <w:p>
            <w:pPr>
              <w:jc w:val="center"/>
              <w:rPr>
                <w:b/>
                <w:bCs/>
                <w:szCs w:val="21"/>
              </w:rPr>
            </w:pPr>
            <w:r>
              <w:rPr>
                <w:b/>
                <w:bCs/>
                <w:szCs w:val="21"/>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vAlign w:val="center"/>
          </w:tcPr>
          <w:p>
            <w:pPr>
              <w:jc w:val="center"/>
              <w:rPr>
                <w:szCs w:val="21"/>
              </w:rPr>
            </w:pPr>
            <w:r>
              <w:rPr>
                <w:szCs w:val="21"/>
              </w:rPr>
              <w:t>1</w:t>
            </w:r>
          </w:p>
        </w:tc>
        <w:tc>
          <w:tcPr>
            <w:tcW w:w="2632" w:type="dxa"/>
            <w:shd w:val="clear" w:color="auto" w:fill="auto"/>
            <w:vAlign w:val="center"/>
          </w:tcPr>
          <w:p>
            <w:pPr>
              <w:rPr>
                <w:kern w:val="0"/>
                <w:szCs w:val="21"/>
              </w:rPr>
            </w:pPr>
            <w:r>
              <w:rPr>
                <w:rFonts w:hint="eastAsia"/>
                <w:b/>
                <w:kern w:val="0"/>
                <w:szCs w:val="21"/>
              </w:rPr>
              <w:t>概论：</w:t>
            </w:r>
            <w:r>
              <w:rPr>
                <w:rFonts w:hint="eastAsia"/>
                <w:kern w:val="0"/>
                <w:szCs w:val="21"/>
              </w:rPr>
              <w:t>分析化学的定义、任务和作用、分析方法的分类与选择、分析化学发展简史与发展趋势、分析化学过程及分析结果的表示、滴定分析法概述、基准物质和标准溶液、滴定分析中的计算</w:t>
            </w:r>
          </w:p>
          <w:p>
            <w:pPr>
              <w:rPr>
                <w:kern w:val="0"/>
                <w:szCs w:val="21"/>
              </w:rPr>
            </w:pPr>
            <w:r>
              <w:rPr>
                <w:b/>
                <w:kern w:val="0"/>
                <w:szCs w:val="21"/>
              </w:rPr>
              <w:t>重点和难点：</w:t>
            </w:r>
            <w:r>
              <w:rPr>
                <w:rFonts w:hint="eastAsia"/>
                <w:kern w:val="0"/>
                <w:szCs w:val="21"/>
              </w:rPr>
              <w:t>基准物质、滴定误差等概念、滴定分析结果计算</w:t>
            </w:r>
          </w:p>
        </w:tc>
        <w:tc>
          <w:tcPr>
            <w:tcW w:w="1134" w:type="dxa"/>
            <w:shd w:val="clear" w:color="auto" w:fill="auto"/>
            <w:vAlign w:val="center"/>
          </w:tcPr>
          <w:p>
            <w:pPr>
              <w:autoSpaceDE w:val="0"/>
              <w:autoSpaceDN w:val="0"/>
              <w:adjustRightInd w:val="0"/>
              <w:rPr>
                <w:kern w:val="0"/>
                <w:szCs w:val="21"/>
              </w:rPr>
            </w:pPr>
            <w:r>
              <w:rPr>
                <w:rFonts w:hint="eastAsia"/>
                <w:kern w:val="0"/>
                <w:szCs w:val="21"/>
              </w:rPr>
              <w:t>职业道</w:t>
            </w:r>
          </w:p>
          <w:p>
            <w:pPr>
              <w:autoSpaceDE w:val="0"/>
              <w:autoSpaceDN w:val="0"/>
              <w:adjustRightInd w:val="0"/>
              <w:rPr>
                <w:kern w:val="0"/>
                <w:szCs w:val="21"/>
              </w:rPr>
            </w:pPr>
            <w:r>
              <w:rPr>
                <w:rFonts w:hint="eastAsia"/>
                <w:kern w:val="0"/>
                <w:szCs w:val="21"/>
              </w:rPr>
              <w:t>德教育</w:t>
            </w:r>
          </w:p>
        </w:tc>
        <w:tc>
          <w:tcPr>
            <w:tcW w:w="2028" w:type="dxa"/>
            <w:shd w:val="clear" w:color="auto" w:fill="auto"/>
            <w:vAlign w:val="center"/>
          </w:tcPr>
          <w:p>
            <w:pPr>
              <w:autoSpaceDE w:val="0"/>
              <w:autoSpaceDN w:val="0"/>
              <w:adjustRightInd w:val="0"/>
              <w:rPr>
                <w:kern w:val="0"/>
                <w:szCs w:val="21"/>
              </w:rPr>
            </w:pPr>
            <w:r>
              <w:rPr>
                <w:rFonts w:hint="eastAsia"/>
                <w:kern w:val="0"/>
                <w:szCs w:val="21"/>
              </w:rPr>
              <w:t>了解分析化学基本任务、方法分类、发展趋势等；理解定量分析特点、主要方法，滴定分析对化学反应的要求；理解滴定分析过程，被测溶液、基准物质、标准溶液、滴定指示剂、化学计量点、滴定终点、滴定误差等概念；理解标准溶液配制、浓度标定、滴定分析结果计算等。</w:t>
            </w:r>
          </w:p>
        </w:tc>
        <w:tc>
          <w:tcPr>
            <w:tcW w:w="699" w:type="dxa"/>
            <w:shd w:val="clear" w:color="auto" w:fill="auto"/>
            <w:vAlign w:val="center"/>
          </w:tcPr>
          <w:p>
            <w:pPr>
              <w:jc w:val="center"/>
              <w:rPr>
                <w:szCs w:val="21"/>
              </w:rPr>
            </w:pPr>
            <w:r>
              <w:rPr>
                <w:szCs w:val="21"/>
              </w:rPr>
              <w:t>6</w:t>
            </w:r>
          </w:p>
        </w:tc>
        <w:tc>
          <w:tcPr>
            <w:tcW w:w="975" w:type="dxa"/>
            <w:shd w:val="clear" w:color="auto" w:fill="auto"/>
            <w:vAlign w:val="center"/>
          </w:tcPr>
          <w:p>
            <w:pPr>
              <w:rPr>
                <w:szCs w:val="21"/>
              </w:rPr>
            </w:pPr>
            <w:r>
              <w:rPr>
                <w:szCs w:val="21"/>
              </w:rPr>
              <w:t>讲授/讨论/实例教学等</w:t>
            </w:r>
          </w:p>
        </w:tc>
        <w:tc>
          <w:tcPr>
            <w:tcW w:w="925" w:type="dxa"/>
            <w:shd w:val="clear" w:color="auto" w:fill="auto"/>
            <w:vAlign w:val="center"/>
          </w:tcPr>
          <w:p>
            <w:pPr>
              <w:jc w:val="center"/>
              <w:rPr>
                <w:b/>
                <w:kern w:val="0"/>
                <w:szCs w:val="21"/>
              </w:rPr>
            </w:pPr>
            <w:r>
              <w:rPr>
                <w:b/>
                <w:kern w:val="0"/>
                <w:szCs w:val="21"/>
              </w:rPr>
              <w:t>目标1</w:t>
            </w:r>
          </w:p>
          <w:p>
            <w:pPr>
              <w:jc w:val="center"/>
              <w:rPr>
                <w:b/>
                <w:bCs/>
                <w:szCs w:val="21"/>
              </w:rPr>
            </w:pPr>
            <w:r>
              <w:rPr>
                <w:rFonts w:hint="eastAsia"/>
                <w:b/>
                <w:bCs/>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vAlign w:val="center"/>
          </w:tcPr>
          <w:p>
            <w:pPr>
              <w:jc w:val="center"/>
              <w:rPr>
                <w:szCs w:val="21"/>
              </w:rPr>
            </w:pPr>
            <w:r>
              <w:rPr>
                <w:szCs w:val="21"/>
              </w:rPr>
              <w:t>2</w:t>
            </w:r>
          </w:p>
        </w:tc>
        <w:tc>
          <w:tcPr>
            <w:tcW w:w="2632" w:type="dxa"/>
            <w:shd w:val="clear" w:color="auto" w:fill="auto"/>
            <w:vAlign w:val="center"/>
          </w:tcPr>
          <w:p>
            <w:pPr>
              <w:rPr>
                <w:kern w:val="0"/>
                <w:szCs w:val="21"/>
              </w:rPr>
            </w:pPr>
            <w:r>
              <w:rPr>
                <w:rFonts w:hint="eastAsia"/>
                <w:b/>
                <w:kern w:val="0"/>
                <w:szCs w:val="21"/>
              </w:rPr>
              <w:t>分析试样的采集与处理：</w:t>
            </w:r>
            <w:r>
              <w:rPr>
                <w:rFonts w:hint="eastAsia"/>
                <w:kern w:val="0"/>
                <w:szCs w:val="21"/>
              </w:rPr>
              <w:t>试样的采集、试样的制备、试样的分解、测定前的预处理</w:t>
            </w:r>
          </w:p>
          <w:p>
            <w:pPr>
              <w:rPr>
                <w:kern w:val="0"/>
                <w:szCs w:val="21"/>
              </w:rPr>
            </w:pPr>
            <w:r>
              <w:rPr>
                <w:b/>
                <w:kern w:val="0"/>
                <w:szCs w:val="21"/>
              </w:rPr>
              <w:t>重点和难点：</w:t>
            </w:r>
            <w:r>
              <w:rPr>
                <w:rFonts w:hint="eastAsia"/>
                <w:kern w:val="0"/>
                <w:szCs w:val="21"/>
              </w:rPr>
              <w:t>试样制备方法、试样的分解、测定前的预处理</w:t>
            </w:r>
          </w:p>
        </w:tc>
        <w:tc>
          <w:tcPr>
            <w:tcW w:w="1134" w:type="dxa"/>
            <w:shd w:val="clear" w:color="auto" w:fill="auto"/>
            <w:vAlign w:val="center"/>
          </w:tcPr>
          <w:p>
            <w:pPr>
              <w:rPr>
                <w:szCs w:val="21"/>
              </w:rPr>
            </w:pPr>
            <w:r>
              <w:rPr>
                <w:rFonts w:hint="eastAsia"/>
                <w:szCs w:val="21"/>
              </w:rPr>
              <w:t>法律意识、环境保护理念</w:t>
            </w:r>
          </w:p>
        </w:tc>
        <w:tc>
          <w:tcPr>
            <w:tcW w:w="2028" w:type="dxa"/>
            <w:shd w:val="clear" w:color="auto" w:fill="auto"/>
            <w:vAlign w:val="center"/>
          </w:tcPr>
          <w:p>
            <w:pPr>
              <w:rPr>
                <w:szCs w:val="21"/>
              </w:rPr>
            </w:pPr>
            <w:r>
              <w:rPr>
                <w:rFonts w:hint="eastAsia"/>
                <w:kern w:val="0"/>
                <w:szCs w:val="21"/>
              </w:rPr>
              <w:t>了解分析试样的采集与制备方法；理解定试样的分解、测定前的预处理。。</w:t>
            </w:r>
          </w:p>
        </w:tc>
        <w:tc>
          <w:tcPr>
            <w:tcW w:w="699" w:type="dxa"/>
            <w:shd w:val="clear" w:color="auto" w:fill="auto"/>
            <w:vAlign w:val="center"/>
          </w:tcPr>
          <w:p>
            <w:pPr>
              <w:jc w:val="center"/>
              <w:rPr>
                <w:szCs w:val="21"/>
              </w:rPr>
            </w:pPr>
            <w:r>
              <w:rPr>
                <w:szCs w:val="21"/>
              </w:rPr>
              <w:t>2</w:t>
            </w:r>
          </w:p>
        </w:tc>
        <w:tc>
          <w:tcPr>
            <w:tcW w:w="975" w:type="dxa"/>
            <w:shd w:val="clear" w:color="auto" w:fill="auto"/>
            <w:vAlign w:val="center"/>
          </w:tcPr>
          <w:p>
            <w:pPr>
              <w:rPr>
                <w:szCs w:val="21"/>
              </w:rPr>
            </w:pPr>
            <w:r>
              <w:rPr>
                <w:szCs w:val="21"/>
              </w:rPr>
              <w:t>讲授/</w:t>
            </w:r>
            <w:r>
              <w:rPr>
                <w:rFonts w:hint="eastAsia"/>
                <w:szCs w:val="21"/>
              </w:rPr>
              <w:t>案例</w:t>
            </w:r>
            <w:r>
              <w:rPr>
                <w:szCs w:val="21"/>
              </w:rPr>
              <w:t>/讨论/等</w:t>
            </w:r>
          </w:p>
        </w:tc>
        <w:tc>
          <w:tcPr>
            <w:tcW w:w="925" w:type="dxa"/>
            <w:shd w:val="clear" w:color="auto" w:fill="auto"/>
            <w:vAlign w:val="center"/>
          </w:tcPr>
          <w:p>
            <w:pPr>
              <w:jc w:val="center"/>
              <w:rPr>
                <w:kern w:val="0"/>
                <w:szCs w:val="21"/>
              </w:rPr>
            </w:pPr>
            <w:r>
              <w:rPr>
                <w:b/>
                <w:kern w:val="0"/>
                <w:szCs w:val="21"/>
              </w:rPr>
              <w:t>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vAlign w:val="center"/>
          </w:tcPr>
          <w:p>
            <w:pPr>
              <w:jc w:val="center"/>
              <w:rPr>
                <w:szCs w:val="21"/>
              </w:rPr>
            </w:pPr>
            <w:r>
              <w:rPr>
                <w:szCs w:val="21"/>
              </w:rPr>
              <w:t>3</w:t>
            </w:r>
          </w:p>
        </w:tc>
        <w:tc>
          <w:tcPr>
            <w:tcW w:w="2632" w:type="dxa"/>
            <w:shd w:val="clear" w:color="auto" w:fill="auto"/>
            <w:vAlign w:val="center"/>
          </w:tcPr>
          <w:p>
            <w:pPr>
              <w:rPr>
                <w:kern w:val="0"/>
                <w:szCs w:val="21"/>
              </w:rPr>
            </w:pPr>
            <w:r>
              <w:rPr>
                <w:rFonts w:hint="eastAsia"/>
                <w:b/>
                <w:kern w:val="0"/>
                <w:szCs w:val="21"/>
              </w:rPr>
              <w:t>分析化学中的误差与数据处理：</w:t>
            </w:r>
            <w:r>
              <w:rPr>
                <w:rFonts w:hint="eastAsia"/>
                <w:kern w:val="0"/>
                <w:szCs w:val="21"/>
              </w:rPr>
              <w:t>分析化学中的误差、有效数字及其运算规则、分析化学中的数据处理、显著性检验、可疑值取舍、回归分析法、提高分析结果准确度的方法</w:t>
            </w:r>
          </w:p>
          <w:p>
            <w:pPr>
              <w:rPr>
                <w:kern w:val="0"/>
                <w:szCs w:val="21"/>
              </w:rPr>
            </w:pPr>
            <w:r>
              <w:rPr>
                <w:b/>
                <w:kern w:val="0"/>
                <w:szCs w:val="21"/>
              </w:rPr>
              <w:t>重点和难点：</w:t>
            </w:r>
            <w:r>
              <w:rPr>
                <w:rFonts w:hint="eastAsia"/>
                <w:kern w:val="0"/>
                <w:szCs w:val="21"/>
              </w:rPr>
              <w:t>有效数字的运算规则、定量分析数据的评价方法、置信度与置信区间的定义和计算、线性回归分析法</w:t>
            </w:r>
          </w:p>
        </w:tc>
        <w:tc>
          <w:tcPr>
            <w:tcW w:w="1134" w:type="dxa"/>
            <w:shd w:val="clear" w:color="auto" w:fill="auto"/>
            <w:vAlign w:val="center"/>
          </w:tcPr>
          <w:p>
            <w:pPr>
              <w:rPr>
                <w:szCs w:val="21"/>
              </w:rPr>
            </w:pPr>
            <w:r>
              <w:rPr>
                <w:rFonts w:hint="eastAsia"/>
                <w:szCs w:val="21"/>
              </w:rPr>
              <w:t>严谨的科学态度，踏实细致的工作作风，以及实事求是的科研精神</w:t>
            </w:r>
          </w:p>
        </w:tc>
        <w:tc>
          <w:tcPr>
            <w:tcW w:w="2028" w:type="dxa"/>
            <w:shd w:val="clear" w:color="auto" w:fill="auto"/>
            <w:vAlign w:val="center"/>
          </w:tcPr>
          <w:p>
            <w:pPr>
              <w:rPr>
                <w:szCs w:val="21"/>
              </w:rPr>
            </w:pPr>
            <w:r>
              <w:rPr>
                <w:rFonts w:hint="eastAsia"/>
                <w:kern w:val="0"/>
                <w:szCs w:val="21"/>
              </w:rPr>
              <w:t>理解误差的表示方法；系统误差与随机误差的特点，减免与判别方法；理解精密度与准确度的定义、作用与两者关系；有效数字的概念、运算规则及数字修约规则；理解定量数据的评价方法及提高分析结果准确度的方法与途径；了解随机误差的正态分布；置信度与置信区间的定义和意义、计算等；理解显著性检验、可疑值取舍，线性回归分析法。</w:t>
            </w:r>
          </w:p>
        </w:tc>
        <w:tc>
          <w:tcPr>
            <w:tcW w:w="699" w:type="dxa"/>
            <w:shd w:val="clear" w:color="auto" w:fill="auto"/>
            <w:vAlign w:val="center"/>
          </w:tcPr>
          <w:p>
            <w:pPr>
              <w:jc w:val="center"/>
              <w:rPr>
                <w:szCs w:val="21"/>
              </w:rPr>
            </w:pPr>
            <w:r>
              <w:rPr>
                <w:szCs w:val="21"/>
              </w:rPr>
              <w:t>10</w:t>
            </w:r>
          </w:p>
        </w:tc>
        <w:tc>
          <w:tcPr>
            <w:tcW w:w="975" w:type="dxa"/>
            <w:shd w:val="clear" w:color="auto" w:fill="auto"/>
            <w:vAlign w:val="center"/>
          </w:tcPr>
          <w:p>
            <w:pPr>
              <w:rPr>
                <w:szCs w:val="21"/>
              </w:rPr>
            </w:pPr>
            <w:r>
              <w:rPr>
                <w:szCs w:val="21"/>
              </w:rPr>
              <w:t>讲授/讨论/等</w:t>
            </w:r>
          </w:p>
        </w:tc>
        <w:tc>
          <w:tcPr>
            <w:tcW w:w="925" w:type="dxa"/>
            <w:shd w:val="clear" w:color="auto" w:fill="auto"/>
            <w:vAlign w:val="center"/>
          </w:tcPr>
          <w:p>
            <w:pPr>
              <w:jc w:val="center"/>
              <w:rPr>
                <w:b/>
                <w:kern w:val="0"/>
                <w:szCs w:val="21"/>
              </w:rPr>
            </w:pPr>
            <w:r>
              <w:rPr>
                <w:b/>
                <w:kern w:val="0"/>
                <w:szCs w:val="21"/>
              </w:rPr>
              <w:t>目标2</w:t>
            </w:r>
          </w:p>
          <w:p>
            <w:pPr>
              <w:jc w:val="center"/>
              <w:rPr>
                <w:szCs w:val="21"/>
              </w:rPr>
            </w:pPr>
            <w:r>
              <w:rPr>
                <w:b/>
                <w:kern w:val="0"/>
                <w:szCs w:val="21"/>
              </w:rPr>
              <w:t>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vAlign w:val="center"/>
          </w:tcPr>
          <w:p>
            <w:pPr>
              <w:jc w:val="center"/>
              <w:rPr>
                <w:szCs w:val="21"/>
              </w:rPr>
            </w:pPr>
            <w:r>
              <w:rPr>
                <w:szCs w:val="21"/>
              </w:rPr>
              <w:t>4</w:t>
            </w:r>
          </w:p>
        </w:tc>
        <w:tc>
          <w:tcPr>
            <w:tcW w:w="2632" w:type="dxa"/>
            <w:shd w:val="clear" w:color="auto" w:fill="auto"/>
            <w:vAlign w:val="center"/>
          </w:tcPr>
          <w:p>
            <w:pPr>
              <w:rPr>
                <w:kern w:val="0"/>
                <w:szCs w:val="21"/>
              </w:rPr>
            </w:pPr>
            <w:r>
              <w:rPr>
                <w:rFonts w:hint="eastAsia"/>
                <w:b/>
                <w:kern w:val="0"/>
                <w:szCs w:val="21"/>
              </w:rPr>
              <w:t>酸碱滴定法：</w:t>
            </w:r>
            <w:r>
              <w:rPr>
                <w:rFonts w:hint="eastAsia"/>
                <w:kern w:val="0"/>
                <w:szCs w:val="21"/>
              </w:rPr>
              <w:t>溶液中的酸碱反应与平衡、酸碱组分的平衡浓度与分布分数、溶液中氢离子浓度的计算、酸碱缓冲溶液、酸碱指示剂、酸碱滴定原理、终点误差、酸碱滴定法的应用</w:t>
            </w:r>
          </w:p>
          <w:p>
            <w:pPr>
              <w:rPr>
                <w:kern w:val="0"/>
                <w:szCs w:val="21"/>
              </w:rPr>
            </w:pPr>
            <w:r>
              <w:rPr>
                <w:b/>
                <w:kern w:val="0"/>
                <w:szCs w:val="21"/>
              </w:rPr>
              <w:t>重点和难点：</w:t>
            </w:r>
            <w:r>
              <w:rPr>
                <w:rFonts w:hint="eastAsia"/>
                <w:kern w:val="0"/>
                <w:szCs w:val="21"/>
              </w:rPr>
              <w:t>酸碱平衡体系中的分布系数、质子条件、缓冲容量、缓冲范围、指示剂选择、准确滴定多元酸碱的条件判断、终点误差及酸碱滴定法相关计算</w:t>
            </w:r>
          </w:p>
        </w:tc>
        <w:tc>
          <w:tcPr>
            <w:tcW w:w="1134" w:type="dxa"/>
            <w:shd w:val="clear" w:color="auto" w:fill="auto"/>
            <w:vAlign w:val="center"/>
          </w:tcPr>
          <w:p>
            <w:pPr>
              <w:autoSpaceDE w:val="0"/>
              <w:autoSpaceDN w:val="0"/>
              <w:adjustRightInd w:val="0"/>
              <w:rPr>
                <w:szCs w:val="21"/>
              </w:rPr>
            </w:pPr>
            <w:r>
              <w:rPr>
                <w:rFonts w:hint="eastAsia"/>
                <w:szCs w:val="21"/>
              </w:rPr>
              <w:t>爱国主义教育和辩证思维</w:t>
            </w:r>
          </w:p>
        </w:tc>
        <w:tc>
          <w:tcPr>
            <w:tcW w:w="2028" w:type="dxa"/>
            <w:shd w:val="clear" w:color="auto" w:fill="auto"/>
            <w:vAlign w:val="center"/>
          </w:tcPr>
          <w:p>
            <w:pPr>
              <w:autoSpaceDE w:val="0"/>
              <w:autoSpaceDN w:val="0"/>
              <w:adjustRightInd w:val="0"/>
              <w:rPr>
                <w:szCs w:val="21"/>
              </w:rPr>
            </w:pPr>
            <w:r>
              <w:rPr>
                <w:rFonts w:hint="eastAsia"/>
                <w:kern w:val="0"/>
                <w:szCs w:val="21"/>
              </w:rPr>
              <w:t>理解酸碱质子理论；理解酸碱平衡体系中的分布系数、浓度计算；理解酸碱平衡中酸碱度计算，掌握物料平衡、电荷平衡、质子条件；理解酸碱缓冲溶液酸碱度计算；缓冲容量、缓冲范围及缓冲溶液的选择与配制方法；理解酸碱指示剂变色原理、变色范围；理解酸碱滴定曲线、掌握指示剂选择方法；理解酸碱滴定法的应用、终点误差及相关计算。</w:t>
            </w:r>
          </w:p>
        </w:tc>
        <w:tc>
          <w:tcPr>
            <w:tcW w:w="699" w:type="dxa"/>
            <w:shd w:val="clear" w:color="auto" w:fill="auto"/>
            <w:vAlign w:val="center"/>
          </w:tcPr>
          <w:p>
            <w:pPr>
              <w:jc w:val="center"/>
              <w:rPr>
                <w:szCs w:val="21"/>
              </w:rPr>
            </w:pPr>
            <w:r>
              <w:rPr>
                <w:szCs w:val="21"/>
              </w:rPr>
              <w:t>10</w:t>
            </w:r>
          </w:p>
        </w:tc>
        <w:tc>
          <w:tcPr>
            <w:tcW w:w="975" w:type="dxa"/>
            <w:shd w:val="clear" w:color="auto" w:fill="auto"/>
            <w:vAlign w:val="center"/>
          </w:tcPr>
          <w:p>
            <w:pPr>
              <w:rPr>
                <w:szCs w:val="21"/>
              </w:rPr>
            </w:pPr>
            <w:r>
              <w:rPr>
                <w:szCs w:val="21"/>
              </w:rPr>
              <w:t>讲授/实</w:t>
            </w:r>
            <w:r>
              <w:rPr>
                <w:rFonts w:hint="eastAsia"/>
                <w:szCs w:val="21"/>
              </w:rPr>
              <w:t>例</w:t>
            </w:r>
            <w:r>
              <w:rPr>
                <w:szCs w:val="21"/>
              </w:rPr>
              <w:t>/讨论/等</w:t>
            </w:r>
          </w:p>
        </w:tc>
        <w:tc>
          <w:tcPr>
            <w:tcW w:w="925" w:type="dxa"/>
            <w:shd w:val="clear" w:color="auto" w:fill="auto"/>
            <w:vAlign w:val="center"/>
          </w:tcPr>
          <w:p>
            <w:pPr>
              <w:jc w:val="center"/>
              <w:rPr>
                <w:kern w:val="0"/>
                <w:szCs w:val="21"/>
              </w:rPr>
            </w:pPr>
            <w:r>
              <w:rPr>
                <w:b/>
                <w:kern w:val="0"/>
                <w:szCs w:val="21"/>
              </w:rPr>
              <w:t>目标1</w:t>
            </w:r>
          </w:p>
          <w:p>
            <w:pPr>
              <w:jc w:val="center"/>
              <w:rPr>
                <w:kern w:val="0"/>
                <w:szCs w:val="21"/>
              </w:rPr>
            </w:pPr>
            <w:r>
              <w:rPr>
                <w:b/>
                <w:kern w:val="0"/>
                <w:szCs w:val="21"/>
              </w:rPr>
              <w:t>目标2</w:t>
            </w:r>
          </w:p>
          <w:p>
            <w:pPr>
              <w:jc w:val="center"/>
              <w:rPr>
                <w:szCs w:val="21"/>
              </w:rPr>
            </w:pPr>
            <w:r>
              <w:rPr>
                <w:b/>
                <w:kern w:val="0"/>
                <w:szCs w:val="21"/>
              </w:rPr>
              <w:t>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vAlign w:val="center"/>
          </w:tcPr>
          <w:p>
            <w:pPr>
              <w:jc w:val="center"/>
              <w:rPr>
                <w:szCs w:val="21"/>
              </w:rPr>
            </w:pPr>
            <w:r>
              <w:rPr>
                <w:szCs w:val="21"/>
              </w:rPr>
              <w:t>5</w:t>
            </w:r>
          </w:p>
        </w:tc>
        <w:tc>
          <w:tcPr>
            <w:tcW w:w="2632" w:type="dxa"/>
            <w:shd w:val="clear" w:color="auto" w:fill="auto"/>
            <w:vAlign w:val="center"/>
          </w:tcPr>
          <w:p>
            <w:pPr>
              <w:rPr>
                <w:kern w:val="0"/>
                <w:szCs w:val="21"/>
              </w:rPr>
            </w:pPr>
            <w:r>
              <w:rPr>
                <w:rFonts w:hint="eastAsia"/>
                <w:b/>
                <w:kern w:val="0"/>
                <w:szCs w:val="21"/>
              </w:rPr>
              <w:t>配位滴定法：</w:t>
            </w:r>
            <w:r>
              <w:rPr>
                <w:rFonts w:hint="eastAsia"/>
                <w:kern w:val="0"/>
                <w:szCs w:val="21"/>
              </w:rPr>
              <w:t>配位滴定中的滴定剂、配位平衡常数、副反应系数和条件稳定常数、配位滴定法的基本原理、准确滴定与分别滴定判别式、配位滴定中酸度的控制、提高配位滴定选择性的途径、配位滴定方式及其应用</w:t>
            </w:r>
          </w:p>
          <w:p>
            <w:pPr>
              <w:rPr>
                <w:kern w:val="0"/>
                <w:szCs w:val="21"/>
              </w:rPr>
            </w:pPr>
            <w:r>
              <w:rPr>
                <w:b/>
                <w:kern w:val="0"/>
                <w:szCs w:val="21"/>
              </w:rPr>
              <w:t>重点和难点：</w:t>
            </w:r>
            <w:r>
              <w:rPr>
                <w:rFonts w:hint="eastAsia"/>
                <w:kern w:val="0"/>
                <w:szCs w:val="21"/>
              </w:rPr>
              <w:t>条件稳定常数及相关计算、终点误差计算、提高配位滴定选择性方法</w:t>
            </w:r>
          </w:p>
        </w:tc>
        <w:tc>
          <w:tcPr>
            <w:tcW w:w="1134" w:type="dxa"/>
            <w:shd w:val="clear" w:color="auto" w:fill="auto"/>
            <w:vAlign w:val="center"/>
          </w:tcPr>
          <w:p>
            <w:pPr>
              <w:rPr>
                <w:szCs w:val="21"/>
              </w:rPr>
            </w:pPr>
            <w:r>
              <w:rPr>
                <w:rFonts w:hint="eastAsia"/>
                <w:szCs w:val="21"/>
              </w:rPr>
              <w:t>环境保护理念</w:t>
            </w:r>
          </w:p>
        </w:tc>
        <w:tc>
          <w:tcPr>
            <w:tcW w:w="2028" w:type="dxa"/>
            <w:shd w:val="clear" w:color="auto" w:fill="auto"/>
            <w:vAlign w:val="center"/>
          </w:tcPr>
          <w:p>
            <w:pPr>
              <w:rPr>
                <w:szCs w:val="21"/>
              </w:rPr>
            </w:pPr>
            <w:r>
              <w:rPr>
                <w:rFonts w:hint="eastAsia"/>
                <w:kern w:val="0"/>
                <w:szCs w:val="21"/>
              </w:rPr>
              <w:t>了解配位滴定法的特点、分类以及常用的配合物；理解EDTA的分析特性；理解配位化合物的离解平衡、配合物的稳定常数、条件稳定常数；理解EDTA滴定原理、酸效应曲线；理解金属指示剂变色原理、条件与选择；理解提高配位滴定选择性方法；掌握终点误差及配位滴定有关计算等。</w:t>
            </w:r>
          </w:p>
        </w:tc>
        <w:tc>
          <w:tcPr>
            <w:tcW w:w="699" w:type="dxa"/>
            <w:shd w:val="clear" w:color="auto" w:fill="auto"/>
            <w:vAlign w:val="center"/>
          </w:tcPr>
          <w:p>
            <w:pPr>
              <w:jc w:val="center"/>
              <w:rPr>
                <w:szCs w:val="21"/>
              </w:rPr>
            </w:pPr>
            <w:r>
              <w:rPr>
                <w:szCs w:val="21"/>
              </w:rPr>
              <w:t>8</w:t>
            </w:r>
          </w:p>
        </w:tc>
        <w:tc>
          <w:tcPr>
            <w:tcW w:w="975" w:type="dxa"/>
            <w:shd w:val="clear" w:color="auto" w:fill="auto"/>
            <w:vAlign w:val="center"/>
          </w:tcPr>
          <w:p>
            <w:pPr>
              <w:rPr>
                <w:szCs w:val="21"/>
              </w:rPr>
            </w:pPr>
            <w:r>
              <w:rPr>
                <w:szCs w:val="21"/>
              </w:rPr>
              <w:t>讲授/讨论/等</w:t>
            </w:r>
          </w:p>
        </w:tc>
        <w:tc>
          <w:tcPr>
            <w:tcW w:w="925" w:type="dxa"/>
            <w:shd w:val="clear" w:color="auto" w:fill="auto"/>
            <w:vAlign w:val="center"/>
          </w:tcPr>
          <w:p>
            <w:pPr>
              <w:jc w:val="center"/>
              <w:rPr>
                <w:b/>
                <w:kern w:val="0"/>
                <w:szCs w:val="21"/>
              </w:rPr>
            </w:pPr>
            <w:r>
              <w:rPr>
                <w:rFonts w:hint="eastAsia"/>
                <w:b/>
                <w:kern w:val="0"/>
                <w:szCs w:val="21"/>
              </w:rPr>
              <w:t>目标1</w:t>
            </w:r>
          </w:p>
          <w:p>
            <w:pPr>
              <w:jc w:val="center"/>
              <w:rPr>
                <w:b/>
                <w:kern w:val="0"/>
                <w:szCs w:val="21"/>
              </w:rPr>
            </w:pPr>
            <w:r>
              <w:rPr>
                <w:rFonts w:hint="eastAsia"/>
                <w:b/>
                <w:kern w:val="0"/>
                <w:szCs w:val="21"/>
              </w:rPr>
              <w:t>目标2</w:t>
            </w:r>
          </w:p>
          <w:p>
            <w:pPr>
              <w:jc w:val="center"/>
              <w:rPr>
                <w:szCs w:val="21"/>
              </w:rPr>
            </w:pPr>
            <w:r>
              <w:rPr>
                <w:rFonts w:hint="eastAsia"/>
                <w:b/>
                <w:kern w:val="0"/>
                <w:szCs w:val="21"/>
              </w:rPr>
              <w:t>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vAlign w:val="center"/>
          </w:tcPr>
          <w:p>
            <w:pPr>
              <w:jc w:val="center"/>
              <w:rPr>
                <w:szCs w:val="21"/>
              </w:rPr>
            </w:pPr>
            <w:r>
              <w:rPr>
                <w:szCs w:val="21"/>
              </w:rPr>
              <w:t>6</w:t>
            </w:r>
          </w:p>
        </w:tc>
        <w:tc>
          <w:tcPr>
            <w:tcW w:w="2632" w:type="dxa"/>
            <w:shd w:val="clear" w:color="auto" w:fill="auto"/>
            <w:vAlign w:val="center"/>
          </w:tcPr>
          <w:p>
            <w:pPr>
              <w:rPr>
                <w:kern w:val="0"/>
                <w:szCs w:val="21"/>
              </w:rPr>
            </w:pPr>
            <w:r>
              <w:rPr>
                <w:rFonts w:hint="eastAsia"/>
                <w:b/>
                <w:kern w:val="0"/>
                <w:szCs w:val="21"/>
              </w:rPr>
              <w:t>氧化还原滴定法：</w:t>
            </w:r>
            <w:r>
              <w:rPr>
                <w:rFonts w:hint="eastAsia"/>
                <w:kern w:val="0"/>
                <w:szCs w:val="21"/>
              </w:rPr>
              <w:t>氧化还原平衡、氧化还原滴定原理、氧化还原滴定中的预处理、常用的氧化还原滴定法、氧化还原滴定结果的计算</w:t>
            </w:r>
          </w:p>
          <w:p>
            <w:pPr>
              <w:rPr>
                <w:kern w:val="0"/>
                <w:szCs w:val="21"/>
              </w:rPr>
            </w:pPr>
            <w:r>
              <w:rPr>
                <w:b/>
                <w:kern w:val="0"/>
                <w:szCs w:val="21"/>
              </w:rPr>
              <w:t>重点和难点：</w:t>
            </w:r>
            <w:r>
              <w:rPr>
                <w:rFonts w:hint="eastAsia"/>
                <w:kern w:val="0"/>
                <w:szCs w:val="21"/>
              </w:rPr>
              <w:t>条件电位、化学计量点电位、常用的几种氧化还原滴定法。</w:t>
            </w:r>
          </w:p>
        </w:tc>
        <w:tc>
          <w:tcPr>
            <w:tcW w:w="1134" w:type="dxa"/>
            <w:shd w:val="clear" w:color="auto" w:fill="auto"/>
            <w:vAlign w:val="center"/>
          </w:tcPr>
          <w:p>
            <w:pPr>
              <w:rPr>
                <w:kern w:val="0"/>
                <w:szCs w:val="21"/>
              </w:rPr>
            </w:pPr>
            <w:r>
              <w:rPr>
                <w:rFonts w:hint="eastAsia"/>
                <w:kern w:val="0"/>
                <w:szCs w:val="21"/>
              </w:rPr>
              <w:t>环境保护理念、辩证思维</w:t>
            </w:r>
          </w:p>
        </w:tc>
        <w:tc>
          <w:tcPr>
            <w:tcW w:w="2028" w:type="dxa"/>
            <w:shd w:val="clear" w:color="auto" w:fill="auto"/>
            <w:vAlign w:val="center"/>
          </w:tcPr>
          <w:p>
            <w:pPr>
              <w:rPr>
                <w:kern w:val="0"/>
                <w:szCs w:val="21"/>
              </w:rPr>
            </w:pPr>
            <w:r>
              <w:rPr>
                <w:rFonts w:hint="eastAsia"/>
                <w:kern w:val="0"/>
                <w:szCs w:val="21"/>
              </w:rPr>
              <w:t>理解氧化还原滴定法的特点、能斯特方程式，氧化还原反应进行的程度；理解氧化还原滴定曲线的绘制方法，化学计量点电位的计算；理解氧化还原滴定指示剂、滴定预处理，及常用的重铬酸钾法、高锰酸钾法、碘量法等。</w:t>
            </w:r>
          </w:p>
        </w:tc>
        <w:tc>
          <w:tcPr>
            <w:tcW w:w="699" w:type="dxa"/>
            <w:shd w:val="clear" w:color="auto" w:fill="auto"/>
            <w:vAlign w:val="center"/>
          </w:tcPr>
          <w:p>
            <w:pPr>
              <w:jc w:val="center"/>
              <w:rPr>
                <w:szCs w:val="21"/>
              </w:rPr>
            </w:pPr>
            <w:r>
              <w:rPr>
                <w:szCs w:val="21"/>
              </w:rPr>
              <w:t>6</w:t>
            </w:r>
          </w:p>
        </w:tc>
        <w:tc>
          <w:tcPr>
            <w:tcW w:w="975" w:type="dxa"/>
            <w:shd w:val="clear" w:color="auto" w:fill="auto"/>
            <w:vAlign w:val="center"/>
          </w:tcPr>
          <w:p>
            <w:pPr>
              <w:rPr>
                <w:szCs w:val="21"/>
              </w:rPr>
            </w:pPr>
            <w:r>
              <w:rPr>
                <w:szCs w:val="21"/>
              </w:rPr>
              <w:t>讲授/实验/讨论/等</w:t>
            </w:r>
          </w:p>
        </w:tc>
        <w:tc>
          <w:tcPr>
            <w:tcW w:w="925" w:type="dxa"/>
            <w:shd w:val="clear" w:color="auto" w:fill="auto"/>
            <w:vAlign w:val="center"/>
          </w:tcPr>
          <w:p>
            <w:pPr>
              <w:jc w:val="center"/>
              <w:rPr>
                <w:b/>
                <w:kern w:val="0"/>
                <w:szCs w:val="21"/>
              </w:rPr>
            </w:pPr>
            <w:r>
              <w:rPr>
                <w:rFonts w:hint="eastAsia"/>
                <w:b/>
                <w:kern w:val="0"/>
                <w:szCs w:val="21"/>
              </w:rPr>
              <w:t>目标1</w:t>
            </w:r>
          </w:p>
          <w:p>
            <w:pPr>
              <w:jc w:val="center"/>
              <w:rPr>
                <w:b/>
                <w:kern w:val="0"/>
                <w:szCs w:val="21"/>
              </w:rPr>
            </w:pPr>
            <w:r>
              <w:rPr>
                <w:rFonts w:hint="eastAsia"/>
                <w:b/>
                <w:kern w:val="0"/>
                <w:szCs w:val="21"/>
              </w:rPr>
              <w:t>目标2</w:t>
            </w:r>
          </w:p>
          <w:p>
            <w:pPr>
              <w:jc w:val="center"/>
              <w:rPr>
                <w:szCs w:val="21"/>
              </w:rPr>
            </w:pPr>
            <w:r>
              <w:rPr>
                <w:rFonts w:hint="eastAsia"/>
                <w:b/>
                <w:kern w:val="0"/>
                <w:szCs w:val="21"/>
              </w:rPr>
              <w:t>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vAlign w:val="center"/>
          </w:tcPr>
          <w:p>
            <w:pPr>
              <w:jc w:val="center"/>
              <w:rPr>
                <w:szCs w:val="21"/>
              </w:rPr>
            </w:pPr>
            <w:r>
              <w:rPr>
                <w:szCs w:val="21"/>
              </w:rPr>
              <w:t>7</w:t>
            </w:r>
          </w:p>
        </w:tc>
        <w:tc>
          <w:tcPr>
            <w:tcW w:w="2632" w:type="dxa"/>
            <w:shd w:val="clear" w:color="auto" w:fill="auto"/>
            <w:vAlign w:val="center"/>
          </w:tcPr>
          <w:p>
            <w:pPr>
              <w:rPr>
                <w:kern w:val="0"/>
                <w:szCs w:val="21"/>
              </w:rPr>
            </w:pPr>
            <w:r>
              <w:rPr>
                <w:rFonts w:hint="eastAsia"/>
                <w:b/>
                <w:kern w:val="0"/>
                <w:szCs w:val="21"/>
              </w:rPr>
              <w:t>沉淀滴定法及滴定分析小结：</w:t>
            </w:r>
            <w:r>
              <w:rPr>
                <w:rFonts w:hint="eastAsia"/>
                <w:kern w:val="0"/>
                <w:szCs w:val="21"/>
              </w:rPr>
              <w:t>沉淀滴定法、滴定分析小结</w:t>
            </w:r>
          </w:p>
          <w:p>
            <w:pPr>
              <w:rPr>
                <w:kern w:val="0"/>
                <w:szCs w:val="21"/>
              </w:rPr>
            </w:pPr>
            <w:r>
              <w:rPr>
                <w:b/>
                <w:kern w:val="0"/>
                <w:szCs w:val="21"/>
              </w:rPr>
              <w:t>重点和难点：</w:t>
            </w:r>
            <w:r>
              <w:rPr>
                <w:rFonts w:hint="eastAsia"/>
                <w:kern w:val="0"/>
                <w:szCs w:val="21"/>
              </w:rPr>
              <w:t>沉淀滴定法的滴定条件。</w:t>
            </w:r>
          </w:p>
        </w:tc>
        <w:tc>
          <w:tcPr>
            <w:tcW w:w="1134" w:type="dxa"/>
            <w:shd w:val="clear" w:color="auto" w:fill="auto"/>
            <w:vAlign w:val="center"/>
          </w:tcPr>
          <w:p>
            <w:pPr>
              <w:rPr>
                <w:kern w:val="0"/>
                <w:szCs w:val="21"/>
              </w:rPr>
            </w:pPr>
          </w:p>
        </w:tc>
        <w:tc>
          <w:tcPr>
            <w:tcW w:w="2028" w:type="dxa"/>
            <w:shd w:val="clear" w:color="auto" w:fill="auto"/>
            <w:vAlign w:val="center"/>
          </w:tcPr>
          <w:p>
            <w:pPr>
              <w:rPr>
                <w:kern w:val="0"/>
                <w:szCs w:val="21"/>
              </w:rPr>
            </w:pPr>
            <w:r>
              <w:rPr>
                <w:rFonts w:hint="eastAsia"/>
                <w:kern w:val="0"/>
                <w:szCs w:val="21"/>
              </w:rPr>
              <w:t>理解沉淀滴定法特点及分类；理解银量法的滴定条件与滴定原理；了解四大滴定分析法的异同。。</w:t>
            </w:r>
          </w:p>
        </w:tc>
        <w:tc>
          <w:tcPr>
            <w:tcW w:w="699" w:type="dxa"/>
            <w:shd w:val="clear" w:color="auto" w:fill="auto"/>
            <w:vAlign w:val="center"/>
          </w:tcPr>
          <w:p>
            <w:pPr>
              <w:jc w:val="center"/>
              <w:rPr>
                <w:szCs w:val="21"/>
              </w:rPr>
            </w:pPr>
            <w:r>
              <w:rPr>
                <w:szCs w:val="21"/>
              </w:rPr>
              <w:t>2</w:t>
            </w:r>
          </w:p>
        </w:tc>
        <w:tc>
          <w:tcPr>
            <w:tcW w:w="975" w:type="dxa"/>
            <w:shd w:val="clear" w:color="auto" w:fill="auto"/>
            <w:vAlign w:val="center"/>
          </w:tcPr>
          <w:p>
            <w:pPr>
              <w:rPr>
                <w:szCs w:val="21"/>
              </w:rPr>
            </w:pPr>
            <w:r>
              <w:rPr>
                <w:szCs w:val="21"/>
              </w:rPr>
              <w:t>讲授/讨论/等</w:t>
            </w:r>
          </w:p>
        </w:tc>
        <w:tc>
          <w:tcPr>
            <w:tcW w:w="925" w:type="dxa"/>
            <w:shd w:val="clear" w:color="auto" w:fill="auto"/>
            <w:vAlign w:val="center"/>
          </w:tcPr>
          <w:p>
            <w:pPr>
              <w:jc w:val="center"/>
              <w:rPr>
                <w:szCs w:val="21"/>
              </w:rPr>
            </w:pPr>
            <w:r>
              <w:rPr>
                <w:b/>
                <w:kern w:val="0"/>
                <w:szCs w:val="21"/>
              </w:rPr>
              <w:t>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vAlign w:val="center"/>
          </w:tcPr>
          <w:p>
            <w:pPr>
              <w:jc w:val="center"/>
              <w:rPr>
                <w:szCs w:val="21"/>
              </w:rPr>
            </w:pPr>
            <w:r>
              <w:rPr>
                <w:szCs w:val="21"/>
              </w:rPr>
              <w:t>8</w:t>
            </w:r>
          </w:p>
        </w:tc>
        <w:tc>
          <w:tcPr>
            <w:tcW w:w="2632" w:type="dxa"/>
            <w:shd w:val="clear" w:color="auto" w:fill="auto"/>
            <w:vAlign w:val="center"/>
          </w:tcPr>
          <w:p>
            <w:pPr>
              <w:rPr>
                <w:kern w:val="0"/>
                <w:szCs w:val="21"/>
              </w:rPr>
            </w:pPr>
            <w:r>
              <w:rPr>
                <w:rFonts w:hint="eastAsia"/>
                <w:b/>
                <w:kern w:val="0"/>
                <w:szCs w:val="21"/>
              </w:rPr>
              <w:t>重量分析法：</w:t>
            </w:r>
            <w:r>
              <w:rPr>
                <w:rFonts w:hint="eastAsia"/>
                <w:kern w:val="0"/>
                <w:szCs w:val="21"/>
              </w:rPr>
              <w:t>重量分析法概述、沉淀的溶解度及其影响因素、沉淀的类型和沉淀的形成过程、影响沉淀纯度的主要因素、沉淀条件的选择、有机沉淀剂</w:t>
            </w:r>
          </w:p>
          <w:p>
            <w:pPr>
              <w:rPr>
                <w:kern w:val="0"/>
                <w:szCs w:val="21"/>
              </w:rPr>
            </w:pPr>
            <w:r>
              <w:rPr>
                <w:b/>
                <w:kern w:val="0"/>
                <w:szCs w:val="21"/>
              </w:rPr>
              <w:t>重点和难点：</w:t>
            </w:r>
            <w:r>
              <w:rPr>
                <w:rFonts w:hint="eastAsia"/>
                <w:kern w:val="0"/>
                <w:szCs w:val="21"/>
              </w:rPr>
              <w:t>沉淀形成及影响沉淀纯度因素、沉淀条件选择。</w:t>
            </w:r>
          </w:p>
        </w:tc>
        <w:tc>
          <w:tcPr>
            <w:tcW w:w="1134" w:type="dxa"/>
            <w:shd w:val="clear" w:color="auto" w:fill="auto"/>
            <w:vAlign w:val="center"/>
          </w:tcPr>
          <w:p>
            <w:pPr>
              <w:autoSpaceDE w:val="0"/>
              <w:autoSpaceDN w:val="0"/>
              <w:adjustRightInd w:val="0"/>
              <w:rPr>
                <w:kern w:val="0"/>
                <w:szCs w:val="21"/>
              </w:rPr>
            </w:pPr>
            <w:r>
              <w:rPr>
                <w:rFonts w:hint="eastAsia"/>
                <w:kern w:val="0"/>
                <w:szCs w:val="21"/>
              </w:rPr>
              <w:t>法治意识，遵规守约</w:t>
            </w:r>
          </w:p>
        </w:tc>
        <w:tc>
          <w:tcPr>
            <w:tcW w:w="2028" w:type="dxa"/>
            <w:shd w:val="clear" w:color="auto" w:fill="auto"/>
            <w:vAlign w:val="center"/>
          </w:tcPr>
          <w:p>
            <w:pPr>
              <w:autoSpaceDE w:val="0"/>
              <w:autoSpaceDN w:val="0"/>
              <w:adjustRightInd w:val="0"/>
              <w:rPr>
                <w:kern w:val="0"/>
                <w:szCs w:val="21"/>
              </w:rPr>
            </w:pPr>
            <w:r>
              <w:rPr>
                <w:rFonts w:hint="eastAsia"/>
                <w:kern w:val="0"/>
                <w:szCs w:val="21"/>
              </w:rPr>
              <w:t>理解重量分析法特点及分类、对沉淀要求；了解沉淀溶解度及影响因素；理解沉淀形成；影响沉淀纯度因素；沉淀条件选择；理解重量分析结果计算。</w:t>
            </w:r>
          </w:p>
        </w:tc>
        <w:tc>
          <w:tcPr>
            <w:tcW w:w="699" w:type="dxa"/>
            <w:shd w:val="clear" w:color="auto" w:fill="auto"/>
            <w:vAlign w:val="center"/>
          </w:tcPr>
          <w:p>
            <w:pPr>
              <w:jc w:val="center"/>
              <w:rPr>
                <w:szCs w:val="21"/>
              </w:rPr>
            </w:pPr>
            <w:r>
              <w:rPr>
                <w:szCs w:val="21"/>
              </w:rPr>
              <w:t>4</w:t>
            </w:r>
          </w:p>
        </w:tc>
        <w:tc>
          <w:tcPr>
            <w:tcW w:w="975" w:type="dxa"/>
            <w:shd w:val="clear" w:color="auto" w:fill="auto"/>
            <w:vAlign w:val="center"/>
          </w:tcPr>
          <w:p>
            <w:pPr>
              <w:rPr>
                <w:szCs w:val="21"/>
              </w:rPr>
            </w:pPr>
            <w:r>
              <w:rPr>
                <w:szCs w:val="21"/>
              </w:rPr>
              <w:t>讲授/讨论/等</w:t>
            </w:r>
          </w:p>
        </w:tc>
        <w:tc>
          <w:tcPr>
            <w:tcW w:w="925" w:type="dxa"/>
            <w:shd w:val="clear" w:color="auto" w:fill="auto"/>
            <w:vAlign w:val="center"/>
          </w:tcPr>
          <w:p>
            <w:pPr>
              <w:jc w:val="center"/>
              <w:rPr>
                <w:szCs w:val="21"/>
              </w:rPr>
            </w:pPr>
            <w:r>
              <w:rPr>
                <w:b/>
                <w:kern w:val="0"/>
                <w:szCs w:val="21"/>
              </w:rPr>
              <w:t>目标1</w:t>
            </w:r>
          </w:p>
        </w:tc>
      </w:tr>
    </w:tbl>
    <w:p>
      <w:pPr>
        <w:spacing w:line="360" w:lineRule="auto"/>
        <w:ind w:firstLine="562" w:firstLineChars="200"/>
        <w:rPr>
          <w:b/>
          <w:sz w:val="28"/>
          <w:szCs w:val="28"/>
        </w:rPr>
      </w:pPr>
      <w:r>
        <w:rPr>
          <w:rFonts w:hint="eastAsia"/>
          <w:b/>
          <w:sz w:val="28"/>
          <w:szCs w:val="28"/>
        </w:rPr>
        <w:t>四、课程实施</w:t>
      </w:r>
    </w:p>
    <w:p>
      <w:pPr>
        <w:spacing w:line="360" w:lineRule="auto"/>
        <w:ind w:firstLine="482" w:firstLineChars="200"/>
        <w:rPr>
          <w:b/>
          <w:sz w:val="24"/>
        </w:rPr>
      </w:pPr>
      <w:r>
        <w:rPr>
          <w:rFonts w:hint="eastAsia"/>
          <w:b/>
          <w:sz w:val="24"/>
        </w:rPr>
        <w:t>（一）教学方法与教学手段</w:t>
      </w:r>
    </w:p>
    <w:p>
      <w:pPr>
        <w:spacing w:line="360" w:lineRule="auto"/>
        <w:ind w:firstLine="480" w:firstLineChars="200"/>
        <w:rPr>
          <w:color w:val="000000"/>
          <w:sz w:val="24"/>
        </w:rPr>
      </w:pPr>
      <w:r>
        <w:rPr>
          <w:rFonts w:hint="eastAsia"/>
          <w:color w:val="000000"/>
          <w:sz w:val="24"/>
        </w:rPr>
        <w:t>1.本课程的课堂讲授部分应充分体现化工专业相关理论和实践的要求，讲解做到清晰、透彻、实用。</w:t>
      </w:r>
    </w:p>
    <w:p>
      <w:pPr>
        <w:spacing w:line="360" w:lineRule="auto"/>
        <w:ind w:firstLine="480" w:firstLineChars="200"/>
        <w:rPr>
          <w:color w:val="000000"/>
          <w:sz w:val="24"/>
        </w:rPr>
      </w:pPr>
      <w:r>
        <w:rPr>
          <w:rFonts w:hint="eastAsia"/>
          <w:color w:val="000000"/>
          <w:sz w:val="24"/>
        </w:rPr>
        <w:t>2.安排学生自主性的学习内容，要求学生利用曾经学习过的无机化学有关知识来理解本门课程的有关内容，从而提高学生分析和解决问题的能力。</w:t>
      </w:r>
    </w:p>
    <w:p>
      <w:pPr>
        <w:spacing w:line="360" w:lineRule="auto"/>
        <w:ind w:firstLine="480" w:firstLineChars="200"/>
        <w:rPr>
          <w:color w:val="000000"/>
          <w:sz w:val="24"/>
        </w:rPr>
      </w:pPr>
      <w:r>
        <w:rPr>
          <w:rFonts w:hint="eastAsia"/>
          <w:color w:val="000000"/>
          <w:sz w:val="24"/>
        </w:rPr>
        <w:t>3.本课程在教学方法和手段等方面，应努力利用多媒体、投影、教学录像等辅助教学手段，以提高本门课程的课堂教学效果。</w:t>
      </w:r>
    </w:p>
    <w:p>
      <w:pPr>
        <w:spacing w:line="360" w:lineRule="auto"/>
        <w:ind w:firstLine="480" w:firstLineChars="200"/>
        <w:rPr>
          <w:color w:val="000000"/>
          <w:sz w:val="24"/>
        </w:rPr>
      </w:pPr>
      <w:r>
        <w:rPr>
          <w:rFonts w:hint="eastAsia"/>
          <w:color w:val="000000"/>
          <w:sz w:val="24"/>
        </w:rPr>
        <w:t>4.本课程理论内容较多，必须布置一定数量的习题，以消化课堂知识，提高学生分析问题、解决问题能力。</w:t>
      </w:r>
    </w:p>
    <w:p>
      <w:pPr>
        <w:spacing w:line="360" w:lineRule="auto"/>
        <w:ind w:firstLine="482" w:firstLineChars="200"/>
        <w:rPr>
          <w:b/>
          <w:sz w:val="24"/>
        </w:rPr>
      </w:pPr>
      <w:r>
        <w:rPr>
          <w:rFonts w:hint="eastAsia"/>
          <w:b/>
          <w:sz w:val="24"/>
        </w:rPr>
        <w:t>（二）课程实施与保障</w:t>
      </w:r>
    </w:p>
    <w:tbl>
      <w:tblPr>
        <w:tblStyle w:val="10"/>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2"/>
        <w:gridCol w:w="1701"/>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3" w:type="dxa"/>
            <w:gridSpan w:val="2"/>
            <w:tcMar>
              <w:left w:w="28" w:type="dxa"/>
              <w:right w:w="28" w:type="dxa"/>
            </w:tcMar>
            <w:vAlign w:val="center"/>
          </w:tcPr>
          <w:p>
            <w:pPr>
              <w:spacing w:line="276" w:lineRule="auto"/>
              <w:jc w:val="center"/>
              <w:rPr>
                <w:szCs w:val="21"/>
              </w:rPr>
            </w:pPr>
            <w:r>
              <w:rPr>
                <w:bCs/>
                <w:szCs w:val="21"/>
              </w:rPr>
              <w:t>主要教学环节</w:t>
            </w:r>
          </w:p>
        </w:tc>
        <w:tc>
          <w:tcPr>
            <w:tcW w:w="6237" w:type="dxa"/>
            <w:vAlign w:val="center"/>
          </w:tcPr>
          <w:p>
            <w:pPr>
              <w:spacing w:line="276" w:lineRule="auto"/>
              <w:jc w:val="center"/>
              <w:rPr>
                <w:szCs w:val="21"/>
              </w:rPr>
            </w:pPr>
            <w:r>
              <w:rPr>
                <w:bCs/>
                <w:szCs w:val="21"/>
              </w:rPr>
              <w:t>质量</w:t>
            </w:r>
            <w:r>
              <w:rPr>
                <w:rFonts w:hint="eastAsia"/>
                <w:bCs/>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582" w:type="dxa"/>
            <w:vAlign w:val="center"/>
          </w:tcPr>
          <w:p>
            <w:pPr>
              <w:spacing w:line="276" w:lineRule="auto"/>
              <w:jc w:val="center"/>
              <w:rPr>
                <w:szCs w:val="21"/>
              </w:rPr>
            </w:pPr>
            <w:r>
              <w:rPr>
                <w:szCs w:val="21"/>
              </w:rPr>
              <w:t>1</w:t>
            </w:r>
          </w:p>
        </w:tc>
        <w:tc>
          <w:tcPr>
            <w:tcW w:w="1701" w:type="dxa"/>
            <w:tcMar>
              <w:left w:w="28" w:type="dxa"/>
              <w:right w:w="28" w:type="dxa"/>
            </w:tcMar>
            <w:vAlign w:val="center"/>
          </w:tcPr>
          <w:p>
            <w:pPr>
              <w:spacing w:line="276" w:lineRule="auto"/>
              <w:jc w:val="center"/>
              <w:rPr>
                <w:szCs w:val="21"/>
              </w:rPr>
            </w:pPr>
            <w:r>
              <w:rPr>
                <w:szCs w:val="21"/>
              </w:rPr>
              <w:t>备课</w:t>
            </w:r>
          </w:p>
        </w:tc>
        <w:tc>
          <w:tcPr>
            <w:tcW w:w="6237" w:type="dxa"/>
            <w:vAlign w:val="center"/>
          </w:tcPr>
          <w:p>
            <w:pPr>
              <w:spacing w:line="276" w:lineRule="auto"/>
              <w:rPr>
                <w:szCs w:val="21"/>
              </w:rPr>
            </w:pPr>
            <w:r>
              <w:rPr>
                <w:rFonts w:hint="eastAsia"/>
                <w:szCs w:val="21"/>
              </w:rPr>
              <w:t>（1）掌握本课程教学大纲内容，严格按照教学大纲要求进行课程教学内容的组织。</w:t>
            </w:r>
          </w:p>
          <w:p>
            <w:pPr>
              <w:spacing w:line="276" w:lineRule="auto"/>
              <w:rPr>
                <w:szCs w:val="21"/>
              </w:rPr>
            </w:pPr>
            <w:r>
              <w:rPr>
                <w:rFonts w:hint="eastAsia"/>
                <w:szCs w:val="21"/>
              </w:rPr>
              <w:t>（2）熟悉教材各章节，借助专业书籍资料，并依据教学大纲编写授课计划，编写每次授课的教案。教案内容包括章节标题、教学目的、教法设计、课堂类型、时间分配、授课内容、课后作业、教学效果分析等方面。</w:t>
            </w:r>
          </w:p>
          <w:p>
            <w:pPr>
              <w:spacing w:line="276" w:lineRule="auto"/>
              <w:rPr>
                <w:szCs w:val="21"/>
              </w:rPr>
            </w:pPr>
            <w:r>
              <w:rPr>
                <w:rFonts w:hint="eastAsia"/>
                <w:szCs w:val="21"/>
              </w:rPr>
              <w:t>（3）根据各部分教学内容，构思授课思路、技巧，选择合适的教学方法。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vAlign w:val="center"/>
          </w:tcPr>
          <w:p>
            <w:pPr>
              <w:spacing w:line="276" w:lineRule="auto"/>
              <w:jc w:val="center"/>
              <w:rPr>
                <w:szCs w:val="21"/>
              </w:rPr>
            </w:pPr>
            <w:r>
              <w:rPr>
                <w:szCs w:val="21"/>
              </w:rPr>
              <w:t>2</w:t>
            </w:r>
          </w:p>
        </w:tc>
        <w:tc>
          <w:tcPr>
            <w:tcW w:w="1701" w:type="dxa"/>
            <w:tcMar>
              <w:left w:w="28" w:type="dxa"/>
              <w:right w:w="28" w:type="dxa"/>
            </w:tcMar>
            <w:vAlign w:val="center"/>
          </w:tcPr>
          <w:p>
            <w:pPr>
              <w:spacing w:line="276" w:lineRule="auto"/>
              <w:jc w:val="center"/>
              <w:rPr>
                <w:szCs w:val="21"/>
              </w:rPr>
            </w:pPr>
            <w:r>
              <w:rPr>
                <w:szCs w:val="21"/>
              </w:rPr>
              <w:t>讲授</w:t>
            </w:r>
          </w:p>
        </w:tc>
        <w:tc>
          <w:tcPr>
            <w:tcW w:w="6237" w:type="dxa"/>
            <w:vAlign w:val="center"/>
          </w:tcPr>
          <w:p>
            <w:pPr>
              <w:spacing w:line="276" w:lineRule="auto"/>
              <w:rPr>
                <w:szCs w:val="21"/>
              </w:rPr>
            </w:pPr>
            <w:r>
              <w:rPr>
                <w:rFonts w:hint="eastAsia"/>
                <w:szCs w:val="21"/>
              </w:rPr>
              <w:t>（1）要点准确、推理正确、条理清晰、重点突出，能够理论联系实际，熟练地解答和讲解例题。</w:t>
            </w:r>
          </w:p>
          <w:p>
            <w:pPr>
              <w:spacing w:line="276" w:lineRule="auto"/>
              <w:rPr>
                <w:szCs w:val="21"/>
              </w:rPr>
            </w:pPr>
            <w:r>
              <w:rPr>
                <w:rFonts w:hint="eastAsia"/>
                <w:szCs w:val="21"/>
              </w:rPr>
              <w:t>（2）采用多种教学方式（如启发式教学、案例分析教学、讨论式教学、多媒体示范教学等），注重培养学生发现、分析和解决问题的能力。</w:t>
            </w:r>
          </w:p>
          <w:p>
            <w:pPr>
              <w:spacing w:line="276" w:lineRule="auto"/>
              <w:rPr>
                <w:szCs w:val="21"/>
              </w:rPr>
            </w:pPr>
            <w:r>
              <w:rPr>
                <w:rFonts w:hint="eastAsia"/>
                <w:szCs w:val="21"/>
              </w:rPr>
              <w:t>（3）能够采用现代信息技术辅助教学。</w:t>
            </w:r>
          </w:p>
          <w:p>
            <w:pPr>
              <w:spacing w:line="276" w:lineRule="auto"/>
              <w:rPr>
                <w:szCs w:val="21"/>
              </w:rPr>
            </w:pPr>
            <w:r>
              <w:rPr>
                <w:rFonts w:hint="eastAsia"/>
                <w:szCs w:val="21"/>
              </w:rPr>
              <w:t>（4）表达方式应能便于学生理解、接受，力求形象生动，使学生在掌握知识的过程中，保持较为浓厚的学习兴趣</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jc w:val="center"/>
        </w:trPr>
        <w:tc>
          <w:tcPr>
            <w:tcW w:w="582" w:type="dxa"/>
            <w:vAlign w:val="center"/>
          </w:tcPr>
          <w:p>
            <w:pPr>
              <w:spacing w:line="276" w:lineRule="auto"/>
              <w:jc w:val="center"/>
              <w:rPr>
                <w:szCs w:val="21"/>
              </w:rPr>
            </w:pPr>
            <w:r>
              <w:rPr>
                <w:szCs w:val="21"/>
              </w:rPr>
              <w:t>3</w:t>
            </w:r>
          </w:p>
        </w:tc>
        <w:tc>
          <w:tcPr>
            <w:tcW w:w="1701" w:type="dxa"/>
            <w:tcMar>
              <w:left w:w="28" w:type="dxa"/>
              <w:right w:w="28" w:type="dxa"/>
            </w:tcMar>
            <w:vAlign w:val="center"/>
          </w:tcPr>
          <w:p>
            <w:pPr>
              <w:spacing w:line="276" w:lineRule="auto"/>
              <w:jc w:val="center"/>
              <w:rPr>
                <w:szCs w:val="21"/>
              </w:rPr>
            </w:pPr>
            <w:r>
              <w:rPr>
                <w:szCs w:val="21"/>
              </w:rPr>
              <w:t>作业布置与批改</w:t>
            </w:r>
          </w:p>
        </w:tc>
        <w:tc>
          <w:tcPr>
            <w:tcW w:w="6237" w:type="dxa"/>
            <w:vAlign w:val="center"/>
          </w:tcPr>
          <w:p>
            <w:pPr>
              <w:spacing w:line="276" w:lineRule="auto"/>
              <w:rPr>
                <w:szCs w:val="21"/>
              </w:rPr>
            </w:pPr>
            <w:r>
              <w:rPr>
                <w:szCs w:val="21"/>
              </w:rPr>
              <w:t>学生必须完成</w:t>
            </w:r>
            <w:r>
              <w:rPr>
                <w:rFonts w:hint="eastAsia"/>
                <w:szCs w:val="21"/>
              </w:rPr>
              <w:t>规定</w:t>
            </w:r>
            <w:r>
              <w:rPr>
                <w:szCs w:val="21"/>
              </w:rPr>
              <w:t>数量的作业</w:t>
            </w:r>
            <w:r>
              <w:rPr>
                <w:rFonts w:hint="eastAsia"/>
                <w:szCs w:val="21"/>
              </w:rPr>
              <w:t>，</w:t>
            </w:r>
            <w:r>
              <w:rPr>
                <w:szCs w:val="21"/>
              </w:rPr>
              <w:t>作业必须达到以下基本要求：</w:t>
            </w:r>
          </w:p>
          <w:p>
            <w:pPr>
              <w:spacing w:line="276" w:lineRule="auto"/>
              <w:rPr>
                <w:szCs w:val="21"/>
              </w:rPr>
            </w:pPr>
            <w:r>
              <w:rPr>
                <w:rFonts w:hint="eastAsia"/>
                <w:szCs w:val="21"/>
              </w:rPr>
              <w:t>1.</w:t>
            </w:r>
            <w:r>
              <w:rPr>
                <w:szCs w:val="21"/>
              </w:rPr>
              <w:t>按时按量完成作业，不缺交，不抄袭</w:t>
            </w:r>
            <w:r>
              <w:rPr>
                <w:rFonts w:hint="eastAsia"/>
                <w:szCs w:val="21"/>
              </w:rPr>
              <w:t>。</w:t>
            </w:r>
          </w:p>
          <w:p>
            <w:pPr>
              <w:spacing w:line="276" w:lineRule="auto"/>
              <w:rPr>
                <w:szCs w:val="21"/>
              </w:rPr>
            </w:pPr>
            <w:r>
              <w:rPr>
                <w:rFonts w:hint="eastAsia"/>
                <w:szCs w:val="21"/>
              </w:rPr>
              <w:t>2.书写</w:t>
            </w:r>
            <w:r>
              <w:rPr>
                <w:szCs w:val="21"/>
              </w:rPr>
              <w:t>规范</w:t>
            </w:r>
            <w:r>
              <w:rPr>
                <w:rFonts w:hint="eastAsia"/>
                <w:szCs w:val="21"/>
              </w:rPr>
              <w:t>、</w:t>
            </w:r>
            <w:r>
              <w:rPr>
                <w:szCs w:val="21"/>
              </w:rPr>
              <w:t>清晰</w:t>
            </w:r>
            <w:r>
              <w:rPr>
                <w:rFonts w:hint="eastAsia"/>
                <w:szCs w:val="21"/>
              </w:rPr>
              <w:t>。</w:t>
            </w:r>
          </w:p>
          <w:p>
            <w:pPr>
              <w:spacing w:line="276" w:lineRule="auto"/>
              <w:rPr>
                <w:szCs w:val="21"/>
              </w:rPr>
            </w:pPr>
            <w:r>
              <w:rPr>
                <w:rFonts w:hint="eastAsia"/>
                <w:szCs w:val="21"/>
              </w:rPr>
              <w:t>3.</w:t>
            </w:r>
            <w:r>
              <w:rPr>
                <w:szCs w:val="21"/>
              </w:rPr>
              <w:t>解题方法和步骤正确。</w:t>
            </w:r>
          </w:p>
          <w:p>
            <w:pPr>
              <w:spacing w:line="276" w:lineRule="auto"/>
              <w:rPr>
                <w:szCs w:val="21"/>
              </w:rPr>
            </w:pPr>
            <w:r>
              <w:rPr>
                <w:szCs w:val="21"/>
              </w:rPr>
              <w:t>教师批改</w:t>
            </w:r>
            <w:r>
              <w:rPr>
                <w:rFonts w:hint="eastAsia"/>
                <w:szCs w:val="21"/>
              </w:rPr>
              <w:t>和</w:t>
            </w:r>
            <w:r>
              <w:rPr>
                <w:szCs w:val="21"/>
              </w:rPr>
              <w:t>讲评作业要求如下：</w:t>
            </w:r>
          </w:p>
          <w:p>
            <w:pPr>
              <w:spacing w:line="276" w:lineRule="auto"/>
              <w:rPr>
                <w:szCs w:val="21"/>
              </w:rPr>
            </w:pPr>
            <w:r>
              <w:rPr>
                <w:rFonts w:hint="eastAsia"/>
                <w:szCs w:val="21"/>
              </w:rPr>
              <w:t>1.</w:t>
            </w:r>
            <w:r>
              <w:rPr>
                <w:szCs w:val="21"/>
              </w:rPr>
              <w:t>学生的作业要</w:t>
            </w:r>
            <w:r>
              <w:rPr>
                <w:rFonts w:hint="eastAsia"/>
                <w:szCs w:val="21"/>
              </w:rPr>
              <w:t>按时</w:t>
            </w:r>
            <w:r>
              <w:rPr>
                <w:szCs w:val="21"/>
              </w:rPr>
              <w:t>全</w:t>
            </w:r>
            <w:r>
              <w:rPr>
                <w:rFonts w:hint="eastAsia"/>
                <w:szCs w:val="21"/>
              </w:rPr>
              <w:t>部</w:t>
            </w:r>
            <w:r>
              <w:rPr>
                <w:szCs w:val="21"/>
              </w:rPr>
              <w:t>批改，并</w:t>
            </w:r>
            <w:r>
              <w:rPr>
                <w:rFonts w:hint="eastAsia"/>
                <w:szCs w:val="21"/>
              </w:rPr>
              <w:t>及时进行</w:t>
            </w:r>
            <w:r>
              <w:rPr>
                <w:szCs w:val="21"/>
              </w:rPr>
              <w:t>讲评</w:t>
            </w:r>
            <w:r>
              <w:rPr>
                <w:rFonts w:hint="eastAsia"/>
                <w:szCs w:val="21"/>
              </w:rPr>
              <w:t>。</w:t>
            </w:r>
          </w:p>
          <w:p>
            <w:pPr>
              <w:spacing w:line="276" w:lineRule="auto"/>
              <w:rPr>
                <w:szCs w:val="21"/>
              </w:rPr>
            </w:pPr>
            <w:r>
              <w:rPr>
                <w:rFonts w:hint="eastAsia"/>
                <w:szCs w:val="21"/>
              </w:rPr>
              <w:t>2.</w:t>
            </w:r>
            <w:r>
              <w:rPr>
                <w:szCs w:val="21"/>
              </w:rPr>
              <w:t>教师批改</w:t>
            </w:r>
            <w:r>
              <w:rPr>
                <w:rFonts w:hint="eastAsia"/>
                <w:szCs w:val="21"/>
              </w:rPr>
              <w:t>和</w:t>
            </w:r>
            <w:r>
              <w:rPr>
                <w:szCs w:val="21"/>
              </w:rPr>
              <w:t>讲评作业要认真、细致，按百分制评定成绩并写明日期</w:t>
            </w:r>
            <w:r>
              <w:rPr>
                <w:rFonts w:hint="eastAsia"/>
                <w:szCs w:val="21"/>
              </w:rPr>
              <w:t>。</w:t>
            </w:r>
          </w:p>
          <w:p>
            <w:pPr>
              <w:spacing w:line="276" w:lineRule="auto"/>
              <w:rPr>
                <w:szCs w:val="21"/>
              </w:rPr>
            </w:pPr>
            <w:r>
              <w:rPr>
                <w:rFonts w:hint="eastAsia"/>
                <w:szCs w:val="21"/>
              </w:rPr>
              <w:t>3.</w:t>
            </w:r>
            <w:r>
              <w:rPr>
                <w:szCs w:val="21"/>
              </w:rPr>
              <w:t>学生作业的平均成绩</w:t>
            </w:r>
            <w:r>
              <w:rPr>
                <w:rFonts w:hint="eastAsia"/>
                <w:szCs w:val="21"/>
              </w:rPr>
              <w:t>应</w:t>
            </w:r>
            <w:r>
              <w:rPr>
                <w:szCs w:val="21"/>
              </w:rPr>
              <w:t>作为本课程总评成绩中平时成绩的重要组成部分。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582" w:type="dxa"/>
            <w:vAlign w:val="center"/>
          </w:tcPr>
          <w:p>
            <w:pPr>
              <w:spacing w:line="276" w:lineRule="auto"/>
              <w:jc w:val="center"/>
              <w:rPr>
                <w:szCs w:val="21"/>
              </w:rPr>
            </w:pPr>
            <w:r>
              <w:rPr>
                <w:szCs w:val="21"/>
              </w:rPr>
              <w:t>4</w:t>
            </w:r>
          </w:p>
        </w:tc>
        <w:tc>
          <w:tcPr>
            <w:tcW w:w="1701" w:type="dxa"/>
            <w:tcMar>
              <w:left w:w="28" w:type="dxa"/>
              <w:right w:w="28" w:type="dxa"/>
            </w:tcMar>
            <w:vAlign w:val="center"/>
          </w:tcPr>
          <w:p>
            <w:pPr>
              <w:spacing w:line="276" w:lineRule="auto"/>
              <w:jc w:val="center"/>
              <w:rPr>
                <w:szCs w:val="21"/>
              </w:rPr>
            </w:pPr>
            <w:r>
              <w:rPr>
                <w:szCs w:val="21"/>
              </w:rPr>
              <w:t>课外答疑</w:t>
            </w:r>
          </w:p>
        </w:tc>
        <w:tc>
          <w:tcPr>
            <w:tcW w:w="6237" w:type="dxa"/>
            <w:vAlign w:val="center"/>
          </w:tcPr>
          <w:p>
            <w:pPr>
              <w:spacing w:line="276" w:lineRule="auto"/>
              <w:rPr>
                <w:szCs w:val="21"/>
              </w:rPr>
            </w:pPr>
            <w:r>
              <w:rPr>
                <w:szCs w:val="21"/>
              </w:rPr>
              <w:t>为了解学生的学习情况，帮助学生</w:t>
            </w:r>
            <w:r>
              <w:rPr>
                <w:rFonts w:hint="eastAsia"/>
                <w:szCs w:val="21"/>
              </w:rPr>
              <w:t>更好地</w:t>
            </w:r>
            <w:r>
              <w:rPr>
                <w:szCs w:val="21"/>
              </w:rPr>
              <w:t>理解和消化所学知识、改进学习方法和思维方式，培养其独立思考问题的能力，</w:t>
            </w:r>
            <w:r>
              <w:rPr>
                <w:rFonts w:hint="eastAsia"/>
                <w:szCs w:val="21"/>
              </w:rPr>
              <w:t>课外答疑方式、时间、地点要跟学生商量共同确定，灵活安排。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582" w:type="dxa"/>
            <w:vAlign w:val="center"/>
          </w:tcPr>
          <w:p>
            <w:pPr>
              <w:spacing w:line="276" w:lineRule="auto"/>
              <w:jc w:val="center"/>
              <w:rPr>
                <w:szCs w:val="21"/>
              </w:rPr>
            </w:pPr>
            <w:r>
              <w:rPr>
                <w:szCs w:val="21"/>
              </w:rPr>
              <w:t>5</w:t>
            </w:r>
          </w:p>
        </w:tc>
        <w:tc>
          <w:tcPr>
            <w:tcW w:w="1701" w:type="dxa"/>
            <w:tcMar>
              <w:left w:w="28" w:type="dxa"/>
              <w:right w:w="28" w:type="dxa"/>
            </w:tcMar>
            <w:vAlign w:val="center"/>
          </w:tcPr>
          <w:p>
            <w:pPr>
              <w:spacing w:line="276" w:lineRule="auto"/>
              <w:jc w:val="center"/>
              <w:rPr>
                <w:szCs w:val="21"/>
              </w:rPr>
            </w:pPr>
            <w:r>
              <w:rPr>
                <w:szCs w:val="21"/>
              </w:rPr>
              <w:t>成绩考核</w:t>
            </w:r>
          </w:p>
        </w:tc>
        <w:tc>
          <w:tcPr>
            <w:tcW w:w="6237" w:type="dxa"/>
            <w:vAlign w:val="center"/>
          </w:tcPr>
          <w:p>
            <w:pPr>
              <w:spacing w:line="276" w:lineRule="auto"/>
              <w:rPr>
                <w:szCs w:val="21"/>
              </w:rPr>
            </w:pPr>
            <w:r>
              <w:rPr>
                <w:szCs w:val="21"/>
              </w:rPr>
              <w:t>本课程考核的方式</w:t>
            </w:r>
            <w:r>
              <w:rPr>
                <w:rFonts w:hint="eastAsia"/>
                <w:szCs w:val="21"/>
              </w:rPr>
              <w:t>为闭卷笔试</w:t>
            </w:r>
            <w:r>
              <w:rPr>
                <w:szCs w:val="21"/>
              </w:rPr>
              <w:t>。考试监考</w:t>
            </w:r>
            <w:r>
              <w:rPr>
                <w:rFonts w:hint="eastAsia"/>
                <w:szCs w:val="21"/>
              </w:rPr>
              <w:t>由学院</w:t>
            </w:r>
            <w:r>
              <w:rPr>
                <w:szCs w:val="21"/>
              </w:rPr>
              <w:t>统一安排。有下列情况之一者，总评成绩为不及格：</w:t>
            </w:r>
          </w:p>
          <w:p>
            <w:pPr>
              <w:spacing w:line="276" w:lineRule="auto"/>
              <w:rPr>
                <w:szCs w:val="21"/>
              </w:rPr>
            </w:pPr>
            <w:r>
              <w:rPr>
                <w:rFonts w:hint="eastAsia"/>
                <w:szCs w:val="21"/>
              </w:rPr>
              <w:t>1.</w:t>
            </w:r>
            <w:r>
              <w:rPr>
                <w:szCs w:val="21"/>
              </w:rPr>
              <w:t>缺交作业次数达1/3以上者</w:t>
            </w:r>
            <w:r>
              <w:rPr>
                <w:rFonts w:hint="eastAsia"/>
                <w:szCs w:val="21"/>
              </w:rPr>
              <w:t>。</w:t>
            </w:r>
          </w:p>
          <w:p>
            <w:pPr>
              <w:spacing w:line="276" w:lineRule="auto"/>
              <w:rPr>
                <w:szCs w:val="21"/>
              </w:rPr>
            </w:pPr>
            <w:r>
              <w:rPr>
                <w:rFonts w:hint="eastAsia"/>
                <w:szCs w:val="21"/>
              </w:rPr>
              <w:t>2.</w:t>
            </w:r>
            <w:r>
              <w:rPr>
                <w:szCs w:val="21"/>
              </w:rPr>
              <w:t>缺课次数达本学期总授课学时的1/3以上者</w:t>
            </w:r>
            <w:r>
              <w:rPr>
                <w:rFonts w:hint="eastAsia"/>
                <w:szCs w:val="21"/>
              </w:rPr>
              <w:t>。</w:t>
            </w:r>
          </w:p>
          <w:p>
            <w:pPr>
              <w:spacing w:line="276" w:lineRule="auto"/>
              <w:rPr>
                <w:szCs w:val="21"/>
              </w:rPr>
            </w:pPr>
            <w:r>
              <w:rPr>
                <w:rFonts w:hint="eastAsia"/>
                <w:szCs w:val="21"/>
              </w:rPr>
              <w:t>3.</w:t>
            </w:r>
            <w:r>
              <w:rPr>
                <w:rFonts w:hint="eastAsia"/>
              </w:rPr>
              <w:t xml:space="preserve"> </w:t>
            </w:r>
            <w:r>
              <w:rPr>
                <w:rFonts w:hint="eastAsia"/>
                <w:szCs w:val="21"/>
              </w:rPr>
              <w:t>课程目标小于0.6。</w:t>
            </w:r>
          </w:p>
        </w:tc>
      </w:tr>
    </w:tbl>
    <w:p>
      <w:pPr>
        <w:spacing w:line="360" w:lineRule="auto"/>
        <w:rPr>
          <w:b/>
          <w:sz w:val="28"/>
          <w:szCs w:val="28"/>
        </w:rPr>
      </w:pPr>
      <w:r>
        <w:rPr>
          <w:rFonts w:hint="eastAsia"/>
          <w:b/>
          <w:sz w:val="28"/>
          <w:szCs w:val="28"/>
        </w:rPr>
        <w:t>五、课程</w:t>
      </w:r>
      <w:r>
        <w:rPr>
          <w:b/>
          <w:sz w:val="28"/>
          <w:szCs w:val="28"/>
        </w:rPr>
        <w:t>考核</w:t>
      </w:r>
    </w:p>
    <w:p>
      <w:pPr>
        <w:spacing w:line="360" w:lineRule="auto"/>
        <w:ind w:firstLine="480" w:firstLineChars="200"/>
        <w:rPr>
          <w:sz w:val="24"/>
        </w:rPr>
      </w:pPr>
      <w:r>
        <w:rPr>
          <w:rFonts w:hint="eastAsia"/>
          <w:sz w:val="24"/>
        </w:rPr>
        <w:t>（一）课程考核包括期末考试、平时及作业考核等，期末考试采用闭卷笔试。</w:t>
      </w:r>
    </w:p>
    <w:p>
      <w:pPr>
        <w:spacing w:line="360" w:lineRule="auto"/>
        <w:ind w:firstLine="480" w:firstLineChars="200"/>
        <w:rPr>
          <w:sz w:val="24"/>
        </w:rPr>
      </w:pPr>
      <w:r>
        <w:rPr>
          <w:rFonts w:hint="eastAsia"/>
          <w:sz w:val="24"/>
        </w:rPr>
        <w:t>（二）</w:t>
      </w:r>
      <w:r>
        <w:rPr>
          <w:sz w:val="24"/>
        </w:rPr>
        <w:t>课程</w:t>
      </w:r>
      <w:r>
        <w:rPr>
          <w:rFonts w:hint="eastAsia"/>
          <w:sz w:val="24"/>
        </w:rPr>
        <w:t>总评</w:t>
      </w:r>
      <w:r>
        <w:rPr>
          <w:sz w:val="24"/>
        </w:rPr>
        <w:t>成绩=平时</w:t>
      </w:r>
      <w:r>
        <w:rPr>
          <w:rFonts w:hint="eastAsia"/>
          <w:sz w:val="24"/>
        </w:rPr>
        <w:t>表现</w:t>
      </w:r>
      <w:r>
        <w:rPr>
          <w:sz w:val="24"/>
        </w:rPr>
        <w:t>×</w:t>
      </w:r>
      <w:r>
        <w:rPr>
          <w:rFonts w:hint="eastAsia"/>
          <w:sz w:val="24"/>
        </w:rPr>
        <w:t>10</w:t>
      </w:r>
      <w:r>
        <w:rPr>
          <w:sz w:val="24"/>
        </w:rPr>
        <w:t>% +</w:t>
      </w:r>
      <w:r>
        <w:rPr>
          <w:rFonts w:hint="eastAsia"/>
          <w:sz w:val="24"/>
        </w:rPr>
        <w:t>作业</w:t>
      </w:r>
      <w:r>
        <w:rPr>
          <w:sz w:val="24"/>
        </w:rPr>
        <w:t>×2</w:t>
      </w:r>
      <w:r>
        <w:rPr>
          <w:rFonts w:hint="eastAsia"/>
          <w:sz w:val="24"/>
        </w:rPr>
        <w:t>0</w:t>
      </w:r>
      <w:r>
        <w:rPr>
          <w:sz w:val="24"/>
        </w:rPr>
        <w:t xml:space="preserve">% </w:t>
      </w:r>
      <w:r>
        <w:rPr>
          <w:rFonts w:hint="eastAsia"/>
          <w:sz w:val="24"/>
        </w:rPr>
        <w:t>+练习</w:t>
      </w:r>
      <w:r>
        <w:rPr>
          <w:sz w:val="24"/>
        </w:rPr>
        <w:t>×2</w:t>
      </w:r>
      <w:r>
        <w:rPr>
          <w:rFonts w:hint="eastAsia"/>
          <w:sz w:val="24"/>
        </w:rPr>
        <w:t>0</w:t>
      </w:r>
      <w:r>
        <w:rPr>
          <w:sz w:val="24"/>
        </w:rPr>
        <w:t>%+期末考试成绩×</w:t>
      </w:r>
      <w:r>
        <w:rPr>
          <w:rFonts w:hint="eastAsia"/>
          <w:sz w:val="24"/>
        </w:rPr>
        <w:t>50</w:t>
      </w:r>
      <w:r>
        <w:rPr>
          <w:sz w:val="24"/>
        </w:rPr>
        <w:t>%。具体内容和比例</w:t>
      </w:r>
      <w:r>
        <w:rPr>
          <w:rFonts w:hint="eastAsia"/>
          <w:sz w:val="24"/>
        </w:rPr>
        <w:t>如表所示。</w:t>
      </w:r>
    </w:p>
    <w:tbl>
      <w:tblPr>
        <w:tblStyle w:val="10"/>
        <w:tblpPr w:leftFromText="180" w:rightFromText="180" w:vertAnchor="text" w:horzAnchor="margin" w:tblpXSpec="center" w:tblpY="244"/>
        <w:tblW w:w="91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715"/>
        <w:gridCol w:w="1560"/>
        <w:gridCol w:w="3260"/>
        <w:gridCol w:w="638"/>
        <w:gridCol w:w="638"/>
        <w:gridCol w:w="638"/>
        <w:gridCol w:w="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vMerge w:val="restart"/>
            <w:shd w:val="clear" w:color="auto" w:fill="FFFFFF"/>
            <w:tcMar>
              <w:left w:w="57" w:type="dxa"/>
              <w:right w:w="57" w:type="dxa"/>
            </w:tcMar>
            <w:vAlign w:val="center"/>
          </w:tcPr>
          <w:p>
            <w:pPr>
              <w:pStyle w:val="14"/>
              <w:jc w:val="center"/>
              <w:rPr>
                <w:rFonts w:eastAsia="宋体"/>
              </w:rPr>
            </w:pPr>
            <w:r>
              <w:rPr>
                <w:rFonts w:hint="eastAsia" w:eastAsia="宋体"/>
              </w:rPr>
              <w:t>考核环节</w:t>
            </w:r>
          </w:p>
        </w:tc>
        <w:tc>
          <w:tcPr>
            <w:tcW w:w="715" w:type="dxa"/>
            <w:vMerge w:val="restart"/>
            <w:shd w:val="clear" w:color="auto" w:fill="FFFFFF"/>
            <w:vAlign w:val="center"/>
          </w:tcPr>
          <w:p>
            <w:pPr>
              <w:pStyle w:val="14"/>
              <w:jc w:val="center"/>
              <w:rPr>
                <w:rFonts w:eastAsia="宋体"/>
              </w:rPr>
            </w:pPr>
            <w:r>
              <w:rPr>
                <w:rFonts w:hint="eastAsia" w:eastAsia="宋体"/>
              </w:rPr>
              <w:t>成绩比例</w:t>
            </w:r>
          </w:p>
        </w:tc>
        <w:tc>
          <w:tcPr>
            <w:tcW w:w="4820" w:type="dxa"/>
            <w:gridSpan w:val="2"/>
            <w:vMerge w:val="restart"/>
            <w:shd w:val="clear" w:color="auto" w:fill="FFFFFF"/>
            <w:vAlign w:val="center"/>
          </w:tcPr>
          <w:p>
            <w:pPr>
              <w:pStyle w:val="14"/>
              <w:jc w:val="center"/>
              <w:rPr>
                <w:rFonts w:eastAsia="宋体"/>
              </w:rPr>
            </w:pPr>
            <w:r>
              <w:rPr>
                <w:rFonts w:eastAsia="宋体"/>
              </w:rPr>
              <w:t>考核</w:t>
            </w:r>
            <w:r>
              <w:rPr>
                <w:rFonts w:hint="eastAsia" w:eastAsia="宋体"/>
              </w:rPr>
              <w:t>内容与</w:t>
            </w:r>
            <w:r>
              <w:rPr>
                <w:rFonts w:eastAsia="宋体"/>
              </w:rPr>
              <w:t>评价细则</w:t>
            </w:r>
          </w:p>
        </w:tc>
        <w:tc>
          <w:tcPr>
            <w:tcW w:w="2552" w:type="dxa"/>
            <w:gridSpan w:val="4"/>
            <w:shd w:val="clear" w:color="auto" w:fill="FFFFFF"/>
            <w:vAlign w:val="center"/>
          </w:tcPr>
          <w:p>
            <w:pPr>
              <w:pStyle w:val="14"/>
              <w:jc w:val="center"/>
              <w:rPr>
                <w:rFonts w:eastAsia="宋体"/>
              </w:rPr>
            </w:pPr>
            <w:r>
              <w:rPr>
                <w:rFonts w:hint="eastAsia" w:eastAsia="宋体"/>
              </w:rPr>
              <w:t>支撑目标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vMerge w:val="continue"/>
            <w:shd w:val="clear" w:color="auto" w:fill="FFFFFF"/>
            <w:tcMar>
              <w:left w:w="57" w:type="dxa"/>
              <w:right w:w="57" w:type="dxa"/>
            </w:tcMar>
            <w:vAlign w:val="center"/>
          </w:tcPr>
          <w:p>
            <w:pPr>
              <w:pStyle w:val="14"/>
              <w:jc w:val="center"/>
              <w:rPr>
                <w:rFonts w:eastAsia="宋体"/>
              </w:rPr>
            </w:pPr>
          </w:p>
        </w:tc>
        <w:tc>
          <w:tcPr>
            <w:tcW w:w="715" w:type="dxa"/>
            <w:vMerge w:val="continue"/>
            <w:shd w:val="clear" w:color="auto" w:fill="FFFFFF"/>
            <w:vAlign w:val="center"/>
          </w:tcPr>
          <w:p>
            <w:pPr>
              <w:pStyle w:val="14"/>
              <w:jc w:val="center"/>
              <w:rPr>
                <w:rFonts w:eastAsia="宋体"/>
              </w:rPr>
            </w:pPr>
          </w:p>
        </w:tc>
        <w:tc>
          <w:tcPr>
            <w:tcW w:w="4820" w:type="dxa"/>
            <w:gridSpan w:val="2"/>
            <w:vMerge w:val="continue"/>
            <w:shd w:val="clear" w:color="auto" w:fill="FFFFFF"/>
            <w:vAlign w:val="center"/>
          </w:tcPr>
          <w:p>
            <w:pPr>
              <w:pStyle w:val="14"/>
              <w:jc w:val="center"/>
              <w:rPr>
                <w:rFonts w:eastAsia="宋体"/>
              </w:rPr>
            </w:pPr>
          </w:p>
        </w:tc>
        <w:tc>
          <w:tcPr>
            <w:tcW w:w="638" w:type="dxa"/>
            <w:shd w:val="clear" w:color="auto" w:fill="FFFFFF"/>
            <w:vAlign w:val="center"/>
          </w:tcPr>
          <w:p>
            <w:pPr>
              <w:pStyle w:val="14"/>
              <w:jc w:val="center"/>
              <w:rPr>
                <w:rFonts w:eastAsia="宋体"/>
              </w:rPr>
            </w:pPr>
            <w:r>
              <w:rPr>
                <w:rFonts w:hint="eastAsia" w:eastAsia="宋体"/>
              </w:rPr>
              <w:t>目标1</w:t>
            </w:r>
          </w:p>
        </w:tc>
        <w:tc>
          <w:tcPr>
            <w:tcW w:w="638" w:type="dxa"/>
            <w:shd w:val="clear" w:color="auto" w:fill="FFFFFF"/>
            <w:vAlign w:val="center"/>
          </w:tcPr>
          <w:p>
            <w:pPr>
              <w:pStyle w:val="14"/>
              <w:jc w:val="center"/>
              <w:rPr>
                <w:rFonts w:eastAsia="宋体"/>
              </w:rPr>
            </w:pPr>
            <w:r>
              <w:rPr>
                <w:rFonts w:hint="eastAsia" w:eastAsia="宋体"/>
              </w:rPr>
              <w:t>目标2</w:t>
            </w:r>
          </w:p>
        </w:tc>
        <w:tc>
          <w:tcPr>
            <w:tcW w:w="638" w:type="dxa"/>
            <w:shd w:val="clear" w:color="auto" w:fill="FFFFFF"/>
            <w:vAlign w:val="center"/>
          </w:tcPr>
          <w:p>
            <w:pPr>
              <w:pStyle w:val="14"/>
              <w:jc w:val="center"/>
              <w:rPr>
                <w:rFonts w:eastAsia="宋体"/>
              </w:rPr>
            </w:pPr>
            <w:r>
              <w:rPr>
                <w:rFonts w:hint="eastAsia" w:eastAsia="宋体"/>
              </w:rPr>
              <w:t>目标3</w:t>
            </w:r>
          </w:p>
        </w:tc>
        <w:tc>
          <w:tcPr>
            <w:tcW w:w="638" w:type="dxa"/>
            <w:shd w:val="clear" w:color="auto" w:fill="FFFFFF"/>
            <w:vAlign w:val="center"/>
          </w:tcPr>
          <w:p>
            <w:pPr>
              <w:pStyle w:val="14"/>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shd w:val="clear" w:color="auto" w:fill="FFFFFF"/>
            <w:tcMar>
              <w:left w:w="57" w:type="dxa"/>
              <w:right w:w="57" w:type="dxa"/>
            </w:tcMar>
            <w:vAlign w:val="center"/>
          </w:tcPr>
          <w:p>
            <w:pPr>
              <w:pStyle w:val="14"/>
              <w:jc w:val="center"/>
              <w:rPr>
                <w:rFonts w:eastAsia="宋体"/>
              </w:rPr>
            </w:pPr>
            <w:r>
              <w:rPr>
                <w:rFonts w:hint="eastAsia" w:eastAsia="宋体"/>
              </w:rPr>
              <w:t>平时表现</w:t>
            </w:r>
          </w:p>
        </w:tc>
        <w:tc>
          <w:tcPr>
            <w:tcW w:w="715" w:type="dxa"/>
            <w:shd w:val="clear" w:color="auto" w:fill="FFFFFF"/>
            <w:vAlign w:val="center"/>
          </w:tcPr>
          <w:p>
            <w:pPr>
              <w:pStyle w:val="14"/>
              <w:jc w:val="center"/>
              <w:rPr>
                <w:rFonts w:eastAsia="宋体"/>
              </w:rPr>
            </w:pPr>
            <w:r>
              <w:rPr>
                <w:rFonts w:hint="eastAsia" w:eastAsia="宋体"/>
              </w:rPr>
              <w:t>10%</w:t>
            </w:r>
          </w:p>
        </w:tc>
        <w:tc>
          <w:tcPr>
            <w:tcW w:w="4820" w:type="dxa"/>
            <w:gridSpan w:val="2"/>
            <w:shd w:val="clear" w:color="auto" w:fill="FFFFFF"/>
            <w:vAlign w:val="center"/>
          </w:tcPr>
          <w:p>
            <w:pPr>
              <w:pStyle w:val="14"/>
              <w:rPr>
                <w:rFonts w:eastAsia="宋体"/>
              </w:rPr>
            </w:pPr>
            <w:r>
              <w:rPr>
                <w:rFonts w:hint="eastAsia" w:eastAsia="宋体"/>
              </w:rPr>
              <w:t>课堂不定期点名，考核能否按时到勤，对于旷课、迟到和早退者适当扣分，根据平时课堂笔记、课堂回答问题等情况确定平时表现分数。</w:t>
            </w:r>
          </w:p>
        </w:tc>
        <w:tc>
          <w:tcPr>
            <w:tcW w:w="638" w:type="dxa"/>
            <w:shd w:val="clear" w:color="auto" w:fill="FFFFFF"/>
            <w:vAlign w:val="center"/>
          </w:tcPr>
          <w:p>
            <w:pPr>
              <w:pStyle w:val="14"/>
              <w:jc w:val="center"/>
              <w:rPr>
                <w:rFonts w:eastAsia="宋体"/>
                <w:highlight w:val="yellow"/>
              </w:rPr>
            </w:pPr>
            <w:r>
              <w:rPr>
                <w:rFonts w:hint="eastAsia" w:eastAsia="宋体"/>
              </w:rPr>
              <w:t>5%</w:t>
            </w:r>
          </w:p>
        </w:tc>
        <w:tc>
          <w:tcPr>
            <w:tcW w:w="638" w:type="dxa"/>
            <w:shd w:val="clear" w:color="auto" w:fill="FFFFFF"/>
            <w:vAlign w:val="center"/>
          </w:tcPr>
          <w:p>
            <w:pPr>
              <w:pStyle w:val="14"/>
              <w:jc w:val="center"/>
              <w:rPr>
                <w:rFonts w:eastAsia="宋体"/>
                <w:highlight w:val="yellow"/>
              </w:rPr>
            </w:pPr>
            <w:r>
              <w:rPr>
                <w:rFonts w:hint="eastAsia" w:eastAsia="宋体"/>
              </w:rPr>
              <w:t>5%</w:t>
            </w:r>
          </w:p>
        </w:tc>
        <w:tc>
          <w:tcPr>
            <w:tcW w:w="638" w:type="dxa"/>
            <w:shd w:val="clear" w:color="auto" w:fill="FFFFFF"/>
            <w:vAlign w:val="center"/>
          </w:tcPr>
          <w:p>
            <w:pPr>
              <w:pStyle w:val="14"/>
              <w:jc w:val="center"/>
              <w:rPr>
                <w:rFonts w:eastAsia="宋体"/>
              </w:rPr>
            </w:pPr>
          </w:p>
        </w:tc>
        <w:tc>
          <w:tcPr>
            <w:tcW w:w="638" w:type="dxa"/>
            <w:shd w:val="clear" w:color="auto" w:fill="FFFFFF"/>
            <w:vAlign w:val="center"/>
          </w:tcPr>
          <w:p>
            <w:pPr>
              <w:pStyle w:val="14"/>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043" w:type="dxa"/>
            <w:tcMar>
              <w:left w:w="57" w:type="dxa"/>
              <w:right w:w="57" w:type="dxa"/>
            </w:tcMar>
            <w:vAlign w:val="center"/>
          </w:tcPr>
          <w:p>
            <w:pPr>
              <w:pStyle w:val="14"/>
              <w:jc w:val="center"/>
              <w:rPr>
                <w:rFonts w:eastAsia="宋体"/>
              </w:rPr>
            </w:pPr>
            <w:r>
              <w:rPr>
                <w:rFonts w:eastAsia="宋体"/>
              </w:rPr>
              <w:t>作</w:t>
            </w:r>
            <w:r>
              <w:rPr>
                <w:rFonts w:hint="eastAsia" w:eastAsia="宋体"/>
              </w:rPr>
              <w:t xml:space="preserve">    </w:t>
            </w:r>
            <w:r>
              <w:rPr>
                <w:rFonts w:eastAsia="宋体"/>
              </w:rPr>
              <w:t>业</w:t>
            </w:r>
          </w:p>
        </w:tc>
        <w:tc>
          <w:tcPr>
            <w:tcW w:w="715" w:type="dxa"/>
            <w:vAlign w:val="center"/>
          </w:tcPr>
          <w:p>
            <w:pPr>
              <w:pStyle w:val="14"/>
              <w:jc w:val="center"/>
              <w:rPr>
                <w:rFonts w:eastAsia="宋体"/>
              </w:rPr>
            </w:pPr>
            <w:r>
              <w:rPr>
                <w:rFonts w:eastAsia="宋体"/>
              </w:rPr>
              <w:t>2</w:t>
            </w:r>
            <w:r>
              <w:rPr>
                <w:rFonts w:hint="eastAsia" w:eastAsia="宋体"/>
              </w:rPr>
              <w:t>0</w:t>
            </w:r>
            <w:r>
              <w:rPr>
                <w:rFonts w:eastAsia="宋体"/>
              </w:rPr>
              <w:t>%</w:t>
            </w:r>
          </w:p>
        </w:tc>
        <w:tc>
          <w:tcPr>
            <w:tcW w:w="4820" w:type="dxa"/>
            <w:gridSpan w:val="2"/>
            <w:vAlign w:val="center"/>
          </w:tcPr>
          <w:p>
            <w:pPr>
              <w:pStyle w:val="14"/>
              <w:rPr>
                <w:rFonts w:eastAsia="宋体"/>
                <w:szCs w:val="21"/>
              </w:rPr>
            </w:pPr>
            <w:r>
              <w:rPr>
                <w:rFonts w:hint="eastAsia" w:eastAsia="宋体"/>
                <w:szCs w:val="21"/>
              </w:rPr>
              <w:t>每章节对应有思考题和习题，考核学生对每节课知识点的复习、理解和掌握度。对每次作业完成情况做记录并百分制打分。</w:t>
            </w:r>
          </w:p>
        </w:tc>
        <w:tc>
          <w:tcPr>
            <w:tcW w:w="638" w:type="dxa"/>
            <w:shd w:val="clear" w:color="auto" w:fill="FFFFFF"/>
            <w:vAlign w:val="center"/>
          </w:tcPr>
          <w:p>
            <w:pPr>
              <w:pStyle w:val="14"/>
              <w:jc w:val="center"/>
              <w:rPr>
                <w:rFonts w:eastAsia="宋体"/>
                <w:color w:val="000000"/>
                <w:szCs w:val="21"/>
              </w:rPr>
            </w:pPr>
            <w:r>
              <w:rPr>
                <w:rFonts w:eastAsia="宋体"/>
                <w:color w:val="000000"/>
                <w:szCs w:val="21"/>
              </w:rPr>
              <w:t>10</w:t>
            </w:r>
            <w:r>
              <w:rPr>
                <w:rFonts w:hint="eastAsia" w:eastAsia="宋体"/>
                <w:color w:val="000000"/>
                <w:szCs w:val="21"/>
              </w:rPr>
              <w:t>%</w:t>
            </w:r>
          </w:p>
        </w:tc>
        <w:tc>
          <w:tcPr>
            <w:tcW w:w="638" w:type="dxa"/>
            <w:shd w:val="clear" w:color="auto" w:fill="FFFFFF"/>
            <w:vAlign w:val="center"/>
          </w:tcPr>
          <w:p>
            <w:pPr>
              <w:pStyle w:val="14"/>
              <w:jc w:val="center"/>
              <w:rPr>
                <w:rFonts w:eastAsia="宋体"/>
                <w:color w:val="000000"/>
                <w:szCs w:val="21"/>
              </w:rPr>
            </w:pPr>
            <w:r>
              <w:rPr>
                <w:rFonts w:eastAsia="宋体"/>
                <w:color w:val="000000"/>
                <w:szCs w:val="21"/>
              </w:rPr>
              <w:t>10</w:t>
            </w:r>
            <w:r>
              <w:rPr>
                <w:rFonts w:hint="eastAsia" w:eastAsia="宋体"/>
                <w:color w:val="000000"/>
                <w:szCs w:val="21"/>
              </w:rPr>
              <w:t>%</w:t>
            </w:r>
          </w:p>
        </w:tc>
        <w:tc>
          <w:tcPr>
            <w:tcW w:w="638" w:type="dxa"/>
            <w:shd w:val="clear" w:color="auto" w:fill="FFFFFF"/>
            <w:vAlign w:val="center"/>
          </w:tcPr>
          <w:p>
            <w:pPr>
              <w:pStyle w:val="14"/>
              <w:jc w:val="center"/>
              <w:rPr>
                <w:rFonts w:eastAsia="宋体"/>
                <w:color w:val="000000"/>
                <w:szCs w:val="21"/>
              </w:rPr>
            </w:pPr>
          </w:p>
        </w:tc>
        <w:tc>
          <w:tcPr>
            <w:tcW w:w="638" w:type="dxa"/>
            <w:shd w:val="clear" w:color="auto" w:fill="FFFFFF"/>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 w:type="dxa"/>
            <w:tcMar>
              <w:left w:w="57" w:type="dxa"/>
              <w:right w:w="57" w:type="dxa"/>
            </w:tcMar>
            <w:vAlign w:val="center"/>
          </w:tcPr>
          <w:p>
            <w:pPr>
              <w:pStyle w:val="14"/>
              <w:jc w:val="center"/>
              <w:rPr>
                <w:rFonts w:eastAsia="宋体"/>
              </w:rPr>
            </w:pPr>
            <w:r>
              <w:rPr>
                <w:rFonts w:hint="eastAsia" w:eastAsia="宋体"/>
              </w:rPr>
              <w:t xml:space="preserve">练 </w:t>
            </w:r>
            <w:r>
              <w:rPr>
                <w:rFonts w:eastAsia="宋体"/>
              </w:rPr>
              <w:t xml:space="preserve">  </w:t>
            </w:r>
            <w:r>
              <w:rPr>
                <w:rFonts w:hint="eastAsia" w:eastAsia="宋体"/>
              </w:rPr>
              <w:t>习</w:t>
            </w:r>
          </w:p>
        </w:tc>
        <w:tc>
          <w:tcPr>
            <w:tcW w:w="715" w:type="dxa"/>
            <w:vAlign w:val="center"/>
          </w:tcPr>
          <w:p>
            <w:pPr>
              <w:pStyle w:val="14"/>
              <w:jc w:val="center"/>
              <w:rPr>
                <w:rFonts w:eastAsia="宋体"/>
              </w:rPr>
            </w:pPr>
            <w:r>
              <w:rPr>
                <w:rFonts w:eastAsia="宋体"/>
              </w:rPr>
              <w:t>2</w:t>
            </w:r>
            <w:r>
              <w:rPr>
                <w:rFonts w:hint="eastAsia" w:eastAsia="宋体"/>
              </w:rPr>
              <w:t>0</w:t>
            </w:r>
            <w:r>
              <w:rPr>
                <w:rFonts w:eastAsia="宋体"/>
              </w:rPr>
              <w:t>%</w:t>
            </w:r>
            <w:r>
              <w:rPr>
                <w:rFonts w:hint="eastAsia" w:eastAsia="宋体"/>
              </w:rPr>
              <w:t xml:space="preserve"> </w:t>
            </w:r>
          </w:p>
        </w:tc>
        <w:tc>
          <w:tcPr>
            <w:tcW w:w="4820" w:type="dxa"/>
            <w:gridSpan w:val="2"/>
            <w:vAlign w:val="center"/>
          </w:tcPr>
          <w:p>
            <w:pPr>
              <w:pStyle w:val="14"/>
              <w:rPr>
                <w:rFonts w:eastAsia="宋体"/>
                <w:color w:val="000000"/>
                <w:szCs w:val="21"/>
              </w:rPr>
            </w:pPr>
            <w:r>
              <w:rPr>
                <w:rFonts w:hint="eastAsia" w:eastAsia="宋体"/>
                <w:color w:val="000000"/>
                <w:szCs w:val="21"/>
              </w:rPr>
              <w:t>利用慕课堂等随堂测验，考察学生对教学内容的掌握情况，以课堂测试的形式进行。</w:t>
            </w:r>
          </w:p>
        </w:tc>
        <w:tc>
          <w:tcPr>
            <w:tcW w:w="638" w:type="dxa"/>
            <w:shd w:val="clear" w:color="auto" w:fill="FFFFFF"/>
            <w:vAlign w:val="center"/>
          </w:tcPr>
          <w:p>
            <w:pPr>
              <w:pStyle w:val="14"/>
              <w:jc w:val="center"/>
              <w:rPr>
                <w:rFonts w:eastAsia="宋体"/>
                <w:color w:val="000000"/>
                <w:szCs w:val="21"/>
              </w:rPr>
            </w:pPr>
            <w:r>
              <w:rPr>
                <w:rFonts w:hint="eastAsia" w:eastAsia="宋体"/>
                <w:color w:val="000000"/>
                <w:szCs w:val="21"/>
              </w:rPr>
              <w:t>1</w:t>
            </w:r>
            <w:r>
              <w:rPr>
                <w:rFonts w:eastAsia="宋体"/>
                <w:color w:val="000000"/>
                <w:szCs w:val="21"/>
              </w:rPr>
              <w:t>0</w:t>
            </w:r>
            <w:r>
              <w:rPr>
                <w:rFonts w:hint="eastAsia" w:eastAsia="宋体"/>
                <w:color w:val="000000"/>
                <w:szCs w:val="21"/>
              </w:rPr>
              <w:t>%</w:t>
            </w:r>
          </w:p>
        </w:tc>
        <w:tc>
          <w:tcPr>
            <w:tcW w:w="638" w:type="dxa"/>
            <w:shd w:val="clear" w:color="auto" w:fill="FFFFFF"/>
            <w:vAlign w:val="center"/>
          </w:tcPr>
          <w:p>
            <w:pPr>
              <w:pStyle w:val="14"/>
              <w:jc w:val="center"/>
              <w:rPr>
                <w:rFonts w:eastAsia="宋体"/>
                <w:color w:val="000000"/>
                <w:szCs w:val="21"/>
              </w:rPr>
            </w:pPr>
            <w:r>
              <w:rPr>
                <w:rFonts w:eastAsia="宋体"/>
                <w:color w:val="000000"/>
                <w:szCs w:val="21"/>
              </w:rPr>
              <w:t>5</w:t>
            </w:r>
            <w:r>
              <w:rPr>
                <w:rFonts w:hint="eastAsia" w:eastAsia="宋体"/>
                <w:color w:val="000000"/>
                <w:szCs w:val="21"/>
              </w:rPr>
              <w:t>%</w:t>
            </w:r>
          </w:p>
        </w:tc>
        <w:tc>
          <w:tcPr>
            <w:tcW w:w="638" w:type="dxa"/>
            <w:shd w:val="clear" w:color="auto" w:fill="FFFFFF"/>
            <w:vAlign w:val="center"/>
          </w:tcPr>
          <w:p>
            <w:pPr>
              <w:pStyle w:val="14"/>
              <w:jc w:val="center"/>
              <w:rPr>
                <w:rFonts w:eastAsia="宋体"/>
                <w:color w:val="000000"/>
                <w:szCs w:val="21"/>
              </w:rPr>
            </w:pPr>
            <w:r>
              <w:rPr>
                <w:rFonts w:eastAsia="宋体"/>
                <w:color w:val="000000"/>
                <w:szCs w:val="21"/>
              </w:rPr>
              <w:t>5</w:t>
            </w:r>
            <w:r>
              <w:rPr>
                <w:rFonts w:hint="eastAsia" w:eastAsia="宋体"/>
                <w:color w:val="000000"/>
                <w:szCs w:val="21"/>
              </w:rPr>
              <w:t>%</w:t>
            </w:r>
          </w:p>
        </w:tc>
        <w:tc>
          <w:tcPr>
            <w:tcW w:w="638" w:type="dxa"/>
            <w:shd w:val="clear" w:color="auto" w:fill="FFFFFF"/>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043" w:type="dxa"/>
            <w:vMerge w:val="restart"/>
            <w:tcMar>
              <w:left w:w="57" w:type="dxa"/>
              <w:right w:w="57" w:type="dxa"/>
            </w:tcMar>
            <w:vAlign w:val="center"/>
          </w:tcPr>
          <w:p>
            <w:pPr>
              <w:pStyle w:val="14"/>
              <w:jc w:val="center"/>
              <w:rPr>
                <w:rFonts w:eastAsia="宋体"/>
              </w:rPr>
            </w:pPr>
            <w:r>
              <w:rPr>
                <w:rFonts w:eastAsia="宋体"/>
              </w:rPr>
              <w:t>期末</w:t>
            </w:r>
            <w:r>
              <w:rPr>
                <w:rFonts w:hint="eastAsia" w:eastAsia="宋体"/>
              </w:rPr>
              <w:t>试卷</w:t>
            </w:r>
          </w:p>
        </w:tc>
        <w:tc>
          <w:tcPr>
            <w:tcW w:w="715" w:type="dxa"/>
            <w:vMerge w:val="restart"/>
            <w:vAlign w:val="center"/>
          </w:tcPr>
          <w:p>
            <w:pPr>
              <w:pStyle w:val="14"/>
              <w:jc w:val="center"/>
              <w:rPr>
                <w:rFonts w:eastAsia="宋体"/>
              </w:rPr>
            </w:pPr>
            <w:r>
              <w:rPr>
                <w:rFonts w:hint="eastAsia" w:eastAsia="宋体"/>
              </w:rPr>
              <w:t>50</w:t>
            </w:r>
            <w:r>
              <w:rPr>
                <w:rFonts w:eastAsia="宋体"/>
              </w:rPr>
              <w:t>%</w:t>
            </w:r>
            <w:r>
              <w:rPr>
                <w:rFonts w:hint="eastAsia" w:eastAsia="宋体"/>
              </w:rPr>
              <w:t xml:space="preserve"> </w:t>
            </w:r>
          </w:p>
        </w:tc>
        <w:tc>
          <w:tcPr>
            <w:tcW w:w="1560" w:type="dxa"/>
            <w:tcBorders>
              <w:left w:val="single" w:color="auto" w:sz="4" w:space="0"/>
            </w:tcBorders>
            <w:vAlign w:val="center"/>
          </w:tcPr>
          <w:p>
            <w:pPr>
              <w:pStyle w:val="14"/>
              <w:jc w:val="center"/>
              <w:rPr>
                <w:rFonts w:eastAsia="宋体"/>
                <w:color w:val="000000"/>
                <w:szCs w:val="21"/>
              </w:rPr>
            </w:pPr>
            <w:r>
              <w:rPr>
                <w:rFonts w:hint="eastAsia" w:eastAsia="宋体"/>
                <w:color w:val="000000"/>
                <w:szCs w:val="21"/>
              </w:rPr>
              <w:t>题型</w:t>
            </w:r>
          </w:p>
        </w:tc>
        <w:tc>
          <w:tcPr>
            <w:tcW w:w="3260" w:type="dxa"/>
            <w:tcBorders>
              <w:left w:val="single" w:color="auto" w:sz="4" w:space="0"/>
            </w:tcBorders>
            <w:vAlign w:val="center"/>
          </w:tcPr>
          <w:p>
            <w:pPr>
              <w:widowControl/>
              <w:jc w:val="center"/>
            </w:pPr>
            <w:r>
              <w:rPr>
                <w:rFonts w:hint="eastAsia"/>
                <w:color w:val="000000"/>
                <w:szCs w:val="21"/>
              </w:rPr>
              <w:t>考核内容及相应试题</w:t>
            </w:r>
          </w:p>
        </w:tc>
        <w:tc>
          <w:tcPr>
            <w:tcW w:w="2552" w:type="dxa"/>
            <w:gridSpan w:val="4"/>
            <w:tcBorders>
              <w:tl2br w:val="single" w:color="auto" w:sz="4" w:space="0"/>
            </w:tcBorders>
            <w:shd w:val="clear" w:color="auto" w:fill="FFFFFF"/>
          </w:tcPr>
          <w:p>
            <w:pPr>
              <w:pStyle w:val="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tcMar>
              <w:left w:w="57" w:type="dxa"/>
              <w:right w:w="57" w:type="dxa"/>
            </w:tcMar>
            <w:vAlign w:val="center"/>
          </w:tcPr>
          <w:p>
            <w:pPr>
              <w:pStyle w:val="14"/>
              <w:jc w:val="center"/>
              <w:rPr>
                <w:rFonts w:eastAsia="宋体"/>
              </w:rPr>
            </w:pPr>
          </w:p>
        </w:tc>
        <w:tc>
          <w:tcPr>
            <w:tcW w:w="715" w:type="dxa"/>
            <w:vMerge w:val="continue"/>
            <w:vAlign w:val="center"/>
          </w:tcPr>
          <w:p>
            <w:pPr>
              <w:pStyle w:val="14"/>
              <w:jc w:val="center"/>
              <w:rPr>
                <w:rFonts w:eastAsia="宋体"/>
              </w:rPr>
            </w:pPr>
          </w:p>
        </w:tc>
        <w:tc>
          <w:tcPr>
            <w:tcW w:w="1560" w:type="dxa"/>
            <w:tcBorders>
              <w:left w:val="single" w:color="auto" w:sz="4" w:space="0"/>
            </w:tcBorders>
            <w:vAlign w:val="center"/>
          </w:tcPr>
          <w:p>
            <w:pPr>
              <w:pStyle w:val="14"/>
              <w:jc w:val="center"/>
              <w:rPr>
                <w:rFonts w:eastAsia="宋体"/>
                <w:color w:val="000000"/>
                <w:szCs w:val="21"/>
              </w:rPr>
            </w:pPr>
            <w:r>
              <w:rPr>
                <w:rFonts w:hint="eastAsia" w:eastAsia="宋体"/>
                <w:color w:val="000000"/>
                <w:szCs w:val="21"/>
              </w:rPr>
              <w:t>选择题</w:t>
            </w:r>
          </w:p>
        </w:tc>
        <w:tc>
          <w:tcPr>
            <w:tcW w:w="3260" w:type="dxa"/>
            <w:tcBorders>
              <w:left w:val="single" w:color="auto" w:sz="4" w:space="0"/>
            </w:tcBorders>
            <w:vAlign w:val="center"/>
          </w:tcPr>
          <w:p>
            <w:pPr>
              <w:pStyle w:val="14"/>
              <w:rPr>
                <w:rFonts w:eastAsia="宋体"/>
                <w:color w:val="000000"/>
                <w:szCs w:val="21"/>
              </w:rPr>
            </w:pPr>
            <w:r>
              <w:rPr>
                <w:rFonts w:hint="eastAsia" w:eastAsia="宋体"/>
                <w:color w:val="000000"/>
                <w:szCs w:val="21"/>
              </w:rPr>
              <w:t>主要考核基本概念和分析化学中的误差与数据处理、容量分析方法的特点、原理及应用。</w:t>
            </w:r>
          </w:p>
        </w:tc>
        <w:tc>
          <w:tcPr>
            <w:tcW w:w="638" w:type="dxa"/>
            <w:shd w:val="clear" w:color="auto" w:fill="FFFFFF"/>
            <w:vAlign w:val="center"/>
          </w:tcPr>
          <w:p>
            <w:pPr>
              <w:widowControl/>
              <w:jc w:val="center"/>
            </w:pPr>
            <w:r>
              <w:rPr>
                <w:rFonts w:hint="eastAsia"/>
              </w:rPr>
              <w:t>10%</w:t>
            </w:r>
          </w:p>
        </w:tc>
        <w:tc>
          <w:tcPr>
            <w:tcW w:w="638" w:type="dxa"/>
            <w:shd w:val="clear" w:color="auto" w:fill="FFFFFF"/>
            <w:vAlign w:val="center"/>
          </w:tcPr>
          <w:p>
            <w:pPr>
              <w:widowControl/>
              <w:jc w:val="center"/>
            </w:pPr>
            <w:r>
              <w:rPr>
                <w:rFonts w:hint="eastAsia"/>
              </w:rPr>
              <w:t>10%</w:t>
            </w:r>
          </w:p>
        </w:tc>
        <w:tc>
          <w:tcPr>
            <w:tcW w:w="638" w:type="dxa"/>
            <w:shd w:val="clear" w:color="auto" w:fill="FFFFFF"/>
            <w:vAlign w:val="center"/>
          </w:tcPr>
          <w:p>
            <w:pPr>
              <w:widowControl/>
              <w:jc w:val="center"/>
            </w:pPr>
          </w:p>
        </w:tc>
        <w:tc>
          <w:tcPr>
            <w:tcW w:w="638" w:type="dxa"/>
            <w:shd w:val="clear" w:color="auto" w:fill="FFFFFF"/>
            <w:vAlign w:val="center"/>
          </w:tcPr>
          <w:p>
            <w:pPr>
              <w:widowControl/>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tcMar>
              <w:left w:w="57" w:type="dxa"/>
              <w:right w:w="57" w:type="dxa"/>
            </w:tcMar>
            <w:vAlign w:val="center"/>
          </w:tcPr>
          <w:p>
            <w:pPr>
              <w:pStyle w:val="14"/>
              <w:jc w:val="center"/>
              <w:rPr>
                <w:rFonts w:eastAsia="宋体"/>
              </w:rPr>
            </w:pPr>
          </w:p>
        </w:tc>
        <w:tc>
          <w:tcPr>
            <w:tcW w:w="715" w:type="dxa"/>
            <w:vMerge w:val="continue"/>
            <w:vAlign w:val="center"/>
          </w:tcPr>
          <w:p>
            <w:pPr>
              <w:pStyle w:val="14"/>
              <w:jc w:val="center"/>
              <w:rPr>
                <w:rFonts w:eastAsia="宋体"/>
              </w:rPr>
            </w:pPr>
          </w:p>
        </w:tc>
        <w:tc>
          <w:tcPr>
            <w:tcW w:w="1560" w:type="dxa"/>
            <w:tcBorders>
              <w:left w:val="single" w:color="auto" w:sz="4" w:space="0"/>
            </w:tcBorders>
            <w:vAlign w:val="center"/>
          </w:tcPr>
          <w:p>
            <w:pPr>
              <w:pStyle w:val="14"/>
              <w:jc w:val="center"/>
              <w:rPr>
                <w:rFonts w:eastAsia="宋体"/>
                <w:color w:val="000000"/>
                <w:szCs w:val="21"/>
              </w:rPr>
            </w:pPr>
            <w:r>
              <w:rPr>
                <w:rFonts w:hint="eastAsia" w:eastAsia="宋体"/>
                <w:color w:val="000000"/>
                <w:szCs w:val="21"/>
              </w:rPr>
              <w:t>填空</w:t>
            </w:r>
            <w:r>
              <w:rPr>
                <w:rFonts w:eastAsia="宋体"/>
                <w:color w:val="000000"/>
                <w:szCs w:val="21"/>
              </w:rPr>
              <w:t>题</w:t>
            </w:r>
          </w:p>
        </w:tc>
        <w:tc>
          <w:tcPr>
            <w:tcW w:w="3260" w:type="dxa"/>
            <w:tcBorders>
              <w:left w:val="single" w:color="auto" w:sz="4" w:space="0"/>
            </w:tcBorders>
            <w:vAlign w:val="center"/>
          </w:tcPr>
          <w:p>
            <w:pPr>
              <w:pStyle w:val="14"/>
              <w:rPr>
                <w:rFonts w:eastAsia="宋体"/>
                <w:color w:val="000000"/>
                <w:szCs w:val="21"/>
              </w:rPr>
            </w:pPr>
            <w:r>
              <w:rPr>
                <w:rFonts w:hint="eastAsia" w:eastAsia="宋体"/>
                <w:color w:val="000000"/>
                <w:szCs w:val="21"/>
              </w:rPr>
              <w:t>主要考核基本概念和分析化学中的误差与数据处理、容量分析方法的特点、原理及应用。</w:t>
            </w:r>
          </w:p>
        </w:tc>
        <w:tc>
          <w:tcPr>
            <w:tcW w:w="638" w:type="dxa"/>
            <w:shd w:val="clear" w:color="auto" w:fill="FFFFFF"/>
            <w:vAlign w:val="center"/>
          </w:tcPr>
          <w:p>
            <w:pPr>
              <w:pStyle w:val="14"/>
              <w:jc w:val="center"/>
              <w:rPr>
                <w:rFonts w:eastAsia="宋体"/>
                <w:color w:val="000000"/>
                <w:szCs w:val="21"/>
              </w:rPr>
            </w:pPr>
            <w:r>
              <w:rPr>
                <w:rFonts w:eastAsia="宋体"/>
                <w:color w:val="000000"/>
                <w:szCs w:val="21"/>
              </w:rPr>
              <w:t>5</w:t>
            </w:r>
            <w:r>
              <w:rPr>
                <w:rFonts w:hint="eastAsia" w:eastAsia="宋体"/>
                <w:color w:val="000000"/>
                <w:szCs w:val="21"/>
              </w:rPr>
              <w:t>%</w:t>
            </w:r>
          </w:p>
        </w:tc>
        <w:tc>
          <w:tcPr>
            <w:tcW w:w="638" w:type="dxa"/>
            <w:shd w:val="clear" w:color="auto" w:fill="FFFFFF"/>
            <w:vAlign w:val="center"/>
          </w:tcPr>
          <w:p>
            <w:pPr>
              <w:pStyle w:val="14"/>
              <w:jc w:val="center"/>
              <w:rPr>
                <w:rFonts w:eastAsia="宋体"/>
                <w:color w:val="000000"/>
                <w:szCs w:val="21"/>
              </w:rPr>
            </w:pPr>
            <w:r>
              <w:rPr>
                <w:rFonts w:eastAsia="宋体"/>
                <w:color w:val="000000"/>
                <w:szCs w:val="21"/>
              </w:rPr>
              <w:t>5</w:t>
            </w:r>
            <w:r>
              <w:rPr>
                <w:rFonts w:hint="eastAsia" w:eastAsia="宋体"/>
                <w:color w:val="000000"/>
                <w:szCs w:val="21"/>
              </w:rPr>
              <w:t>%</w:t>
            </w:r>
          </w:p>
        </w:tc>
        <w:tc>
          <w:tcPr>
            <w:tcW w:w="638" w:type="dxa"/>
            <w:shd w:val="clear" w:color="auto" w:fill="FFFFFF"/>
            <w:vAlign w:val="center"/>
          </w:tcPr>
          <w:p>
            <w:pPr>
              <w:pStyle w:val="14"/>
              <w:jc w:val="center"/>
              <w:rPr>
                <w:rFonts w:eastAsia="宋体"/>
                <w:color w:val="000000"/>
                <w:szCs w:val="21"/>
              </w:rPr>
            </w:pPr>
          </w:p>
        </w:tc>
        <w:tc>
          <w:tcPr>
            <w:tcW w:w="638" w:type="dxa"/>
            <w:shd w:val="clear" w:color="auto" w:fill="FFFFFF"/>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tcMar>
              <w:left w:w="57" w:type="dxa"/>
              <w:right w:w="57" w:type="dxa"/>
            </w:tcMar>
            <w:vAlign w:val="center"/>
          </w:tcPr>
          <w:p>
            <w:pPr>
              <w:pStyle w:val="14"/>
              <w:jc w:val="center"/>
              <w:rPr>
                <w:rFonts w:eastAsia="宋体"/>
              </w:rPr>
            </w:pPr>
          </w:p>
        </w:tc>
        <w:tc>
          <w:tcPr>
            <w:tcW w:w="715" w:type="dxa"/>
            <w:vMerge w:val="continue"/>
            <w:vAlign w:val="center"/>
          </w:tcPr>
          <w:p>
            <w:pPr>
              <w:pStyle w:val="14"/>
              <w:jc w:val="center"/>
              <w:rPr>
                <w:rFonts w:eastAsia="宋体"/>
              </w:rPr>
            </w:pPr>
          </w:p>
        </w:tc>
        <w:tc>
          <w:tcPr>
            <w:tcW w:w="1560" w:type="dxa"/>
            <w:tcBorders>
              <w:left w:val="single" w:color="auto" w:sz="4" w:space="0"/>
            </w:tcBorders>
            <w:vAlign w:val="center"/>
          </w:tcPr>
          <w:p>
            <w:pPr>
              <w:pStyle w:val="14"/>
              <w:jc w:val="center"/>
              <w:rPr>
                <w:rFonts w:eastAsia="宋体"/>
                <w:color w:val="000000"/>
                <w:szCs w:val="21"/>
              </w:rPr>
            </w:pPr>
            <w:r>
              <w:rPr>
                <w:rFonts w:hint="eastAsia" w:eastAsia="宋体"/>
                <w:color w:val="000000"/>
                <w:szCs w:val="21"/>
              </w:rPr>
              <w:t>判断题</w:t>
            </w:r>
          </w:p>
        </w:tc>
        <w:tc>
          <w:tcPr>
            <w:tcW w:w="3260" w:type="dxa"/>
            <w:tcBorders>
              <w:left w:val="single" w:color="auto" w:sz="4" w:space="0"/>
            </w:tcBorders>
            <w:vAlign w:val="center"/>
          </w:tcPr>
          <w:p>
            <w:pPr>
              <w:pStyle w:val="14"/>
              <w:rPr>
                <w:rFonts w:eastAsia="宋体"/>
                <w:color w:val="000000"/>
                <w:szCs w:val="21"/>
              </w:rPr>
            </w:pPr>
            <w:r>
              <w:rPr>
                <w:rFonts w:hint="eastAsia" w:eastAsia="宋体"/>
                <w:color w:val="000000"/>
                <w:szCs w:val="21"/>
              </w:rPr>
              <w:t>主要考核基本概念和分析化学中的误差与数据处理、容量分析方法的特点、原理及应用。</w:t>
            </w:r>
          </w:p>
        </w:tc>
        <w:tc>
          <w:tcPr>
            <w:tcW w:w="638" w:type="dxa"/>
            <w:shd w:val="clear" w:color="auto" w:fill="FFFFFF"/>
            <w:vAlign w:val="center"/>
          </w:tcPr>
          <w:p>
            <w:pPr>
              <w:pStyle w:val="14"/>
              <w:jc w:val="center"/>
              <w:rPr>
                <w:rFonts w:eastAsia="宋体"/>
                <w:color w:val="000000"/>
                <w:szCs w:val="21"/>
              </w:rPr>
            </w:pPr>
            <w:r>
              <w:rPr>
                <w:rFonts w:hint="eastAsia" w:eastAsia="宋体"/>
                <w:color w:val="000000"/>
                <w:szCs w:val="21"/>
              </w:rPr>
              <w:t>2</w:t>
            </w:r>
            <w:r>
              <w:rPr>
                <w:rFonts w:eastAsia="宋体"/>
                <w:color w:val="000000"/>
                <w:szCs w:val="21"/>
              </w:rPr>
              <w:t>.5</w:t>
            </w:r>
            <w:r>
              <w:rPr>
                <w:rFonts w:hint="eastAsia" w:eastAsia="宋体"/>
                <w:color w:val="000000"/>
                <w:szCs w:val="21"/>
              </w:rPr>
              <w:t>%</w:t>
            </w:r>
          </w:p>
        </w:tc>
        <w:tc>
          <w:tcPr>
            <w:tcW w:w="638" w:type="dxa"/>
            <w:shd w:val="clear" w:color="auto" w:fill="FFFFFF"/>
            <w:vAlign w:val="center"/>
          </w:tcPr>
          <w:p>
            <w:pPr>
              <w:pStyle w:val="14"/>
              <w:jc w:val="center"/>
              <w:rPr>
                <w:rFonts w:eastAsia="宋体"/>
                <w:color w:val="000000"/>
                <w:szCs w:val="21"/>
              </w:rPr>
            </w:pPr>
          </w:p>
        </w:tc>
        <w:tc>
          <w:tcPr>
            <w:tcW w:w="638" w:type="dxa"/>
            <w:shd w:val="clear" w:color="auto" w:fill="FFFFFF"/>
            <w:vAlign w:val="center"/>
          </w:tcPr>
          <w:p>
            <w:pPr>
              <w:pStyle w:val="14"/>
              <w:jc w:val="center"/>
              <w:rPr>
                <w:rFonts w:eastAsia="宋体"/>
                <w:color w:val="000000"/>
                <w:szCs w:val="21"/>
              </w:rPr>
            </w:pPr>
          </w:p>
        </w:tc>
        <w:tc>
          <w:tcPr>
            <w:tcW w:w="638" w:type="dxa"/>
            <w:shd w:val="clear" w:color="auto" w:fill="FFFFFF"/>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tcMar>
              <w:left w:w="57" w:type="dxa"/>
              <w:right w:w="57" w:type="dxa"/>
            </w:tcMar>
            <w:vAlign w:val="center"/>
          </w:tcPr>
          <w:p>
            <w:pPr>
              <w:pStyle w:val="14"/>
              <w:jc w:val="center"/>
              <w:rPr>
                <w:rFonts w:eastAsia="宋体"/>
              </w:rPr>
            </w:pPr>
          </w:p>
        </w:tc>
        <w:tc>
          <w:tcPr>
            <w:tcW w:w="715" w:type="dxa"/>
            <w:vMerge w:val="continue"/>
            <w:vAlign w:val="center"/>
          </w:tcPr>
          <w:p>
            <w:pPr>
              <w:pStyle w:val="14"/>
              <w:jc w:val="center"/>
              <w:rPr>
                <w:rFonts w:eastAsia="宋体"/>
              </w:rPr>
            </w:pPr>
          </w:p>
        </w:tc>
        <w:tc>
          <w:tcPr>
            <w:tcW w:w="1560" w:type="dxa"/>
            <w:tcBorders>
              <w:left w:val="single" w:color="auto" w:sz="4" w:space="0"/>
            </w:tcBorders>
            <w:vAlign w:val="center"/>
          </w:tcPr>
          <w:p>
            <w:pPr>
              <w:pStyle w:val="14"/>
              <w:jc w:val="center"/>
              <w:rPr>
                <w:rFonts w:eastAsia="宋体"/>
                <w:color w:val="000000"/>
                <w:szCs w:val="21"/>
              </w:rPr>
            </w:pPr>
            <w:r>
              <w:rPr>
                <w:rFonts w:hint="eastAsia" w:eastAsia="宋体"/>
                <w:color w:val="000000"/>
                <w:szCs w:val="21"/>
              </w:rPr>
              <w:t>简答题</w:t>
            </w:r>
          </w:p>
        </w:tc>
        <w:tc>
          <w:tcPr>
            <w:tcW w:w="3260" w:type="dxa"/>
            <w:tcBorders>
              <w:left w:val="single" w:color="auto" w:sz="4" w:space="0"/>
            </w:tcBorders>
            <w:vAlign w:val="center"/>
          </w:tcPr>
          <w:p>
            <w:pPr>
              <w:pStyle w:val="14"/>
              <w:rPr>
                <w:rFonts w:eastAsia="宋体"/>
                <w:color w:val="000000"/>
                <w:szCs w:val="21"/>
              </w:rPr>
            </w:pPr>
            <w:r>
              <w:rPr>
                <w:rFonts w:hint="eastAsia" w:eastAsia="宋体"/>
                <w:color w:val="000000"/>
                <w:szCs w:val="21"/>
              </w:rPr>
              <w:t>主要考核基本概念和分析化学中的误差与数据处理、容量分析方法的特点、原理及应用。</w:t>
            </w:r>
          </w:p>
        </w:tc>
        <w:tc>
          <w:tcPr>
            <w:tcW w:w="638" w:type="dxa"/>
            <w:shd w:val="clear" w:color="auto" w:fill="FFFFFF"/>
            <w:vAlign w:val="center"/>
          </w:tcPr>
          <w:p>
            <w:pPr>
              <w:pStyle w:val="14"/>
              <w:jc w:val="center"/>
              <w:rPr>
                <w:rFonts w:eastAsia="宋体"/>
                <w:color w:val="000000"/>
                <w:szCs w:val="21"/>
              </w:rPr>
            </w:pPr>
            <w:r>
              <w:rPr>
                <w:rFonts w:eastAsia="宋体"/>
                <w:color w:val="000000"/>
                <w:szCs w:val="21"/>
              </w:rPr>
              <w:t>2.5</w:t>
            </w:r>
            <w:r>
              <w:rPr>
                <w:rFonts w:hint="eastAsia" w:eastAsia="宋体"/>
                <w:color w:val="000000"/>
                <w:szCs w:val="21"/>
              </w:rPr>
              <w:t>%</w:t>
            </w:r>
          </w:p>
        </w:tc>
        <w:tc>
          <w:tcPr>
            <w:tcW w:w="638" w:type="dxa"/>
            <w:shd w:val="clear" w:color="auto" w:fill="FFFFFF"/>
            <w:vAlign w:val="center"/>
          </w:tcPr>
          <w:p>
            <w:pPr>
              <w:pStyle w:val="14"/>
              <w:jc w:val="center"/>
              <w:rPr>
                <w:rFonts w:eastAsia="宋体"/>
                <w:color w:val="000000"/>
                <w:szCs w:val="21"/>
              </w:rPr>
            </w:pPr>
            <w:r>
              <w:rPr>
                <w:rFonts w:hint="eastAsia" w:eastAsia="宋体"/>
                <w:color w:val="000000"/>
                <w:szCs w:val="21"/>
              </w:rPr>
              <w:t>5%</w:t>
            </w:r>
          </w:p>
        </w:tc>
        <w:tc>
          <w:tcPr>
            <w:tcW w:w="638" w:type="dxa"/>
            <w:shd w:val="clear" w:color="auto" w:fill="FFFFFF"/>
            <w:vAlign w:val="center"/>
          </w:tcPr>
          <w:p>
            <w:pPr>
              <w:pStyle w:val="14"/>
              <w:jc w:val="center"/>
              <w:rPr>
                <w:rFonts w:eastAsia="宋体"/>
                <w:color w:val="000000"/>
                <w:szCs w:val="21"/>
              </w:rPr>
            </w:pPr>
          </w:p>
        </w:tc>
        <w:tc>
          <w:tcPr>
            <w:tcW w:w="638" w:type="dxa"/>
            <w:shd w:val="clear" w:color="auto" w:fill="FFFFFF"/>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tcMar>
              <w:left w:w="57" w:type="dxa"/>
              <w:right w:w="57" w:type="dxa"/>
            </w:tcMar>
            <w:vAlign w:val="center"/>
          </w:tcPr>
          <w:p>
            <w:pPr>
              <w:pStyle w:val="14"/>
              <w:jc w:val="center"/>
              <w:rPr>
                <w:rFonts w:eastAsia="宋体"/>
              </w:rPr>
            </w:pPr>
          </w:p>
        </w:tc>
        <w:tc>
          <w:tcPr>
            <w:tcW w:w="715" w:type="dxa"/>
            <w:vMerge w:val="continue"/>
            <w:vAlign w:val="center"/>
          </w:tcPr>
          <w:p>
            <w:pPr>
              <w:pStyle w:val="14"/>
              <w:jc w:val="center"/>
              <w:rPr>
                <w:rFonts w:eastAsia="宋体"/>
              </w:rPr>
            </w:pPr>
          </w:p>
        </w:tc>
        <w:tc>
          <w:tcPr>
            <w:tcW w:w="1560" w:type="dxa"/>
            <w:tcBorders>
              <w:left w:val="single" w:color="auto" w:sz="4" w:space="0"/>
            </w:tcBorders>
            <w:vAlign w:val="center"/>
          </w:tcPr>
          <w:p>
            <w:pPr>
              <w:pStyle w:val="14"/>
              <w:jc w:val="center"/>
              <w:rPr>
                <w:rFonts w:eastAsia="宋体"/>
                <w:color w:val="000000"/>
                <w:szCs w:val="21"/>
              </w:rPr>
            </w:pPr>
            <w:r>
              <w:rPr>
                <w:rFonts w:hint="eastAsia" w:eastAsia="宋体"/>
                <w:color w:val="000000"/>
                <w:szCs w:val="21"/>
              </w:rPr>
              <w:t>计算</w:t>
            </w:r>
            <w:r>
              <w:rPr>
                <w:rFonts w:eastAsia="宋体"/>
                <w:color w:val="000000"/>
                <w:szCs w:val="21"/>
              </w:rPr>
              <w:t>题</w:t>
            </w:r>
          </w:p>
        </w:tc>
        <w:tc>
          <w:tcPr>
            <w:tcW w:w="3260" w:type="dxa"/>
            <w:tcBorders>
              <w:left w:val="single" w:color="auto" w:sz="4" w:space="0"/>
              <w:bottom w:val="single" w:color="auto" w:sz="4" w:space="0"/>
            </w:tcBorders>
            <w:vAlign w:val="center"/>
          </w:tcPr>
          <w:p>
            <w:pPr>
              <w:pStyle w:val="14"/>
              <w:rPr>
                <w:rFonts w:eastAsia="宋体"/>
                <w:color w:val="000000"/>
                <w:szCs w:val="21"/>
              </w:rPr>
            </w:pPr>
            <w:r>
              <w:rPr>
                <w:rFonts w:hint="eastAsia" w:eastAsia="宋体"/>
                <w:color w:val="000000"/>
                <w:szCs w:val="21"/>
              </w:rPr>
              <w:t>主要考核数据处理、方法应用</w:t>
            </w:r>
          </w:p>
        </w:tc>
        <w:tc>
          <w:tcPr>
            <w:tcW w:w="638" w:type="dxa"/>
            <w:shd w:val="clear" w:color="auto" w:fill="FFFFFF"/>
            <w:vAlign w:val="center"/>
          </w:tcPr>
          <w:p>
            <w:pPr>
              <w:pStyle w:val="14"/>
              <w:jc w:val="center"/>
              <w:rPr>
                <w:rFonts w:eastAsia="宋体"/>
                <w:color w:val="000000"/>
                <w:szCs w:val="21"/>
              </w:rPr>
            </w:pPr>
          </w:p>
        </w:tc>
        <w:tc>
          <w:tcPr>
            <w:tcW w:w="638" w:type="dxa"/>
            <w:shd w:val="clear" w:color="auto" w:fill="FFFFFF"/>
            <w:vAlign w:val="center"/>
          </w:tcPr>
          <w:p>
            <w:pPr>
              <w:pStyle w:val="14"/>
              <w:jc w:val="center"/>
              <w:rPr>
                <w:rFonts w:eastAsia="宋体"/>
                <w:color w:val="000000"/>
                <w:szCs w:val="21"/>
              </w:rPr>
            </w:pPr>
            <w:r>
              <w:rPr>
                <w:rFonts w:hint="eastAsia" w:eastAsia="宋体"/>
                <w:color w:val="000000"/>
                <w:szCs w:val="21"/>
              </w:rPr>
              <w:t>5%</w:t>
            </w:r>
          </w:p>
        </w:tc>
        <w:tc>
          <w:tcPr>
            <w:tcW w:w="638" w:type="dxa"/>
            <w:shd w:val="clear" w:color="auto" w:fill="FFFFFF"/>
            <w:vAlign w:val="center"/>
          </w:tcPr>
          <w:p>
            <w:pPr>
              <w:pStyle w:val="14"/>
              <w:jc w:val="center"/>
              <w:rPr>
                <w:rFonts w:eastAsia="宋体"/>
                <w:color w:val="000000"/>
                <w:szCs w:val="21"/>
              </w:rPr>
            </w:pPr>
            <w:r>
              <w:rPr>
                <w:rFonts w:hint="eastAsia" w:eastAsia="宋体"/>
                <w:color w:val="000000"/>
                <w:szCs w:val="21"/>
              </w:rPr>
              <w:t>5%</w:t>
            </w:r>
          </w:p>
        </w:tc>
        <w:tc>
          <w:tcPr>
            <w:tcW w:w="638" w:type="dxa"/>
            <w:shd w:val="clear" w:color="auto" w:fill="FFFFFF"/>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043" w:type="dxa"/>
            <w:tcMar>
              <w:left w:w="57" w:type="dxa"/>
              <w:right w:w="57" w:type="dxa"/>
            </w:tcMar>
            <w:vAlign w:val="center"/>
          </w:tcPr>
          <w:p>
            <w:pPr>
              <w:pStyle w:val="14"/>
              <w:jc w:val="center"/>
              <w:rPr>
                <w:rFonts w:eastAsia="宋体"/>
              </w:rPr>
            </w:pPr>
            <w:r>
              <w:rPr>
                <w:rFonts w:hint="eastAsia" w:eastAsia="宋体"/>
              </w:rPr>
              <w:t>合    计</w:t>
            </w:r>
          </w:p>
        </w:tc>
        <w:tc>
          <w:tcPr>
            <w:tcW w:w="715" w:type="dxa"/>
            <w:vAlign w:val="center"/>
          </w:tcPr>
          <w:p>
            <w:pPr>
              <w:pStyle w:val="14"/>
              <w:jc w:val="center"/>
              <w:rPr>
                <w:rFonts w:eastAsia="宋体"/>
              </w:rPr>
            </w:pPr>
            <w:r>
              <w:rPr>
                <w:rFonts w:hint="eastAsia" w:eastAsia="宋体"/>
              </w:rPr>
              <w:t>100%</w:t>
            </w:r>
          </w:p>
        </w:tc>
        <w:tc>
          <w:tcPr>
            <w:tcW w:w="4820" w:type="dxa"/>
            <w:gridSpan w:val="2"/>
            <w:tcBorders>
              <w:left w:val="single" w:color="auto" w:sz="4" w:space="0"/>
            </w:tcBorders>
            <w:vAlign w:val="center"/>
          </w:tcPr>
          <w:p>
            <w:pPr>
              <w:pStyle w:val="14"/>
              <w:rPr>
                <w:rFonts w:eastAsia="宋体"/>
                <w:color w:val="000000"/>
                <w:szCs w:val="21"/>
              </w:rPr>
            </w:pPr>
          </w:p>
        </w:tc>
        <w:tc>
          <w:tcPr>
            <w:tcW w:w="638" w:type="dxa"/>
            <w:shd w:val="clear" w:color="auto" w:fill="FFFFFF"/>
            <w:vAlign w:val="center"/>
          </w:tcPr>
          <w:p>
            <w:pPr>
              <w:pStyle w:val="14"/>
              <w:jc w:val="center"/>
              <w:rPr>
                <w:rFonts w:eastAsia="宋体"/>
                <w:color w:val="000000"/>
                <w:szCs w:val="21"/>
              </w:rPr>
            </w:pPr>
            <w:r>
              <w:rPr>
                <w:rFonts w:hint="eastAsia" w:eastAsia="宋体"/>
                <w:color w:val="000000"/>
                <w:szCs w:val="21"/>
              </w:rPr>
              <w:t>45%</w:t>
            </w:r>
          </w:p>
        </w:tc>
        <w:tc>
          <w:tcPr>
            <w:tcW w:w="638" w:type="dxa"/>
            <w:shd w:val="clear" w:color="auto" w:fill="FFFFFF"/>
            <w:vAlign w:val="center"/>
          </w:tcPr>
          <w:p>
            <w:pPr>
              <w:pStyle w:val="14"/>
              <w:jc w:val="center"/>
              <w:rPr>
                <w:rFonts w:eastAsia="宋体"/>
                <w:color w:val="000000"/>
                <w:szCs w:val="21"/>
              </w:rPr>
            </w:pPr>
            <w:r>
              <w:rPr>
                <w:rFonts w:eastAsia="宋体"/>
                <w:color w:val="000000"/>
                <w:szCs w:val="21"/>
              </w:rPr>
              <w:t>45</w:t>
            </w:r>
            <w:r>
              <w:rPr>
                <w:rFonts w:hint="eastAsia" w:eastAsia="宋体"/>
                <w:color w:val="000000"/>
                <w:szCs w:val="21"/>
              </w:rPr>
              <w:t>%</w:t>
            </w:r>
          </w:p>
        </w:tc>
        <w:tc>
          <w:tcPr>
            <w:tcW w:w="638" w:type="dxa"/>
            <w:shd w:val="clear" w:color="auto" w:fill="FFFFFF"/>
            <w:vAlign w:val="center"/>
          </w:tcPr>
          <w:p>
            <w:pPr>
              <w:pStyle w:val="14"/>
              <w:jc w:val="center"/>
              <w:rPr>
                <w:rFonts w:eastAsia="宋体"/>
                <w:color w:val="000000"/>
                <w:szCs w:val="21"/>
              </w:rPr>
            </w:pPr>
            <w:r>
              <w:rPr>
                <w:rFonts w:eastAsia="宋体"/>
                <w:color w:val="000000"/>
                <w:szCs w:val="21"/>
              </w:rPr>
              <w:t>10</w:t>
            </w:r>
            <w:r>
              <w:rPr>
                <w:rFonts w:hint="eastAsia" w:eastAsia="宋体"/>
                <w:color w:val="000000"/>
                <w:szCs w:val="21"/>
              </w:rPr>
              <w:t>%</w:t>
            </w:r>
          </w:p>
        </w:tc>
        <w:tc>
          <w:tcPr>
            <w:tcW w:w="638" w:type="dxa"/>
            <w:shd w:val="clear" w:color="auto" w:fill="FFFFFF"/>
            <w:vAlign w:val="center"/>
          </w:tcPr>
          <w:p>
            <w:pPr>
              <w:pStyle w:val="14"/>
              <w:jc w:val="center"/>
              <w:rPr>
                <w:rFonts w:eastAsia="宋体"/>
                <w:color w:val="000000"/>
                <w:szCs w:val="21"/>
              </w:rPr>
            </w:pPr>
          </w:p>
        </w:tc>
      </w:tr>
    </w:tbl>
    <w:p>
      <w:pPr>
        <w:spacing w:line="360" w:lineRule="auto"/>
        <w:rPr>
          <w:sz w:val="24"/>
          <w:szCs w:val="22"/>
        </w:rPr>
      </w:pPr>
      <w:r>
        <w:rPr>
          <w:rFonts w:hint="eastAsia"/>
          <w:sz w:val="24"/>
          <w:szCs w:val="22"/>
        </w:rPr>
        <w:t xml:space="preserve">备注：1. </w:t>
      </w:r>
      <w:r>
        <w:rPr>
          <w:sz w:val="24"/>
          <w:szCs w:val="22"/>
        </w:rPr>
        <w:t>课程目标达成度计算方法如下：</w:t>
      </w:r>
    </w:p>
    <w:p>
      <w:pPr>
        <w:spacing w:line="360" w:lineRule="auto"/>
        <w:jc w:val="center"/>
        <w:rPr>
          <w:sz w:val="24"/>
          <w:szCs w:val="22"/>
        </w:rPr>
      </w:pPr>
      <w:r>
        <w:rPr>
          <w:position w:val="-26"/>
          <w:sz w:val="24"/>
          <w:szCs w:val="22"/>
        </w:rPr>
        <w:object>
          <v:shape id="_x0000_i1025" o:spt="75" type="#_x0000_t75" style="height:32.25pt;width:336.75pt;" o:ole="t" filled="f" o:preferrelative="t" stroked="f" coordsize="21600,21600">
            <v:path/>
            <v:fill on="f" focussize="0,0"/>
            <v:stroke on="f" joinstyle="miter"/>
            <v:imagedata r:id="rId20" o:title=""/>
            <o:lock v:ext="edit" aspectratio="t"/>
            <w10:wrap type="none"/>
            <w10:anchorlock/>
          </v:shape>
          <o:OLEObject Type="Embed" ProgID="Equation.DSMT4" ShapeID="_x0000_i1025" DrawAspect="Content" ObjectID="_1468075725" r:id="rId19">
            <o:LockedField>false</o:LockedField>
          </o:OLEObject>
        </w:object>
      </w:r>
    </w:p>
    <w:p>
      <w:pPr>
        <w:spacing w:line="360" w:lineRule="auto"/>
        <w:ind w:firstLine="720" w:firstLineChars="300"/>
        <w:rPr>
          <w:sz w:val="24"/>
          <w:szCs w:val="22"/>
        </w:rPr>
      </w:pPr>
      <w:r>
        <w:rPr>
          <w:rFonts w:hint="eastAsia"/>
          <w:sz w:val="24"/>
          <w:szCs w:val="22"/>
        </w:rPr>
        <w:t>2. 作业包括课后习题、调研报告、课程论文、案例分析、小作品、小设计、网络课堂学习等等。</w:t>
      </w:r>
    </w:p>
    <w:p>
      <w:pPr>
        <w:spacing w:line="360" w:lineRule="auto"/>
        <w:rPr>
          <w:b/>
          <w:sz w:val="28"/>
          <w:szCs w:val="28"/>
        </w:rPr>
      </w:pPr>
      <w:r>
        <w:rPr>
          <w:b/>
          <w:sz w:val="28"/>
          <w:szCs w:val="28"/>
        </w:rPr>
        <w:t>六、</w:t>
      </w:r>
      <w:r>
        <w:rPr>
          <w:rFonts w:hint="eastAsia"/>
          <w:b/>
          <w:sz w:val="28"/>
          <w:szCs w:val="28"/>
        </w:rPr>
        <w:t>有关说明</w:t>
      </w:r>
    </w:p>
    <w:p>
      <w:pPr>
        <w:spacing w:line="360" w:lineRule="auto"/>
        <w:ind w:firstLine="482" w:firstLineChars="200"/>
        <w:rPr>
          <w:b/>
          <w:color w:val="000000"/>
          <w:sz w:val="24"/>
        </w:rPr>
      </w:pPr>
      <w:r>
        <w:rPr>
          <w:rFonts w:hint="eastAsia"/>
          <w:b/>
          <w:color w:val="000000"/>
          <w:sz w:val="24"/>
        </w:rPr>
        <w:t>（一）持续改进</w:t>
      </w:r>
    </w:p>
    <w:p>
      <w:pPr>
        <w:autoSpaceDE w:val="0"/>
        <w:autoSpaceDN w:val="0"/>
        <w:adjustRightInd w:val="0"/>
        <w:spacing w:line="360" w:lineRule="auto"/>
        <w:ind w:firstLine="480" w:firstLineChars="200"/>
        <w:jc w:val="left"/>
        <w:rPr>
          <w:kern w:val="0"/>
          <w:sz w:val="24"/>
          <w:szCs w:val="21"/>
        </w:rPr>
      </w:pPr>
      <w:r>
        <w:rPr>
          <w:rFonts w:hint="eastAsia"/>
          <w:kern w:val="0"/>
          <w:sz w:val="24"/>
          <w:szCs w:val="21"/>
        </w:rPr>
        <w:t>本课程根据课后作业、练习、考勤、期末考试等考核情况，以及学生、教学督导的反馈意见，及时对教学中不足之处进行改进，并在下一轮课程教学中改进提高。针对课程目标设计出课程考核的方式、内容和评分标准，确保课程内容与教学方式能有效实现课程目标，使得考核结果能够证明课程目标达成。</w:t>
      </w:r>
    </w:p>
    <w:p>
      <w:pPr>
        <w:spacing w:line="360" w:lineRule="auto"/>
        <w:ind w:firstLine="482" w:firstLineChars="200"/>
        <w:rPr>
          <w:b/>
          <w:color w:val="000000"/>
          <w:sz w:val="24"/>
        </w:rPr>
      </w:pPr>
      <w:r>
        <w:rPr>
          <w:rFonts w:hint="eastAsia"/>
          <w:b/>
          <w:color w:val="000000"/>
          <w:sz w:val="24"/>
        </w:rPr>
        <w:t>（二）</w:t>
      </w:r>
      <w:r>
        <w:rPr>
          <w:b/>
          <w:color w:val="000000"/>
          <w:sz w:val="24"/>
        </w:rPr>
        <w:t>参考书目及学习资料</w:t>
      </w:r>
    </w:p>
    <w:p>
      <w:pPr>
        <w:autoSpaceDE w:val="0"/>
        <w:autoSpaceDN w:val="0"/>
        <w:adjustRightInd w:val="0"/>
        <w:spacing w:line="360" w:lineRule="auto"/>
        <w:ind w:firstLine="480" w:firstLineChars="200"/>
        <w:rPr>
          <w:kern w:val="0"/>
          <w:sz w:val="24"/>
          <w:szCs w:val="21"/>
        </w:rPr>
      </w:pPr>
      <w:r>
        <w:rPr>
          <w:rFonts w:hint="eastAsia"/>
          <w:kern w:val="0"/>
          <w:sz w:val="24"/>
          <w:szCs w:val="21"/>
        </w:rPr>
        <w:t>[</w:t>
      </w:r>
      <w:r>
        <w:rPr>
          <w:kern w:val="0"/>
          <w:sz w:val="24"/>
          <w:szCs w:val="21"/>
        </w:rPr>
        <w:t>1</w:t>
      </w:r>
      <w:r>
        <w:rPr>
          <w:rFonts w:hint="eastAsia"/>
          <w:kern w:val="0"/>
          <w:sz w:val="24"/>
          <w:szCs w:val="21"/>
        </w:rPr>
        <w:t>] 武汉大学 ，《分析化学（第</w:t>
      </w:r>
      <w:r>
        <w:rPr>
          <w:kern w:val="0"/>
          <w:sz w:val="24"/>
          <w:szCs w:val="21"/>
        </w:rPr>
        <w:t>6</w:t>
      </w:r>
      <w:r>
        <w:rPr>
          <w:rFonts w:hint="eastAsia"/>
          <w:kern w:val="0"/>
          <w:sz w:val="24"/>
          <w:szCs w:val="21"/>
        </w:rPr>
        <w:t>版）》，北京：高等教育出版社，20</w:t>
      </w:r>
      <w:r>
        <w:rPr>
          <w:kern w:val="0"/>
          <w:sz w:val="24"/>
          <w:szCs w:val="21"/>
        </w:rPr>
        <w:t>16</w:t>
      </w:r>
    </w:p>
    <w:p>
      <w:pPr>
        <w:autoSpaceDE w:val="0"/>
        <w:autoSpaceDN w:val="0"/>
        <w:adjustRightInd w:val="0"/>
        <w:spacing w:line="360" w:lineRule="auto"/>
        <w:ind w:firstLine="480" w:firstLineChars="200"/>
        <w:rPr>
          <w:kern w:val="0"/>
          <w:sz w:val="24"/>
          <w:szCs w:val="21"/>
        </w:rPr>
      </w:pPr>
      <w:r>
        <w:rPr>
          <w:rFonts w:hint="eastAsia"/>
          <w:kern w:val="0"/>
          <w:sz w:val="24"/>
          <w:szCs w:val="21"/>
        </w:rPr>
        <w:t>[</w:t>
      </w:r>
      <w:r>
        <w:rPr>
          <w:kern w:val="0"/>
          <w:sz w:val="24"/>
          <w:szCs w:val="21"/>
        </w:rPr>
        <w:t>2</w:t>
      </w:r>
      <w:r>
        <w:rPr>
          <w:rFonts w:hint="eastAsia"/>
          <w:kern w:val="0"/>
          <w:sz w:val="24"/>
          <w:szCs w:val="21"/>
        </w:rPr>
        <w:t>] 华中师大等，《分析化学（第</w:t>
      </w:r>
      <w:r>
        <w:rPr>
          <w:kern w:val="0"/>
          <w:sz w:val="24"/>
          <w:szCs w:val="21"/>
        </w:rPr>
        <w:t>4</w:t>
      </w:r>
      <w:r>
        <w:rPr>
          <w:rFonts w:hint="eastAsia"/>
          <w:kern w:val="0"/>
          <w:sz w:val="24"/>
          <w:szCs w:val="21"/>
        </w:rPr>
        <w:t>版）》，北京：高等教育出版社，20</w:t>
      </w:r>
      <w:r>
        <w:rPr>
          <w:kern w:val="0"/>
          <w:sz w:val="24"/>
          <w:szCs w:val="21"/>
        </w:rPr>
        <w:t>15</w:t>
      </w:r>
    </w:p>
    <w:p>
      <w:pPr>
        <w:autoSpaceDE w:val="0"/>
        <w:autoSpaceDN w:val="0"/>
        <w:adjustRightInd w:val="0"/>
        <w:spacing w:line="360" w:lineRule="auto"/>
        <w:ind w:firstLine="480" w:firstLineChars="200"/>
        <w:rPr>
          <w:kern w:val="0"/>
          <w:sz w:val="24"/>
          <w:szCs w:val="21"/>
        </w:rPr>
      </w:pPr>
      <w:r>
        <w:rPr>
          <w:rFonts w:hint="eastAsia"/>
          <w:kern w:val="0"/>
          <w:sz w:val="24"/>
          <w:szCs w:val="21"/>
        </w:rPr>
        <w:t>[3]</w:t>
      </w:r>
      <w:r>
        <w:rPr>
          <w:kern w:val="0"/>
          <w:sz w:val="24"/>
          <w:szCs w:val="21"/>
        </w:rPr>
        <w:t xml:space="preserve"> </w:t>
      </w:r>
      <w:r>
        <w:rPr>
          <w:rFonts w:hint="eastAsia"/>
          <w:kern w:val="0"/>
          <w:sz w:val="24"/>
          <w:szCs w:val="21"/>
        </w:rPr>
        <w:t>吴性良，</w:t>
      </w:r>
      <w:r>
        <w:rPr>
          <w:kern w:val="0"/>
          <w:sz w:val="24"/>
          <w:szCs w:val="21"/>
        </w:rPr>
        <w:t>《</w:t>
      </w:r>
      <w:r>
        <w:rPr>
          <w:rFonts w:hint="eastAsia"/>
          <w:kern w:val="0"/>
          <w:sz w:val="24"/>
          <w:szCs w:val="21"/>
        </w:rPr>
        <w:t>分析化学原理</w:t>
      </w:r>
      <w:r>
        <w:rPr>
          <w:kern w:val="0"/>
          <w:sz w:val="24"/>
          <w:szCs w:val="21"/>
        </w:rPr>
        <w:t>》</w:t>
      </w:r>
      <w:r>
        <w:rPr>
          <w:rFonts w:hint="eastAsia"/>
          <w:kern w:val="0"/>
          <w:sz w:val="24"/>
          <w:szCs w:val="21"/>
        </w:rPr>
        <w:t>，北京：化学工业出版社，200</w:t>
      </w:r>
      <w:r>
        <w:rPr>
          <w:kern w:val="0"/>
          <w:sz w:val="24"/>
          <w:szCs w:val="21"/>
        </w:rPr>
        <w:t>4</w:t>
      </w:r>
    </w:p>
    <w:p>
      <w:pPr>
        <w:autoSpaceDE w:val="0"/>
        <w:autoSpaceDN w:val="0"/>
        <w:adjustRightInd w:val="0"/>
        <w:spacing w:line="360" w:lineRule="auto"/>
        <w:ind w:right="480"/>
        <w:jc w:val="right"/>
        <w:rPr>
          <w:kern w:val="0"/>
          <w:sz w:val="24"/>
          <w:szCs w:val="21"/>
        </w:rPr>
      </w:pPr>
    </w:p>
    <w:p>
      <w:pPr>
        <w:autoSpaceDE w:val="0"/>
        <w:autoSpaceDN w:val="0"/>
        <w:adjustRightInd w:val="0"/>
        <w:spacing w:line="360" w:lineRule="auto"/>
        <w:ind w:right="480"/>
        <w:jc w:val="right"/>
        <w:rPr>
          <w:kern w:val="0"/>
          <w:sz w:val="24"/>
          <w:szCs w:val="21"/>
        </w:rPr>
      </w:pPr>
    </w:p>
    <w:p>
      <w:pPr>
        <w:autoSpaceDE w:val="0"/>
        <w:autoSpaceDN w:val="0"/>
        <w:adjustRightInd w:val="0"/>
        <w:spacing w:line="360" w:lineRule="auto"/>
        <w:ind w:right="480"/>
        <w:jc w:val="right"/>
        <w:rPr>
          <w:kern w:val="0"/>
          <w:sz w:val="24"/>
          <w:szCs w:val="21"/>
        </w:rPr>
      </w:pPr>
    </w:p>
    <w:p>
      <w:pPr>
        <w:autoSpaceDE w:val="0"/>
        <w:autoSpaceDN w:val="0"/>
        <w:adjustRightInd w:val="0"/>
        <w:spacing w:line="360" w:lineRule="auto"/>
        <w:ind w:right="480"/>
        <w:jc w:val="right"/>
        <w:rPr>
          <w:kern w:val="0"/>
          <w:sz w:val="24"/>
          <w:szCs w:val="21"/>
        </w:rPr>
      </w:pPr>
      <w:r>
        <w:rPr>
          <w:kern w:val="0"/>
          <w:sz w:val="24"/>
          <w:szCs w:val="21"/>
        </w:rPr>
        <w:t>执笔人：</w:t>
      </w:r>
      <w:r>
        <w:rPr>
          <w:rFonts w:hint="eastAsia"/>
          <w:kern w:val="0"/>
          <w:sz w:val="24"/>
          <w:szCs w:val="21"/>
        </w:rPr>
        <w:t>壮亚峰</w:t>
      </w:r>
    </w:p>
    <w:p>
      <w:pPr>
        <w:wordWrap w:val="0"/>
        <w:autoSpaceDE w:val="0"/>
        <w:autoSpaceDN w:val="0"/>
        <w:adjustRightInd w:val="0"/>
        <w:spacing w:line="360" w:lineRule="auto"/>
        <w:ind w:right="480"/>
        <w:jc w:val="right"/>
        <w:rPr>
          <w:kern w:val="0"/>
          <w:sz w:val="24"/>
          <w:szCs w:val="21"/>
        </w:rPr>
      </w:pPr>
      <w:r>
        <w:rPr>
          <w:kern w:val="0"/>
          <w:sz w:val="24"/>
          <w:szCs w:val="21"/>
        </w:rPr>
        <w:t>审定人：</w:t>
      </w:r>
      <w:r>
        <w:rPr>
          <w:rFonts w:hint="eastAsia"/>
          <w:kern w:val="0"/>
          <w:sz w:val="24"/>
          <w:szCs w:val="21"/>
        </w:rPr>
        <w:t>魏雪姣</w:t>
      </w:r>
    </w:p>
    <w:p>
      <w:pPr>
        <w:wordWrap w:val="0"/>
        <w:autoSpaceDE w:val="0"/>
        <w:autoSpaceDN w:val="0"/>
        <w:adjustRightInd w:val="0"/>
        <w:spacing w:line="360" w:lineRule="auto"/>
        <w:ind w:right="480"/>
        <w:jc w:val="right"/>
        <w:rPr>
          <w:kern w:val="0"/>
          <w:sz w:val="24"/>
          <w:szCs w:val="21"/>
        </w:rPr>
      </w:pPr>
      <w:r>
        <w:rPr>
          <w:kern w:val="0"/>
          <w:sz w:val="24"/>
          <w:szCs w:val="21"/>
        </w:rPr>
        <w:t>审批人：</w:t>
      </w:r>
      <w:r>
        <w:rPr>
          <w:rFonts w:hint="eastAsia"/>
          <w:kern w:val="0"/>
          <w:sz w:val="24"/>
          <w:szCs w:val="21"/>
        </w:rPr>
        <w:t>吴泽颖</w:t>
      </w:r>
    </w:p>
    <w:p>
      <w:pPr>
        <w:autoSpaceDE w:val="0"/>
        <w:autoSpaceDN w:val="0"/>
        <w:adjustRightInd w:val="0"/>
        <w:spacing w:line="360" w:lineRule="auto"/>
        <w:ind w:right="480"/>
        <w:jc w:val="right"/>
        <w:rPr>
          <w:sz w:val="24"/>
        </w:rPr>
      </w:pPr>
      <w:r>
        <w:rPr>
          <w:rFonts w:hint="eastAsia"/>
          <w:kern w:val="0"/>
          <w:sz w:val="24"/>
          <w:szCs w:val="21"/>
        </w:rPr>
        <w:t>202</w:t>
      </w:r>
      <w:r>
        <w:rPr>
          <w:kern w:val="0"/>
          <w:sz w:val="24"/>
          <w:szCs w:val="21"/>
        </w:rPr>
        <w:t>1</w:t>
      </w:r>
      <w:r>
        <w:rPr>
          <w:rFonts w:hint="eastAsia"/>
          <w:kern w:val="0"/>
          <w:sz w:val="24"/>
          <w:szCs w:val="21"/>
        </w:rPr>
        <w:t>年</w:t>
      </w:r>
      <w:r>
        <w:rPr>
          <w:kern w:val="0"/>
          <w:sz w:val="24"/>
          <w:szCs w:val="21"/>
        </w:rPr>
        <w:t>8</w:t>
      </w:r>
      <w:r>
        <w:rPr>
          <w:rFonts w:hint="eastAsia"/>
          <w:kern w:val="0"/>
          <w:sz w:val="24"/>
          <w:szCs w:val="21"/>
        </w:rPr>
        <w:t>月20日</w:t>
      </w:r>
    </w:p>
    <w:p/>
    <w:p>
      <w:pPr>
        <w:autoSpaceDE w:val="0"/>
        <w:autoSpaceDN w:val="0"/>
        <w:adjustRightInd w:val="0"/>
        <w:spacing w:line="360" w:lineRule="auto"/>
        <w:rPr>
          <w:rFonts w:hint="eastAsia"/>
          <w:kern w:val="0"/>
          <w:sz w:val="24"/>
          <w:szCs w:val="24"/>
        </w:rPr>
      </w:pPr>
    </w:p>
    <w:p>
      <w:pPr>
        <w:autoSpaceDE w:val="0"/>
        <w:autoSpaceDN w:val="0"/>
        <w:adjustRightInd w:val="0"/>
        <w:spacing w:line="360" w:lineRule="auto"/>
        <w:rPr>
          <w:rFonts w:hint="eastAsia"/>
          <w:kern w:val="0"/>
          <w:sz w:val="24"/>
          <w:szCs w:val="24"/>
        </w:rPr>
      </w:pPr>
    </w:p>
    <w:p>
      <w:pPr>
        <w:autoSpaceDE w:val="0"/>
        <w:autoSpaceDN w:val="0"/>
        <w:adjustRightInd w:val="0"/>
        <w:spacing w:line="360" w:lineRule="auto"/>
        <w:rPr>
          <w:rFonts w:hint="eastAsia"/>
          <w:kern w:val="0"/>
          <w:sz w:val="24"/>
          <w:szCs w:val="24"/>
        </w:rPr>
      </w:pPr>
    </w:p>
    <w:p>
      <w:pPr>
        <w:autoSpaceDE w:val="0"/>
        <w:autoSpaceDN w:val="0"/>
        <w:adjustRightInd w:val="0"/>
        <w:spacing w:line="360" w:lineRule="auto"/>
        <w:rPr>
          <w:rFonts w:hint="eastAsia"/>
          <w:kern w:val="0"/>
          <w:sz w:val="24"/>
          <w:szCs w:val="24"/>
        </w:rPr>
      </w:pPr>
    </w:p>
    <w:p>
      <w:pPr>
        <w:autoSpaceDE w:val="0"/>
        <w:autoSpaceDN w:val="0"/>
        <w:adjustRightInd w:val="0"/>
        <w:spacing w:line="360" w:lineRule="auto"/>
        <w:rPr>
          <w:rFonts w:hint="eastAsia"/>
          <w:kern w:val="0"/>
          <w:sz w:val="24"/>
          <w:szCs w:val="24"/>
        </w:rPr>
      </w:pPr>
    </w:p>
    <w:p>
      <w:pPr>
        <w:autoSpaceDE w:val="0"/>
        <w:autoSpaceDN w:val="0"/>
        <w:adjustRightInd w:val="0"/>
        <w:spacing w:line="360" w:lineRule="auto"/>
        <w:rPr>
          <w:rFonts w:hint="eastAsia"/>
          <w:kern w:val="0"/>
          <w:sz w:val="24"/>
          <w:szCs w:val="24"/>
        </w:rPr>
      </w:pPr>
    </w:p>
    <w:p>
      <w:pPr>
        <w:autoSpaceDE w:val="0"/>
        <w:autoSpaceDN w:val="0"/>
        <w:adjustRightInd w:val="0"/>
        <w:spacing w:line="360" w:lineRule="auto"/>
        <w:rPr>
          <w:rFonts w:hint="eastAsia"/>
          <w:kern w:val="0"/>
          <w:sz w:val="24"/>
          <w:szCs w:val="24"/>
        </w:rPr>
      </w:pPr>
    </w:p>
    <w:p>
      <w:pPr>
        <w:autoSpaceDE w:val="0"/>
        <w:autoSpaceDN w:val="0"/>
        <w:adjustRightInd w:val="0"/>
        <w:spacing w:line="360" w:lineRule="auto"/>
        <w:rPr>
          <w:rFonts w:hint="eastAsia"/>
          <w:kern w:val="0"/>
          <w:sz w:val="24"/>
          <w:szCs w:val="24"/>
        </w:rPr>
      </w:pPr>
    </w:p>
    <w:p>
      <w:pPr>
        <w:autoSpaceDE w:val="0"/>
        <w:autoSpaceDN w:val="0"/>
        <w:adjustRightInd w:val="0"/>
        <w:spacing w:line="360" w:lineRule="auto"/>
        <w:rPr>
          <w:rFonts w:hint="eastAsia"/>
          <w:kern w:val="0"/>
          <w:sz w:val="24"/>
          <w:szCs w:val="24"/>
        </w:rPr>
      </w:pPr>
    </w:p>
    <w:p>
      <w:pPr>
        <w:autoSpaceDE w:val="0"/>
        <w:autoSpaceDN w:val="0"/>
        <w:adjustRightInd w:val="0"/>
        <w:spacing w:line="360" w:lineRule="auto"/>
        <w:rPr>
          <w:rFonts w:hint="eastAsia"/>
          <w:kern w:val="0"/>
          <w:sz w:val="24"/>
          <w:szCs w:val="24"/>
        </w:rPr>
      </w:pPr>
    </w:p>
    <w:p>
      <w:pPr>
        <w:autoSpaceDE w:val="0"/>
        <w:autoSpaceDN w:val="0"/>
        <w:adjustRightInd w:val="0"/>
        <w:spacing w:line="360" w:lineRule="auto"/>
        <w:rPr>
          <w:rFonts w:hint="eastAsia"/>
          <w:kern w:val="0"/>
          <w:sz w:val="24"/>
          <w:szCs w:val="24"/>
        </w:rPr>
      </w:pPr>
    </w:p>
    <w:p>
      <w:pPr>
        <w:autoSpaceDE w:val="0"/>
        <w:autoSpaceDN w:val="0"/>
        <w:adjustRightInd w:val="0"/>
        <w:spacing w:line="360" w:lineRule="auto"/>
        <w:rPr>
          <w:rFonts w:hint="eastAsia"/>
          <w:kern w:val="0"/>
          <w:sz w:val="24"/>
          <w:szCs w:val="24"/>
        </w:rPr>
      </w:pPr>
    </w:p>
    <w:p>
      <w:pPr>
        <w:autoSpaceDE w:val="0"/>
        <w:autoSpaceDN w:val="0"/>
        <w:adjustRightInd w:val="0"/>
        <w:spacing w:line="360" w:lineRule="auto"/>
        <w:rPr>
          <w:rFonts w:hint="eastAsia"/>
          <w:kern w:val="0"/>
          <w:sz w:val="24"/>
          <w:szCs w:val="24"/>
        </w:rPr>
      </w:pPr>
    </w:p>
    <w:p>
      <w:pPr>
        <w:autoSpaceDE w:val="0"/>
        <w:autoSpaceDN w:val="0"/>
        <w:adjustRightInd w:val="0"/>
        <w:spacing w:line="360" w:lineRule="auto"/>
        <w:rPr>
          <w:rFonts w:hint="eastAsia"/>
          <w:kern w:val="0"/>
          <w:sz w:val="24"/>
          <w:szCs w:val="24"/>
        </w:rPr>
      </w:pPr>
    </w:p>
    <w:p>
      <w:pPr>
        <w:autoSpaceDE w:val="0"/>
        <w:autoSpaceDN w:val="0"/>
        <w:adjustRightInd w:val="0"/>
        <w:spacing w:line="360" w:lineRule="auto"/>
        <w:rPr>
          <w:rFonts w:hint="eastAsia"/>
          <w:kern w:val="0"/>
          <w:sz w:val="24"/>
          <w:szCs w:val="24"/>
        </w:rPr>
      </w:pPr>
    </w:p>
    <w:p>
      <w:pPr>
        <w:autoSpaceDE w:val="0"/>
        <w:autoSpaceDN w:val="0"/>
        <w:adjustRightInd w:val="0"/>
        <w:spacing w:line="360" w:lineRule="auto"/>
        <w:rPr>
          <w:rFonts w:hint="eastAsia"/>
          <w:kern w:val="0"/>
          <w:sz w:val="24"/>
          <w:szCs w:val="24"/>
        </w:rPr>
      </w:pPr>
    </w:p>
    <w:p>
      <w:pPr>
        <w:autoSpaceDE w:val="0"/>
        <w:autoSpaceDN w:val="0"/>
        <w:adjustRightInd w:val="0"/>
        <w:spacing w:line="360" w:lineRule="auto"/>
        <w:rPr>
          <w:rFonts w:hint="eastAsia"/>
          <w:kern w:val="0"/>
          <w:sz w:val="24"/>
          <w:szCs w:val="24"/>
        </w:rPr>
      </w:pPr>
    </w:p>
    <w:p>
      <w:pPr>
        <w:autoSpaceDE w:val="0"/>
        <w:autoSpaceDN w:val="0"/>
        <w:adjustRightInd w:val="0"/>
        <w:spacing w:line="360" w:lineRule="auto"/>
        <w:rPr>
          <w:rFonts w:hint="eastAsia"/>
          <w:kern w:val="0"/>
          <w:sz w:val="24"/>
          <w:szCs w:val="24"/>
        </w:rPr>
      </w:pPr>
    </w:p>
    <w:p>
      <w:pPr>
        <w:pStyle w:val="3"/>
        <w:bidi w:val="0"/>
        <w:jc w:val="center"/>
        <w:rPr>
          <w:rFonts w:hint="eastAsia"/>
          <w:lang w:val="zh-CN"/>
        </w:rPr>
      </w:pPr>
      <w:bookmarkStart w:id="7" w:name="_Toc57364583"/>
      <w:bookmarkStart w:id="8" w:name="_Toc57387388"/>
      <w:bookmarkStart w:id="9" w:name="_Toc57384442"/>
      <w:bookmarkStart w:id="10" w:name="_Toc57621313"/>
      <w:bookmarkStart w:id="11" w:name="_Toc57384835"/>
      <w:bookmarkStart w:id="12" w:name="_Toc57385456"/>
      <w:bookmarkStart w:id="13" w:name="_Toc57387657"/>
      <w:bookmarkStart w:id="14" w:name="_Toc57386038"/>
    </w:p>
    <w:p>
      <w:pPr>
        <w:pStyle w:val="3"/>
        <w:bidi w:val="0"/>
        <w:jc w:val="center"/>
      </w:pPr>
      <w:bookmarkStart w:id="15" w:name="_Toc12726"/>
      <w:bookmarkStart w:id="16" w:name="_Toc2649"/>
      <w:r>
        <w:rPr>
          <w:rFonts w:hint="eastAsia"/>
          <w:lang w:val="zh-CN"/>
        </w:rPr>
        <w:t>分析化学实验课程教学大纲</w:t>
      </w:r>
      <w:bookmarkEnd w:id="7"/>
      <w:bookmarkEnd w:id="8"/>
      <w:bookmarkEnd w:id="9"/>
      <w:bookmarkEnd w:id="10"/>
      <w:bookmarkEnd w:id="11"/>
      <w:bookmarkEnd w:id="12"/>
      <w:bookmarkEnd w:id="13"/>
      <w:bookmarkEnd w:id="14"/>
      <w:bookmarkEnd w:id="15"/>
      <w:bookmarkEnd w:id="16"/>
    </w:p>
    <w:p>
      <w:pPr>
        <w:autoSpaceDE w:val="0"/>
        <w:autoSpaceDN w:val="0"/>
        <w:adjustRightInd w:val="0"/>
        <w:jc w:val="center"/>
        <w:rPr>
          <w:b/>
          <w:bCs/>
          <w:kern w:val="0"/>
          <w:sz w:val="30"/>
          <w:szCs w:val="30"/>
        </w:rPr>
      </w:pPr>
      <w:r>
        <w:rPr>
          <w:rFonts w:hint="eastAsia" w:ascii="宋体" w:cs="宋体"/>
          <w:b/>
          <w:bCs/>
          <w:kern w:val="0"/>
          <w:sz w:val="30"/>
          <w:szCs w:val="30"/>
        </w:rPr>
        <w:t>（</w:t>
      </w:r>
      <w:r>
        <w:rPr>
          <w:b/>
          <w:bCs/>
          <w:kern w:val="0"/>
          <w:sz w:val="30"/>
          <w:szCs w:val="30"/>
        </w:rPr>
        <w:t>Analytical Chemistry Experiment</w:t>
      </w:r>
      <w:r>
        <w:rPr>
          <w:rFonts w:hint="eastAsia" w:ascii="宋体" w:cs="宋体"/>
          <w:b/>
          <w:bCs/>
          <w:kern w:val="0"/>
          <w:sz w:val="30"/>
          <w:szCs w:val="30"/>
        </w:rPr>
        <w:t>）</w:t>
      </w:r>
    </w:p>
    <w:p>
      <w:pPr>
        <w:autoSpaceDE w:val="0"/>
        <w:autoSpaceDN w:val="0"/>
        <w:adjustRightInd w:val="0"/>
        <w:spacing w:line="360" w:lineRule="auto"/>
        <w:rPr>
          <w:b/>
          <w:bCs/>
          <w:kern w:val="0"/>
          <w:sz w:val="28"/>
          <w:szCs w:val="28"/>
        </w:rPr>
      </w:pPr>
      <w:r>
        <w:rPr>
          <w:rFonts w:hint="eastAsia" w:ascii="宋体" w:cs="宋体"/>
          <w:b/>
          <w:bCs/>
          <w:kern w:val="0"/>
          <w:sz w:val="28"/>
          <w:szCs w:val="28"/>
          <w:lang w:val="zh-CN"/>
        </w:rPr>
        <w:t>一、课程概况</w:t>
      </w:r>
    </w:p>
    <w:p>
      <w:pPr>
        <w:autoSpaceDE w:val="0"/>
        <w:autoSpaceDN w:val="0"/>
        <w:adjustRightInd w:val="0"/>
        <w:spacing w:line="360" w:lineRule="auto"/>
        <w:ind w:firstLine="482"/>
        <w:rPr>
          <w:b/>
          <w:bCs/>
          <w:kern w:val="0"/>
          <w:sz w:val="28"/>
          <w:szCs w:val="28"/>
        </w:rPr>
      </w:pPr>
      <w:r>
        <w:rPr>
          <w:rFonts w:hint="eastAsia" w:ascii="宋体" w:cs="宋体"/>
          <w:b/>
          <w:bCs/>
          <w:kern w:val="0"/>
          <w:sz w:val="24"/>
          <w:lang w:val="zh-CN"/>
        </w:rPr>
        <w:t>课程代码</w:t>
      </w:r>
      <w:r>
        <w:rPr>
          <w:rFonts w:hint="eastAsia" w:ascii="宋体" w:cs="宋体"/>
          <w:b/>
          <w:bCs/>
          <w:kern w:val="0"/>
          <w:sz w:val="24"/>
        </w:rPr>
        <w:t>：</w:t>
      </w:r>
      <w:r>
        <w:rPr>
          <w:b/>
          <w:bCs/>
          <w:kern w:val="0"/>
          <w:sz w:val="24"/>
        </w:rPr>
        <w:t>2501602</w:t>
      </w:r>
    </w:p>
    <w:p>
      <w:pPr>
        <w:autoSpaceDE w:val="0"/>
        <w:autoSpaceDN w:val="0"/>
        <w:adjustRightInd w:val="0"/>
        <w:spacing w:line="360" w:lineRule="auto"/>
        <w:ind w:firstLine="482"/>
        <w:rPr>
          <w:kern w:val="0"/>
          <w:sz w:val="24"/>
        </w:rPr>
      </w:pPr>
      <w:r>
        <w:rPr>
          <w:rFonts w:hint="eastAsia" w:ascii="宋体" w:cs="宋体"/>
          <w:b/>
          <w:bCs/>
          <w:kern w:val="0"/>
          <w:sz w:val="24"/>
          <w:lang w:val="zh-CN"/>
        </w:rPr>
        <w:t>学</w:t>
      </w:r>
      <w:r>
        <w:rPr>
          <w:b/>
          <w:bCs/>
          <w:kern w:val="0"/>
          <w:sz w:val="24"/>
        </w:rPr>
        <w:t xml:space="preserve">    </w:t>
      </w:r>
      <w:r>
        <w:rPr>
          <w:rFonts w:hint="eastAsia" w:ascii="宋体" w:cs="宋体"/>
          <w:b/>
          <w:bCs/>
          <w:kern w:val="0"/>
          <w:sz w:val="24"/>
          <w:lang w:val="zh-CN"/>
        </w:rPr>
        <w:t>分</w:t>
      </w:r>
      <w:r>
        <w:rPr>
          <w:rFonts w:hint="eastAsia" w:ascii="宋体" w:cs="宋体"/>
          <w:b/>
          <w:bCs/>
          <w:kern w:val="0"/>
          <w:sz w:val="24"/>
        </w:rPr>
        <w:t>：</w:t>
      </w:r>
      <w:r>
        <w:rPr>
          <w:b/>
          <w:bCs/>
          <w:kern w:val="0"/>
          <w:sz w:val="24"/>
        </w:rPr>
        <w:t>1</w:t>
      </w:r>
    </w:p>
    <w:p>
      <w:pPr>
        <w:autoSpaceDE w:val="0"/>
        <w:autoSpaceDN w:val="0"/>
        <w:adjustRightInd w:val="0"/>
        <w:spacing w:line="360" w:lineRule="auto"/>
        <w:ind w:firstLine="482"/>
        <w:rPr>
          <w:kern w:val="0"/>
          <w:sz w:val="24"/>
        </w:rPr>
      </w:pPr>
      <w:r>
        <w:rPr>
          <w:rFonts w:hint="eastAsia" w:ascii="宋体" w:cs="宋体"/>
          <w:b/>
          <w:bCs/>
          <w:kern w:val="0"/>
          <w:sz w:val="24"/>
          <w:lang w:val="zh-CN"/>
        </w:rPr>
        <w:t>学</w:t>
      </w:r>
      <w:r>
        <w:rPr>
          <w:b/>
          <w:bCs/>
          <w:kern w:val="0"/>
          <w:sz w:val="24"/>
        </w:rPr>
        <w:t xml:space="preserve">    </w:t>
      </w:r>
      <w:r>
        <w:rPr>
          <w:rFonts w:hint="eastAsia" w:ascii="宋体" w:cs="宋体"/>
          <w:b/>
          <w:bCs/>
          <w:kern w:val="0"/>
          <w:sz w:val="24"/>
          <w:lang w:val="zh-CN"/>
        </w:rPr>
        <w:t>时</w:t>
      </w:r>
      <w:r>
        <w:rPr>
          <w:rFonts w:hint="eastAsia" w:ascii="宋体" w:cs="宋体"/>
          <w:b/>
          <w:bCs/>
          <w:kern w:val="0"/>
          <w:sz w:val="24"/>
        </w:rPr>
        <w:t>：</w:t>
      </w:r>
      <w:r>
        <w:rPr>
          <w:b/>
          <w:bCs/>
          <w:kern w:val="0"/>
          <w:sz w:val="24"/>
        </w:rPr>
        <w:t>32</w:t>
      </w:r>
    </w:p>
    <w:p>
      <w:pPr>
        <w:autoSpaceDE w:val="0"/>
        <w:autoSpaceDN w:val="0"/>
        <w:adjustRightInd w:val="0"/>
        <w:spacing w:line="360" w:lineRule="auto"/>
        <w:ind w:firstLine="482"/>
        <w:rPr>
          <w:kern w:val="0"/>
          <w:sz w:val="24"/>
        </w:rPr>
      </w:pPr>
      <w:r>
        <w:rPr>
          <w:rFonts w:hint="eastAsia" w:ascii="宋体" w:cs="宋体"/>
          <w:b/>
          <w:bCs/>
          <w:kern w:val="0"/>
          <w:sz w:val="24"/>
          <w:lang w:val="zh-CN"/>
        </w:rPr>
        <w:t>先修课程</w:t>
      </w:r>
      <w:r>
        <w:rPr>
          <w:rFonts w:hint="eastAsia" w:ascii="宋体" w:cs="宋体"/>
          <w:b/>
          <w:bCs/>
          <w:kern w:val="0"/>
          <w:sz w:val="24"/>
        </w:rPr>
        <w:t>：</w:t>
      </w:r>
      <w:r>
        <w:rPr>
          <w:rFonts w:hint="eastAsia" w:ascii="宋体" w:cs="宋体"/>
          <w:kern w:val="0"/>
          <w:sz w:val="24"/>
          <w:lang w:val="zh-CN"/>
        </w:rPr>
        <w:t>无机化学、无机化学实验</w:t>
      </w:r>
    </w:p>
    <w:p>
      <w:pPr>
        <w:autoSpaceDE w:val="0"/>
        <w:autoSpaceDN w:val="0"/>
        <w:adjustRightInd w:val="0"/>
        <w:spacing w:line="360" w:lineRule="auto"/>
        <w:ind w:firstLine="482"/>
        <w:rPr>
          <w:rFonts w:ascii="宋体" w:cs="宋体"/>
          <w:kern w:val="0"/>
          <w:sz w:val="24"/>
          <w:lang w:val="zh-CN"/>
        </w:rPr>
      </w:pPr>
      <w:r>
        <w:rPr>
          <w:rFonts w:hint="eastAsia" w:ascii="宋体" w:cs="宋体"/>
          <w:b/>
          <w:bCs/>
          <w:kern w:val="0"/>
          <w:sz w:val="24"/>
          <w:lang w:val="zh-CN"/>
        </w:rPr>
        <w:t>适用专业：</w:t>
      </w:r>
      <w:r>
        <w:rPr>
          <w:rFonts w:hint="eastAsia" w:ascii="宋体" w:cs="宋体"/>
          <w:kern w:val="0"/>
          <w:sz w:val="24"/>
          <w:lang w:val="zh-CN"/>
        </w:rPr>
        <w:t>化学工程与工艺、应用化学</w:t>
      </w:r>
    </w:p>
    <w:p>
      <w:pPr>
        <w:autoSpaceDE w:val="0"/>
        <w:autoSpaceDN w:val="0"/>
        <w:adjustRightInd w:val="0"/>
        <w:spacing w:line="360" w:lineRule="auto"/>
        <w:ind w:firstLine="482"/>
        <w:rPr>
          <w:kern w:val="0"/>
          <w:sz w:val="24"/>
        </w:rPr>
      </w:pPr>
      <w:r>
        <w:rPr>
          <w:rFonts w:hint="eastAsia" w:ascii="宋体" w:cs="宋体"/>
          <w:b/>
          <w:bCs/>
          <w:kern w:val="0"/>
          <w:sz w:val="24"/>
          <w:lang w:val="zh-CN"/>
        </w:rPr>
        <w:t>教</w:t>
      </w:r>
      <w:r>
        <w:rPr>
          <w:b/>
          <w:bCs/>
          <w:kern w:val="0"/>
          <w:sz w:val="24"/>
        </w:rPr>
        <w:t xml:space="preserve">    </w:t>
      </w:r>
      <w:r>
        <w:rPr>
          <w:rFonts w:hint="eastAsia" w:ascii="宋体" w:cs="宋体"/>
          <w:b/>
          <w:bCs/>
          <w:kern w:val="0"/>
          <w:sz w:val="24"/>
          <w:lang w:val="zh-CN"/>
        </w:rPr>
        <w:t>材：</w:t>
      </w:r>
      <w:r>
        <w:rPr>
          <w:rFonts w:hint="eastAsia" w:ascii="宋体" w:cs="宋体"/>
          <w:kern w:val="0"/>
          <w:sz w:val="24"/>
          <w:lang w:val="zh-CN"/>
        </w:rPr>
        <w:t>《分析化学实验（第四版）》，华中师范大学编著，高等教育出版社，</w:t>
      </w:r>
      <w:r>
        <w:rPr>
          <w:kern w:val="0"/>
          <w:sz w:val="24"/>
        </w:rPr>
        <w:t>2015.12</w:t>
      </w:r>
    </w:p>
    <w:p>
      <w:pPr>
        <w:autoSpaceDE w:val="0"/>
        <w:autoSpaceDN w:val="0"/>
        <w:adjustRightInd w:val="0"/>
        <w:spacing w:line="360" w:lineRule="auto"/>
        <w:ind w:firstLine="482"/>
        <w:rPr>
          <w:kern w:val="0"/>
          <w:sz w:val="24"/>
        </w:rPr>
      </w:pPr>
      <w:r>
        <w:rPr>
          <w:rFonts w:hint="eastAsia" w:ascii="宋体" w:cs="宋体"/>
          <w:b/>
          <w:bCs/>
          <w:kern w:val="0"/>
          <w:sz w:val="24"/>
          <w:lang w:val="zh-CN"/>
        </w:rPr>
        <w:t>课程归口：</w:t>
      </w:r>
      <w:r>
        <w:rPr>
          <w:rFonts w:hint="eastAsia" w:ascii="宋体" w:cs="宋体"/>
          <w:kern w:val="0"/>
          <w:sz w:val="24"/>
          <w:lang w:val="zh-CN"/>
        </w:rPr>
        <w:t>化工与材料学院</w:t>
      </w:r>
    </w:p>
    <w:p>
      <w:pPr>
        <w:autoSpaceDE w:val="0"/>
        <w:autoSpaceDN w:val="0"/>
        <w:adjustRightInd w:val="0"/>
        <w:spacing w:line="360" w:lineRule="auto"/>
        <w:ind w:firstLine="482"/>
        <w:rPr>
          <w:kern w:val="0"/>
          <w:sz w:val="24"/>
        </w:rPr>
      </w:pPr>
      <w:r>
        <w:rPr>
          <w:rFonts w:hint="eastAsia" w:ascii="宋体" w:cs="宋体"/>
          <w:b/>
          <w:bCs/>
          <w:kern w:val="0"/>
          <w:sz w:val="24"/>
          <w:lang w:val="zh-CN"/>
        </w:rPr>
        <w:t>课程团队：</w:t>
      </w:r>
      <w:r>
        <w:rPr>
          <w:rFonts w:hint="eastAsia" w:ascii="宋体" w:cs="宋体"/>
          <w:kern w:val="0"/>
          <w:sz w:val="24"/>
          <w:lang w:val="zh-CN"/>
        </w:rPr>
        <w:t>陈建欣、壮亚峰、王文娟、张微等</w:t>
      </w:r>
    </w:p>
    <w:p>
      <w:pPr>
        <w:autoSpaceDE w:val="0"/>
        <w:autoSpaceDN w:val="0"/>
        <w:adjustRightInd w:val="0"/>
        <w:spacing w:line="300" w:lineRule="atLeast"/>
        <w:ind w:firstLine="472" w:firstLineChars="196"/>
        <w:rPr>
          <w:color w:val="000000"/>
          <w:kern w:val="0"/>
          <w:sz w:val="24"/>
        </w:rPr>
      </w:pPr>
      <w:r>
        <w:rPr>
          <w:rFonts w:hint="eastAsia" w:ascii="宋体" w:cs="宋体"/>
          <w:b/>
          <w:bCs/>
          <w:kern w:val="0"/>
          <w:sz w:val="24"/>
          <w:lang w:val="zh-CN"/>
        </w:rPr>
        <w:t>课程性质与任务：</w:t>
      </w:r>
      <w:r>
        <w:rPr>
          <w:rFonts w:hint="eastAsia" w:ascii="宋体" w:cs="宋体"/>
          <w:kern w:val="0"/>
          <w:sz w:val="24"/>
          <w:lang w:val="zh-CN"/>
        </w:rPr>
        <w:t>本课程是化学工程与工艺专业的专业基础必修课。通过本课程的学习，培养学生正确掌握分析化学实验的基本操作技能，加深对化学分析方法原理的理解，初步具备运用理论知识分析和解决实际问题的能力，为将来从事化学工程与工艺技术工作打下良好的基础，为后续专业课程及实验环节奠定基础。通过本课程的学习</w:t>
      </w:r>
      <w:r>
        <w:rPr>
          <w:rFonts w:hint="eastAsia" w:ascii="宋体" w:cs="宋体"/>
          <w:color w:val="000000"/>
          <w:kern w:val="0"/>
          <w:sz w:val="24"/>
          <w:lang w:val="zh-CN"/>
        </w:rPr>
        <w:t>实践，努力培养学生具有辩证思维能力，树立理论联系实际的科学观，积极践行社会主义核心价值观，为学生毕业后从事相关工作打下良好的基础。</w:t>
      </w:r>
    </w:p>
    <w:p>
      <w:pPr>
        <w:autoSpaceDE w:val="0"/>
        <w:autoSpaceDN w:val="0"/>
        <w:adjustRightInd w:val="0"/>
        <w:spacing w:line="360" w:lineRule="auto"/>
        <w:rPr>
          <w:b/>
          <w:bCs/>
          <w:kern w:val="0"/>
          <w:sz w:val="28"/>
          <w:szCs w:val="28"/>
        </w:rPr>
      </w:pPr>
      <w:r>
        <w:rPr>
          <w:rFonts w:hint="eastAsia" w:ascii="宋体" w:cs="宋体"/>
          <w:b/>
          <w:bCs/>
          <w:kern w:val="0"/>
          <w:sz w:val="28"/>
          <w:szCs w:val="28"/>
          <w:lang w:val="zh-CN"/>
        </w:rPr>
        <w:t>二、课程目标及对毕业要求观测点的支撑</w:t>
      </w:r>
    </w:p>
    <w:tbl>
      <w:tblPr>
        <w:tblStyle w:val="10"/>
        <w:tblW w:w="0" w:type="auto"/>
        <w:jc w:val="center"/>
        <w:tblLayout w:type="fixed"/>
        <w:tblCellMar>
          <w:top w:w="0" w:type="dxa"/>
          <w:left w:w="108" w:type="dxa"/>
          <w:bottom w:w="0" w:type="dxa"/>
          <w:right w:w="108" w:type="dxa"/>
        </w:tblCellMar>
      </w:tblPr>
      <w:tblGrid>
        <w:gridCol w:w="738"/>
        <w:gridCol w:w="3118"/>
        <w:gridCol w:w="2292"/>
        <w:gridCol w:w="3066"/>
      </w:tblGrid>
      <w:tr>
        <w:tblPrEx>
          <w:tblCellMar>
            <w:top w:w="0" w:type="dxa"/>
            <w:left w:w="108" w:type="dxa"/>
            <w:bottom w:w="0" w:type="dxa"/>
            <w:right w:w="108" w:type="dxa"/>
          </w:tblCellMar>
        </w:tblPrEx>
        <w:trPr>
          <w:trHeight w:val="481" w:hRule="atLeast"/>
          <w:jc w:val="center"/>
        </w:trPr>
        <w:tc>
          <w:tcPr>
            <w:tcW w:w="738"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cs="宋体"/>
                <w:kern w:val="0"/>
                <w:sz w:val="22"/>
                <w:szCs w:val="22"/>
                <w:lang w:val="zh-CN"/>
              </w:rPr>
            </w:pPr>
            <w:r>
              <w:rPr>
                <w:rFonts w:hint="eastAsia" w:ascii="宋体" w:cs="宋体"/>
                <w:b/>
                <w:bCs/>
                <w:kern w:val="0"/>
                <w:szCs w:val="21"/>
                <w:lang w:val="zh-CN"/>
              </w:rPr>
              <w:t>序号</w:t>
            </w:r>
          </w:p>
        </w:tc>
        <w:tc>
          <w:tcPr>
            <w:tcW w:w="3118"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cs="宋体"/>
                <w:kern w:val="0"/>
                <w:sz w:val="22"/>
                <w:szCs w:val="22"/>
                <w:lang w:val="zh-CN"/>
              </w:rPr>
            </w:pPr>
            <w:r>
              <w:rPr>
                <w:rFonts w:hint="eastAsia" w:ascii="宋体" w:cs="宋体"/>
                <w:b/>
                <w:bCs/>
                <w:kern w:val="0"/>
                <w:szCs w:val="21"/>
                <w:lang w:val="zh-CN"/>
              </w:rPr>
              <w:t>课程目标</w:t>
            </w:r>
          </w:p>
        </w:tc>
        <w:tc>
          <w:tcPr>
            <w:tcW w:w="2292"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cs="宋体"/>
                <w:kern w:val="0"/>
                <w:sz w:val="22"/>
                <w:szCs w:val="22"/>
                <w:lang w:val="zh-CN"/>
              </w:rPr>
            </w:pPr>
            <w:r>
              <w:rPr>
                <w:rFonts w:hint="eastAsia" w:ascii="宋体" w:cs="宋体"/>
                <w:b/>
                <w:bCs/>
                <w:kern w:val="0"/>
                <w:szCs w:val="21"/>
                <w:lang w:val="zh-CN"/>
              </w:rPr>
              <w:t>支撑毕业要求观测点</w:t>
            </w:r>
          </w:p>
        </w:tc>
        <w:tc>
          <w:tcPr>
            <w:tcW w:w="3066"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cs="宋体"/>
                <w:kern w:val="0"/>
                <w:sz w:val="22"/>
                <w:szCs w:val="22"/>
                <w:lang w:val="zh-CN"/>
              </w:rPr>
            </w:pPr>
            <w:r>
              <w:rPr>
                <w:rFonts w:hint="eastAsia" w:ascii="宋体" w:cs="宋体"/>
                <w:b/>
                <w:bCs/>
                <w:kern w:val="0"/>
                <w:szCs w:val="21"/>
                <w:lang w:val="zh-CN"/>
              </w:rPr>
              <w:t>毕业要求</w:t>
            </w:r>
          </w:p>
        </w:tc>
      </w:tr>
      <w:tr>
        <w:tblPrEx>
          <w:tblCellMar>
            <w:top w:w="0" w:type="dxa"/>
            <w:left w:w="108" w:type="dxa"/>
            <w:bottom w:w="0" w:type="dxa"/>
            <w:right w:w="108" w:type="dxa"/>
          </w:tblCellMar>
        </w:tblPrEx>
        <w:trPr>
          <w:trHeight w:val="470" w:hRule="atLeast"/>
          <w:jc w:val="center"/>
        </w:trPr>
        <w:tc>
          <w:tcPr>
            <w:tcW w:w="738"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cs="宋体"/>
                <w:kern w:val="0"/>
                <w:sz w:val="22"/>
                <w:szCs w:val="22"/>
                <w:lang w:val="zh-CN"/>
              </w:rPr>
            </w:pPr>
            <w:r>
              <w:rPr>
                <w:kern w:val="0"/>
                <w:szCs w:val="21"/>
              </w:rPr>
              <w:t>1</w:t>
            </w:r>
          </w:p>
        </w:tc>
        <w:tc>
          <w:tcPr>
            <w:tcW w:w="3118"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b/>
                <w:bCs/>
                <w:kern w:val="0"/>
                <w:szCs w:val="21"/>
                <w:lang w:val="zh-CN"/>
              </w:rPr>
              <w:t>目标</w:t>
            </w:r>
            <w:r>
              <w:rPr>
                <w:b/>
                <w:bCs/>
                <w:kern w:val="0"/>
                <w:szCs w:val="21"/>
              </w:rPr>
              <w:t>1</w:t>
            </w:r>
            <w:r>
              <w:rPr>
                <w:rFonts w:hint="eastAsia" w:ascii="宋体" w:cs="宋体"/>
                <w:b/>
                <w:bCs/>
                <w:kern w:val="0"/>
                <w:szCs w:val="21"/>
                <w:lang w:val="zh-CN"/>
              </w:rPr>
              <w:t>：</w:t>
            </w:r>
            <w:r>
              <w:rPr>
                <w:rFonts w:hint="eastAsia" w:ascii="宋体" w:cs="宋体"/>
                <w:kern w:val="0"/>
                <w:szCs w:val="21"/>
                <w:lang w:val="zh-CN"/>
              </w:rPr>
              <w:t>能够正确掌握分析化学实验的基本操作技能；能够运用所学知识解释实验现象，加深对化学分析方法原理的理解；具备运用所学化学分析知识解决相应化学工程与工艺领域</w:t>
            </w:r>
            <w:r>
              <w:rPr>
                <w:rFonts w:hint="eastAsia" w:ascii="宋体" w:cs="宋体"/>
                <w:color w:val="000000"/>
                <w:kern w:val="0"/>
                <w:szCs w:val="21"/>
                <w:lang w:val="zh-CN"/>
              </w:rPr>
              <w:t>复杂工程</w:t>
            </w:r>
            <w:r>
              <w:rPr>
                <w:rFonts w:hint="eastAsia" w:ascii="宋体" w:cs="宋体"/>
                <w:kern w:val="0"/>
                <w:szCs w:val="21"/>
                <w:lang w:val="zh-CN"/>
              </w:rPr>
              <w:t>实际问题的能力。</w:t>
            </w:r>
          </w:p>
        </w:tc>
        <w:tc>
          <w:tcPr>
            <w:tcW w:w="2292"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b/>
                <w:bCs/>
                <w:kern w:val="0"/>
                <w:szCs w:val="21"/>
                <w:lang w:val="zh-CN"/>
              </w:rPr>
              <w:t>观测点</w:t>
            </w:r>
            <w:r>
              <w:rPr>
                <w:b/>
                <w:bCs/>
                <w:kern w:val="0"/>
                <w:szCs w:val="21"/>
              </w:rPr>
              <w:t>1.2</w:t>
            </w:r>
            <w:r>
              <w:rPr>
                <w:rFonts w:hint="eastAsia" w:ascii="宋体" w:cs="宋体"/>
                <w:kern w:val="0"/>
                <w:szCs w:val="21"/>
                <w:lang w:val="zh-CN"/>
              </w:rPr>
              <w:t>：能运用</w:t>
            </w:r>
            <w:r>
              <w:rPr>
                <w:rFonts w:hint="eastAsia" w:ascii="宋体" w:cs="宋体"/>
                <w:color w:val="000000"/>
                <w:kern w:val="0"/>
                <w:szCs w:val="21"/>
                <w:lang w:val="zh-CN"/>
              </w:rPr>
              <w:t>掌握的化学和化工基础知识</w:t>
            </w:r>
            <w:r>
              <w:rPr>
                <w:rFonts w:hint="eastAsia" w:ascii="宋体" w:cs="宋体"/>
                <w:kern w:val="0"/>
                <w:szCs w:val="21"/>
                <w:lang w:val="zh-CN"/>
              </w:rPr>
              <w:t>，对化学工程与工艺领域</w:t>
            </w:r>
            <w:r>
              <w:rPr>
                <w:rFonts w:hint="eastAsia" w:ascii="宋体" w:cs="宋体"/>
                <w:color w:val="000000"/>
                <w:kern w:val="0"/>
                <w:szCs w:val="21"/>
                <w:lang w:val="zh-CN"/>
              </w:rPr>
              <w:t>复杂工程问题</w:t>
            </w:r>
            <w:r>
              <w:rPr>
                <w:rFonts w:hint="eastAsia" w:ascii="宋体" w:cs="宋体"/>
                <w:kern w:val="0"/>
                <w:szCs w:val="21"/>
                <w:lang w:val="zh-CN"/>
              </w:rPr>
              <w:t>进行分析求解。</w:t>
            </w:r>
          </w:p>
        </w:tc>
        <w:tc>
          <w:tcPr>
            <w:tcW w:w="3066"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b/>
                <w:bCs/>
                <w:kern w:val="0"/>
                <w:szCs w:val="21"/>
                <w:lang w:val="zh-CN"/>
              </w:rPr>
              <w:t>毕业要求</w:t>
            </w:r>
            <w:r>
              <w:rPr>
                <w:b/>
                <w:bCs/>
                <w:kern w:val="0"/>
                <w:szCs w:val="21"/>
              </w:rPr>
              <w:t>1</w:t>
            </w:r>
            <w:r>
              <w:rPr>
                <w:rFonts w:hint="eastAsia" w:ascii="宋体" w:cs="宋体"/>
                <w:kern w:val="0"/>
                <w:szCs w:val="21"/>
                <w:lang w:val="zh-CN"/>
              </w:rPr>
              <w:t>工程知识：</w:t>
            </w:r>
            <w:r>
              <w:rPr>
                <w:rFonts w:hint="eastAsia" w:ascii="宋体" w:cs="宋体"/>
                <w:color w:val="000000"/>
                <w:kern w:val="0"/>
                <w:szCs w:val="21"/>
                <w:lang w:val="zh-CN"/>
              </w:rPr>
              <w:t>能够将数学、自然科学、工程基础和专业知识用于解决</w:t>
            </w:r>
            <w:r>
              <w:rPr>
                <w:rFonts w:hint="eastAsia" w:ascii="宋体" w:cs="宋体"/>
                <w:kern w:val="0"/>
                <w:szCs w:val="21"/>
                <w:lang w:val="zh-CN"/>
              </w:rPr>
              <w:t>化学工程与工艺领域</w:t>
            </w:r>
            <w:r>
              <w:rPr>
                <w:rFonts w:hint="eastAsia" w:ascii="宋体" w:cs="宋体"/>
                <w:color w:val="000000"/>
                <w:kern w:val="0"/>
                <w:szCs w:val="21"/>
                <w:lang w:val="zh-CN"/>
              </w:rPr>
              <w:t>复杂工程问题。</w:t>
            </w:r>
          </w:p>
        </w:tc>
      </w:tr>
      <w:tr>
        <w:tblPrEx>
          <w:tblCellMar>
            <w:top w:w="0" w:type="dxa"/>
            <w:left w:w="108" w:type="dxa"/>
            <w:bottom w:w="0" w:type="dxa"/>
            <w:right w:w="108" w:type="dxa"/>
          </w:tblCellMar>
        </w:tblPrEx>
        <w:trPr>
          <w:trHeight w:val="461" w:hRule="atLeast"/>
          <w:jc w:val="center"/>
        </w:trPr>
        <w:tc>
          <w:tcPr>
            <w:tcW w:w="738"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cs="宋体"/>
                <w:kern w:val="0"/>
                <w:sz w:val="22"/>
                <w:szCs w:val="22"/>
                <w:lang w:val="zh-CN"/>
              </w:rPr>
            </w:pPr>
            <w:r>
              <w:rPr>
                <w:kern w:val="0"/>
                <w:szCs w:val="21"/>
              </w:rPr>
              <w:t>2</w:t>
            </w:r>
          </w:p>
        </w:tc>
        <w:tc>
          <w:tcPr>
            <w:tcW w:w="3118"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b/>
                <w:bCs/>
                <w:kern w:val="0"/>
                <w:szCs w:val="21"/>
                <w:lang w:val="zh-CN"/>
              </w:rPr>
              <w:t>目标</w:t>
            </w:r>
            <w:r>
              <w:rPr>
                <w:b/>
                <w:bCs/>
                <w:kern w:val="0"/>
                <w:szCs w:val="21"/>
              </w:rPr>
              <w:t>2</w:t>
            </w:r>
            <w:r>
              <w:rPr>
                <w:rFonts w:hint="eastAsia" w:ascii="宋体" w:cs="宋体"/>
                <w:b/>
                <w:bCs/>
                <w:kern w:val="0"/>
                <w:szCs w:val="21"/>
                <w:lang w:val="zh-CN"/>
              </w:rPr>
              <w:t>：</w:t>
            </w:r>
            <w:r>
              <w:rPr>
                <w:rFonts w:hint="eastAsia" w:ascii="宋体" w:cs="宋体"/>
                <w:kern w:val="0"/>
                <w:szCs w:val="21"/>
                <w:lang w:val="zh-CN"/>
              </w:rPr>
              <w:t>能够对实验结果进行评价分析，得到合理有效的结论；能够进行化学分析实验设计，自觉运用所学知识分析、解决问题的良好习惯，并具备一定的独立思考、分析概括和创新能力；能够养成运用所学知识对自己身边有关物质鉴定与分析的关注和思索的良好习惯，能够把所学的知识和技能应用到化学工程与工艺领域</w:t>
            </w:r>
            <w:r>
              <w:rPr>
                <w:rFonts w:hint="eastAsia" w:ascii="宋体" w:cs="宋体"/>
                <w:color w:val="000000"/>
                <w:kern w:val="0"/>
                <w:szCs w:val="21"/>
                <w:lang w:val="zh-CN"/>
              </w:rPr>
              <w:t>复杂工程</w:t>
            </w:r>
            <w:r>
              <w:rPr>
                <w:rFonts w:hint="eastAsia" w:ascii="宋体" w:cs="宋体"/>
                <w:kern w:val="0"/>
                <w:szCs w:val="21"/>
                <w:lang w:val="zh-CN"/>
              </w:rPr>
              <w:t>实践中。</w:t>
            </w:r>
          </w:p>
        </w:tc>
        <w:tc>
          <w:tcPr>
            <w:tcW w:w="2292"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b/>
                <w:bCs/>
                <w:kern w:val="0"/>
                <w:szCs w:val="21"/>
                <w:lang w:val="zh-CN"/>
              </w:rPr>
              <w:t>观测点</w:t>
            </w:r>
            <w:r>
              <w:rPr>
                <w:b/>
                <w:bCs/>
                <w:kern w:val="0"/>
                <w:szCs w:val="21"/>
              </w:rPr>
              <w:t>4.2</w:t>
            </w:r>
            <w:r>
              <w:rPr>
                <w:rFonts w:hint="eastAsia" w:ascii="宋体" w:cs="宋体"/>
                <w:kern w:val="0"/>
                <w:szCs w:val="21"/>
                <w:lang w:val="zh-CN"/>
              </w:rPr>
              <w:t>：</w:t>
            </w:r>
            <w:r>
              <w:rPr>
                <w:rFonts w:hint="eastAsia" w:ascii="宋体" w:cs="宋体"/>
                <w:color w:val="000000"/>
                <w:kern w:val="0"/>
                <w:szCs w:val="21"/>
                <w:lang w:val="zh-CN"/>
              </w:rPr>
              <w:t>能够正确采集、整理实验数据、对实验结果进行关联，</w:t>
            </w:r>
            <w:r>
              <w:rPr>
                <w:rFonts w:hint="eastAsia" w:ascii="宋体" w:cs="宋体"/>
                <w:kern w:val="0"/>
                <w:szCs w:val="21"/>
                <w:lang w:val="zh-CN"/>
              </w:rPr>
              <w:t>对化学工程与工艺领域</w:t>
            </w:r>
            <w:r>
              <w:rPr>
                <w:rFonts w:hint="eastAsia" w:ascii="宋体" w:cs="宋体"/>
                <w:color w:val="000000"/>
                <w:kern w:val="0"/>
                <w:szCs w:val="21"/>
                <w:lang w:val="zh-CN"/>
              </w:rPr>
              <w:t>复杂工程问题</w:t>
            </w:r>
            <w:r>
              <w:rPr>
                <w:rFonts w:hint="eastAsia" w:ascii="宋体" w:cs="宋体"/>
                <w:kern w:val="0"/>
                <w:szCs w:val="21"/>
                <w:lang w:val="zh-CN"/>
              </w:rPr>
              <w:t>进行分析</w:t>
            </w:r>
            <w:r>
              <w:rPr>
                <w:rFonts w:hint="eastAsia" w:ascii="宋体" w:cs="宋体"/>
                <w:kern w:val="0"/>
                <w:szCs w:val="21"/>
                <w:highlight w:val="white"/>
                <w:lang w:val="zh-CN"/>
              </w:rPr>
              <w:t>并制定研究方案。</w:t>
            </w:r>
          </w:p>
        </w:tc>
        <w:tc>
          <w:tcPr>
            <w:tcW w:w="3066"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b/>
                <w:bCs/>
                <w:color w:val="000000"/>
                <w:kern w:val="0"/>
                <w:szCs w:val="21"/>
                <w:lang w:val="zh-CN"/>
              </w:rPr>
              <w:t>毕业要求</w:t>
            </w:r>
            <w:r>
              <w:rPr>
                <w:b/>
                <w:bCs/>
                <w:color w:val="000000"/>
                <w:kern w:val="0"/>
                <w:szCs w:val="21"/>
              </w:rPr>
              <w:t>4</w:t>
            </w:r>
            <w:r>
              <w:rPr>
                <w:rFonts w:hint="eastAsia" w:ascii="宋体" w:cs="宋体"/>
                <w:color w:val="000000"/>
                <w:kern w:val="0"/>
                <w:szCs w:val="21"/>
                <w:lang w:val="zh-CN"/>
              </w:rPr>
              <w:t>研究：能够基于科学原理并采用科学方法对</w:t>
            </w:r>
            <w:r>
              <w:rPr>
                <w:rFonts w:hint="eastAsia" w:ascii="宋体" w:cs="宋体"/>
                <w:kern w:val="0"/>
                <w:szCs w:val="21"/>
                <w:lang w:val="zh-CN"/>
              </w:rPr>
              <w:t>化学工程与工艺领域</w:t>
            </w:r>
            <w:r>
              <w:rPr>
                <w:rFonts w:hint="eastAsia" w:ascii="宋体" w:cs="宋体"/>
                <w:color w:val="000000"/>
                <w:kern w:val="0"/>
                <w:szCs w:val="21"/>
                <w:lang w:val="zh-CN"/>
              </w:rPr>
              <w:t>复杂工程问题进行研究，包括设计实验、分析与解释数据，并通过信息综合得到合理有效的结论。</w:t>
            </w:r>
          </w:p>
        </w:tc>
      </w:tr>
    </w:tbl>
    <w:p>
      <w:pPr>
        <w:autoSpaceDE w:val="0"/>
        <w:autoSpaceDN w:val="0"/>
        <w:adjustRightInd w:val="0"/>
        <w:spacing w:line="360" w:lineRule="auto"/>
        <w:rPr>
          <w:b/>
          <w:bCs/>
          <w:kern w:val="0"/>
          <w:sz w:val="28"/>
          <w:szCs w:val="28"/>
        </w:rPr>
      </w:pPr>
      <w:r>
        <w:rPr>
          <w:rFonts w:hint="eastAsia" w:ascii="宋体" w:cs="宋体"/>
          <w:b/>
          <w:bCs/>
          <w:kern w:val="0"/>
          <w:sz w:val="28"/>
          <w:szCs w:val="28"/>
          <w:lang w:val="zh-CN"/>
        </w:rPr>
        <w:t>三、教学内容及要求</w:t>
      </w:r>
    </w:p>
    <w:tbl>
      <w:tblPr>
        <w:tblStyle w:val="10"/>
        <w:tblW w:w="0" w:type="auto"/>
        <w:jc w:val="center"/>
        <w:tblLayout w:type="fixed"/>
        <w:tblCellMar>
          <w:top w:w="0" w:type="dxa"/>
          <w:left w:w="108" w:type="dxa"/>
          <w:bottom w:w="0" w:type="dxa"/>
          <w:right w:w="108" w:type="dxa"/>
        </w:tblCellMar>
      </w:tblPr>
      <w:tblGrid>
        <w:gridCol w:w="778"/>
        <w:gridCol w:w="2632"/>
        <w:gridCol w:w="1134"/>
        <w:gridCol w:w="2028"/>
        <w:gridCol w:w="699"/>
        <w:gridCol w:w="975"/>
        <w:gridCol w:w="925"/>
      </w:tblGrid>
      <w:tr>
        <w:tblPrEx>
          <w:tblCellMar>
            <w:top w:w="0" w:type="dxa"/>
            <w:left w:w="108" w:type="dxa"/>
            <w:bottom w:w="0" w:type="dxa"/>
            <w:right w:w="108" w:type="dxa"/>
          </w:tblCellMar>
        </w:tblPrEx>
        <w:trPr>
          <w:trHeight w:val="454" w:hRule="atLeast"/>
          <w:jc w:val="center"/>
        </w:trPr>
        <w:tc>
          <w:tcPr>
            <w:tcW w:w="778"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cs="宋体"/>
                <w:kern w:val="0"/>
                <w:sz w:val="22"/>
                <w:szCs w:val="22"/>
                <w:lang w:val="zh-CN"/>
              </w:rPr>
            </w:pPr>
            <w:r>
              <w:rPr>
                <w:rFonts w:hint="eastAsia" w:ascii="宋体" w:cs="宋体"/>
                <w:b/>
                <w:bCs/>
                <w:kern w:val="0"/>
                <w:szCs w:val="21"/>
                <w:lang w:val="zh-CN"/>
              </w:rPr>
              <w:t>序号</w:t>
            </w:r>
          </w:p>
        </w:tc>
        <w:tc>
          <w:tcPr>
            <w:tcW w:w="2632"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cs="宋体"/>
                <w:kern w:val="0"/>
                <w:sz w:val="22"/>
                <w:szCs w:val="22"/>
                <w:lang w:val="zh-CN"/>
              </w:rPr>
            </w:pPr>
            <w:r>
              <w:rPr>
                <w:rFonts w:hint="eastAsia" w:ascii="宋体" w:cs="宋体"/>
                <w:b/>
                <w:bCs/>
                <w:kern w:val="0"/>
                <w:szCs w:val="21"/>
                <w:lang w:val="zh-CN"/>
              </w:rPr>
              <w:t>教学内容</w:t>
            </w:r>
          </w:p>
        </w:tc>
        <w:tc>
          <w:tcPr>
            <w:tcW w:w="1134"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cs="宋体"/>
                <w:kern w:val="0"/>
                <w:sz w:val="22"/>
                <w:szCs w:val="22"/>
                <w:lang w:val="zh-CN"/>
              </w:rPr>
            </w:pPr>
            <w:r>
              <w:rPr>
                <w:rFonts w:hint="eastAsia" w:ascii="宋体" w:cs="宋体"/>
                <w:b/>
                <w:bCs/>
                <w:kern w:val="0"/>
                <w:szCs w:val="21"/>
                <w:lang w:val="zh-CN"/>
              </w:rPr>
              <w:t>思政元素</w:t>
            </w:r>
          </w:p>
        </w:tc>
        <w:tc>
          <w:tcPr>
            <w:tcW w:w="2028"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cs="宋体"/>
                <w:kern w:val="0"/>
                <w:sz w:val="22"/>
                <w:szCs w:val="22"/>
                <w:lang w:val="zh-CN"/>
              </w:rPr>
            </w:pPr>
            <w:r>
              <w:rPr>
                <w:rFonts w:hint="eastAsia" w:ascii="宋体" w:cs="宋体"/>
                <w:b/>
                <w:bCs/>
                <w:kern w:val="0"/>
                <w:szCs w:val="21"/>
                <w:lang w:val="zh-CN"/>
              </w:rPr>
              <w:t>预期学习成果</w:t>
            </w:r>
          </w:p>
        </w:tc>
        <w:tc>
          <w:tcPr>
            <w:tcW w:w="699"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cs="宋体"/>
                <w:kern w:val="0"/>
                <w:sz w:val="22"/>
                <w:szCs w:val="22"/>
                <w:lang w:val="zh-CN"/>
              </w:rPr>
            </w:pPr>
            <w:r>
              <w:rPr>
                <w:rFonts w:hint="eastAsia" w:ascii="宋体" w:cs="宋体"/>
                <w:b/>
                <w:bCs/>
                <w:kern w:val="0"/>
                <w:szCs w:val="21"/>
                <w:lang w:val="zh-CN"/>
              </w:rPr>
              <w:t>教学学时</w:t>
            </w:r>
          </w:p>
        </w:tc>
        <w:tc>
          <w:tcPr>
            <w:tcW w:w="975"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cs="宋体"/>
                <w:kern w:val="0"/>
                <w:sz w:val="22"/>
                <w:szCs w:val="22"/>
                <w:lang w:val="zh-CN"/>
              </w:rPr>
            </w:pPr>
            <w:r>
              <w:rPr>
                <w:rFonts w:hint="eastAsia" w:ascii="宋体" w:cs="宋体"/>
                <w:b/>
                <w:bCs/>
                <w:kern w:val="0"/>
                <w:szCs w:val="21"/>
                <w:lang w:val="zh-CN"/>
              </w:rPr>
              <w:t>教学方式</w:t>
            </w:r>
          </w:p>
        </w:tc>
        <w:tc>
          <w:tcPr>
            <w:tcW w:w="925"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cs="宋体"/>
                <w:kern w:val="0"/>
                <w:sz w:val="22"/>
                <w:szCs w:val="22"/>
                <w:lang w:val="zh-CN"/>
              </w:rPr>
            </w:pPr>
            <w:r>
              <w:rPr>
                <w:rFonts w:hint="eastAsia" w:ascii="宋体" w:cs="宋体"/>
                <w:b/>
                <w:bCs/>
                <w:kern w:val="0"/>
                <w:szCs w:val="21"/>
                <w:lang w:val="zh-CN"/>
              </w:rPr>
              <w:t>支撑课程目标</w:t>
            </w:r>
          </w:p>
        </w:tc>
      </w:tr>
      <w:tr>
        <w:tblPrEx>
          <w:tblCellMar>
            <w:top w:w="0" w:type="dxa"/>
            <w:left w:w="108" w:type="dxa"/>
            <w:bottom w:w="0" w:type="dxa"/>
            <w:right w:w="108" w:type="dxa"/>
          </w:tblCellMar>
        </w:tblPrEx>
        <w:trPr>
          <w:trHeight w:val="454" w:hRule="atLeast"/>
          <w:jc w:val="center"/>
        </w:trPr>
        <w:tc>
          <w:tcPr>
            <w:tcW w:w="778"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cs="宋体"/>
                <w:kern w:val="0"/>
                <w:sz w:val="22"/>
                <w:szCs w:val="22"/>
                <w:lang w:val="zh-CN"/>
              </w:rPr>
            </w:pPr>
            <w:r>
              <w:rPr>
                <w:kern w:val="0"/>
                <w:szCs w:val="21"/>
              </w:rPr>
              <w:t>1</w:t>
            </w:r>
          </w:p>
        </w:tc>
        <w:tc>
          <w:tcPr>
            <w:tcW w:w="2632"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实验仪器认领和安全教育</w:t>
            </w:r>
          </w:p>
        </w:tc>
        <w:tc>
          <w:tcPr>
            <w:tcW w:w="1134"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观看安全教育警示片等</w:t>
            </w:r>
          </w:p>
        </w:tc>
        <w:tc>
          <w:tcPr>
            <w:tcW w:w="2028"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安全教育、课程要求；实验仪器认领。熟悉预习报各、实验报告的书写格式及要求。</w:t>
            </w:r>
          </w:p>
        </w:tc>
        <w:tc>
          <w:tcPr>
            <w:tcW w:w="699"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cs="宋体"/>
                <w:kern w:val="0"/>
                <w:sz w:val="22"/>
                <w:szCs w:val="22"/>
                <w:lang w:val="zh-CN"/>
              </w:rPr>
            </w:pPr>
            <w:r>
              <w:rPr>
                <w:kern w:val="0"/>
                <w:szCs w:val="21"/>
              </w:rPr>
              <w:t>2</w:t>
            </w:r>
          </w:p>
        </w:tc>
        <w:tc>
          <w:tcPr>
            <w:tcW w:w="975"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讲授</w:t>
            </w:r>
            <w:r>
              <w:rPr>
                <w:kern w:val="0"/>
                <w:szCs w:val="21"/>
              </w:rPr>
              <w:t>/</w:t>
            </w:r>
            <w:r>
              <w:rPr>
                <w:rFonts w:hint="eastAsia" w:ascii="宋体" w:cs="宋体"/>
                <w:kern w:val="0"/>
                <w:szCs w:val="21"/>
                <w:lang w:val="zh-CN"/>
              </w:rPr>
              <w:t>讨论</w:t>
            </w:r>
            <w:r>
              <w:rPr>
                <w:kern w:val="0"/>
                <w:szCs w:val="21"/>
              </w:rPr>
              <w:t>/</w:t>
            </w:r>
            <w:r>
              <w:rPr>
                <w:rFonts w:hint="eastAsia" w:ascii="宋体" w:cs="宋体"/>
                <w:kern w:val="0"/>
                <w:szCs w:val="21"/>
                <w:lang w:val="zh-CN"/>
              </w:rPr>
              <w:t>案例教学等</w:t>
            </w:r>
          </w:p>
        </w:tc>
        <w:tc>
          <w:tcPr>
            <w:tcW w:w="925"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cs="宋体"/>
                <w:kern w:val="0"/>
                <w:sz w:val="22"/>
                <w:szCs w:val="22"/>
                <w:lang w:val="zh-CN"/>
              </w:rPr>
            </w:pPr>
            <w:r>
              <w:rPr>
                <w:rFonts w:hint="eastAsia" w:ascii="宋体" w:cs="宋体"/>
                <w:b/>
                <w:bCs/>
                <w:kern w:val="0"/>
                <w:szCs w:val="21"/>
                <w:lang w:val="zh-CN"/>
              </w:rPr>
              <w:t>目标</w:t>
            </w:r>
            <w:r>
              <w:rPr>
                <w:b/>
                <w:bCs/>
                <w:kern w:val="0"/>
                <w:szCs w:val="21"/>
              </w:rPr>
              <w:t>1</w:t>
            </w:r>
          </w:p>
        </w:tc>
      </w:tr>
      <w:tr>
        <w:tblPrEx>
          <w:tblCellMar>
            <w:top w:w="0" w:type="dxa"/>
            <w:left w:w="108" w:type="dxa"/>
            <w:bottom w:w="0" w:type="dxa"/>
            <w:right w:w="108" w:type="dxa"/>
          </w:tblCellMar>
        </w:tblPrEx>
        <w:trPr>
          <w:trHeight w:val="454" w:hRule="atLeast"/>
          <w:jc w:val="center"/>
        </w:trPr>
        <w:tc>
          <w:tcPr>
            <w:tcW w:w="778"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cs="宋体"/>
                <w:kern w:val="0"/>
                <w:sz w:val="22"/>
                <w:szCs w:val="22"/>
                <w:lang w:val="zh-CN"/>
              </w:rPr>
            </w:pPr>
            <w:r>
              <w:rPr>
                <w:kern w:val="0"/>
                <w:szCs w:val="21"/>
              </w:rPr>
              <w:t>2</w:t>
            </w:r>
          </w:p>
        </w:tc>
        <w:tc>
          <w:tcPr>
            <w:tcW w:w="2632"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分析天平的调试和称量练习</w:t>
            </w:r>
          </w:p>
        </w:tc>
        <w:tc>
          <w:tcPr>
            <w:tcW w:w="1134"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p>
        </w:tc>
        <w:tc>
          <w:tcPr>
            <w:tcW w:w="2028"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掌握分析天平的操作方法；熟悉直接称量、递减法称量等的称量方式。</w:t>
            </w:r>
          </w:p>
        </w:tc>
        <w:tc>
          <w:tcPr>
            <w:tcW w:w="699"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cs="宋体"/>
                <w:kern w:val="0"/>
                <w:sz w:val="22"/>
                <w:szCs w:val="22"/>
                <w:lang w:val="zh-CN"/>
              </w:rPr>
            </w:pPr>
            <w:r>
              <w:rPr>
                <w:kern w:val="0"/>
                <w:szCs w:val="21"/>
              </w:rPr>
              <w:t>2</w:t>
            </w:r>
          </w:p>
        </w:tc>
        <w:tc>
          <w:tcPr>
            <w:tcW w:w="975"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讲授</w:t>
            </w:r>
            <w:r>
              <w:rPr>
                <w:kern w:val="0"/>
                <w:szCs w:val="21"/>
              </w:rPr>
              <w:t>/</w:t>
            </w:r>
            <w:r>
              <w:rPr>
                <w:rFonts w:hint="eastAsia" w:ascii="宋体" w:cs="宋体"/>
                <w:kern w:val="0"/>
                <w:szCs w:val="21"/>
                <w:lang w:val="zh-CN"/>
              </w:rPr>
              <w:t>实验</w:t>
            </w:r>
            <w:r>
              <w:rPr>
                <w:kern w:val="0"/>
                <w:szCs w:val="21"/>
              </w:rPr>
              <w:t>/</w:t>
            </w:r>
            <w:r>
              <w:rPr>
                <w:rFonts w:hint="eastAsia" w:ascii="宋体" w:cs="宋体"/>
                <w:kern w:val="0"/>
                <w:szCs w:val="21"/>
                <w:lang w:val="zh-CN"/>
              </w:rPr>
              <w:t>讨论</w:t>
            </w:r>
            <w:r>
              <w:rPr>
                <w:kern w:val="0"/>
                <w:szCs w:val="21"/>
              </w:rPr>
              <w:t>/</w:t>
            </w:r>
            <w:r>
              <w:rPr>
                <w:rFonts w:hint="eastAsia" w:ascii="宋体" w:cs="宋体"/>
                <w:kern w:val="0"/>
                <w:szCs w:val="21"/>
                <w:lang w:val="zh-CN"/>
              </w:rPr>
              <w:t>等</w:t>
            </w:r>
          </w:p>
        </w:tc>
        <w:tc>
          <w:tcPr>
            <w:tcW w:w="925"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kern w:val="0"/>
                <w:szCs w:val="21"/>
              </w:rPr>
            </w:pPr>
            <w:r>
              <w:rPr>
                <w:rFonts w:hint="eastAsia" w:ascii="宋体" w:cs="宋体"/>
                <w:b/>
                <w:bCs/>
                <w:kern w:val="0"/>
                <w:szCs w:val="21"/>
                <w:lang w:val="zh-CN"/>
              </w:rPr>
              <w:t>目标</w:t>
            </w:r>
            <w:r>
              <w:rPr>
                <w:b/>
                <w:bCs/>
                <w:kern w:val="0"/>
                <w:szCs w:val="21"/>
              </w:rPr>
              <w:t>1</w:t>
            </w:r>
          </w:p>
          <w:p>
            <w:pPr>
              <w:autoSpaceDE w:val="0"/>
              <w:autoSpaceDN w:val="0"/>
              <w:adjustRightInd w:val="0"/>
              <w:jc w:val="center"/>
              <w:rPr>
                <w:rFonts w:ascii="宋体" w:cs="宋体"/>
                <w:kern w:val="0"/>
                <w:sz w:val="22"/>
                <w:szCs w:val="22"/>
                <w:lang w:val="zh-CN"/>
              </w:rPr>
            </w:pPr>
            <w:r>
              <w:rPr>
                <w:rFonts w:hint="eastAsia" w:ascii="宋体" w:cs="宋体"/>
                <w:b/>
                <w:bCs/>
                <w:kern w:val="0"/>
                <w:szCs w:val="21"/>
                <w:lang w:val="zh-CN"/>
              </w:rPr>
              <w:t>目标</w:t>
            </w:r>
            <w:r>
              <w:rPr>
                <w:b/>
                <w:bCs/>
                <w:kern w:val="0"/>
                <w:szCs w:val="21"/>
              </w:rPr>
              <w:t>2</w:t>
            </w:r>
          </w:p>
        </w:tc>
      </w:tr>
      <w:tr>
        <w:tblPrEx>
          <w:tblCellMar>
            <w:top w:w="0" w:type="dxa"/>
            <w:left w:w="108" w:type="dxa"/>
            <w:bottom w:w="0" w:type="dxa"/>
            <w:right w:w="108" w:type="dxa"/>
          </w:tblCellMar>
        </w:tblPrEx>
        <w:trPr>
          <w:trHeight w:val="454" w:hRule="atLeast"/>
          <w:jc w:val="center"/>
        </w:trPr>
        <w:tc>
          <w:tcPr>
            <w:tcW w:w="778"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cs="宋体"/>
                <w:kern w:val="0"/>
                <w:sz w:val="22"/>
                <w:szCs w:val="22"/>
                <w:lang w:val="zh-CN"/>
              </w:rPr>
            </w:pPr>
            <w:r>
              <w:rPr>
                <w:kern w:val="0"/>
                <w:szCs w:val="21"/>
              </w:rPr>
              <w:t>3</w:t>
            </w:r>
          </w:p>
        </w:tc>
        <w:tc>
          <w:tcPr>
            <w:tcW w:w="2632"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滴定分析基本操作练习</w:t>
            </w:r>
          </w:p>
        </w:tc>
        <w:tc>
          <w:tcPr>
            <w:tcW w:w="1134"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结合利用著名科学家的科研故事讲授</w:t>
            </w:r>
          </w:p>
        </w:tc>
        <w:tc>
          <w:tcPr>
            <w:tcW w:w="2028"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掌握滴定分析基本操作；掌握容量瓶和移液管的使用；熟悉酚酞、甲基橙等指示剂的使用。</w:t>
            </w:r>
          </w:p>
        </w:tc>
        <w:tc>
          <w:tcPr>
            <w:tcW w:w="699"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cs="宋体"/>
                <w:kern w:val="0"/>
                <w:sz w:val="22"/>
                <w:szCs w:val="22"/>
                <w:lang w:val="zh-CN"/>
              </w:rPr>
            </w:pPr>
            <w:r>
              <w:rPr>
                <w:kern w:val="0"/>
                <w:szCs w:val="21"/>
              </w:rPr>
              <w:t>4</w:t>
            </w:r>
          </w:p>
        </w:tc>
        <w:tc>
          <w:tcPr>
            <w:tcW w:w="975"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讲授</w:t>
            </w:r>
            <w:r>
              <w:rPr>
                <w:kern w:val="0"/>
                <w:szCs w:val="21"/>
              </w:rPr>
              <w:t>/</w:t>
            </w:r>
            <w:r>
              <w:rPr>
                <w:rFonts w:hint="eastAsia" w:ascii="宋体" w:cs="宋体"/>
                <w:kern w:val="0"/>
                <w:szCs w:val="21"/>
                <w:lang w:val="zh-CN"/>
              </w:rPr>
              <w:t>实验</w:t>
            </w:r>
            <w:r>
              <w:rPr>
                <w:kern w:val="0"/>
                <w:szCs w:val="21"/>
              </w:rPr>
              <w:t>/</w:t>
            </w:r>
            <w:r>
              <w:rPr>
                <w:rFonts w:hint="eastAsia" w:ascii="宋体" w:cs="宋体"/>
                <w:kern w:val="0"/>
                <w:szCs w:val="21"/>
                <w:lang w:val="zh-CN"/>
              </w:rPr>
              <w:t>讨论</w:t>
            </w:r>
            <w:r>
              <w:rPr>
                <w:kern w:val="0"/>
                <w:szCs w:val="21"/>
              </w:rPr>
              <w:t>/</w:t>
            </w:r>
            <w:r>
              <w:rPr>
                <w:rFonts w:hint="eastAsia" w:ascii="宋体" w:cs="宋体"/>
                <w:kern w:val="0"/>
                <w:szCs w:val="21"/>
                <w:lang w:val="zh-CN"/>
              </w:rPr>
              <w:t>等</w:t>
            </w:r>
          </w:p>
        </w:tc>
        <w:tc>
          <w:tcPr>
            <w:tcW w:w="925"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kern w:val="0"/>
                <w:szCs w:val="21"/>
              </w:rPr>
            </w:pPr>
            <w:r>
              <w:rPr>
                <w:rFonts w:hint="eastAsia" w:ascii="宋体" w:cs="宋体"/>
                <w:b/>
                <w:bCs/>
                <w:kern w:val="0"/>
                <w:szCs w:val="21"/>
                <w:lang w:val="zh-CN"/>
              </w:rPr>
              <w:t>目标</w:t>
            </w:r>
            <w:r>
              <w:rPr>
                <w:b/>
                <w:bCs/>
                <w:kern w:val="0"/>
                <w:szCs w:val="21"/>
              </w:rPr>
              <w:t>1</w:t>
            </w:r>
          </w:p>
          <w:p>
            <w:pPr>
              <w:autoSpaceDE w:val="0"/>
              <w:autoSpaceDN w:val="0"/>
              <w:adjustRightInd w:val="0"/>
              <w:jc w:val="center"/>
              <w:rPr>
                <w:rFonts w:ascii="宋体" w:cs="宋体"/>
                <w:kern w:val="0"/>
                <w:sz w:val="22"/>
                <w:szCs w:val="22"/>
                <w:lang w:val="zh-CN"/>
              </w:rPr>
            </w:pPr>
            <w:r>
              <w:rPr>
                <w:rFonts w:hint="eastAsia" w:ascii="宋体" w:cs="宋体"/>
                <w:b/>
                <w:bCs/>
                <w:kern w:val="0"/>
                <w:szCs w:val="21"/>
                <w:lang w:val="zh-CN"/>
              </w:rPr>
              <w:t>目标</w:t>
            </w:r>
            <w:r>
              <w:rPr>
                <w:b/>
                <w:bCs/>
                <w:kern w:val="0"/>
                <w:szCs w:val="21"/>
              </w:rPr>
              <w:t>2</w:t>
            </w:r>
          </w:p>
        </w:tc>
      </w:tr>
      <w:tr>
        <w:tblPrEx>
          <w:tblCellMar>
            <w:top w:w="0" w:type="dxa"/>
            <w:left w:w="108" w:type="dxa"/>
            <w:bottom w:w="0" w:type="dxa"/>
            <w:right w:w="108" w:type="dxa"/>
          </w:tblCellMar>
        </w:tblPrEx>
        <w:trPr>
          <w:trHeight w:val="454" w:hRule="atLeast"/>
          <w:jc w:val="center"/>
        </w:trPr>
        <w:tc>
          <w:tcPr>
            <w:tcW w:w="778"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cs="宋体"/>
                <w:kern w:val="0"/>
                <w:sz w:val="22"/>
                <w:szCs w:val="22"/>
                <w:lang w:val="zh-CN"/>
              </w:rPr>
            </w:pPr>
            <w:r>
              <w:rPr>
                <w:kern w:val="0"/>
                <w:szCs w:val="21"/>
              </w:rPr>
              <w:t>4</w:t>
            </w:r>
          </w:p>
        </w:tc>
        <w:tc>
          <w:tcPr>
            <w:tcW w:w="2632"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kern w:val="0"/>
                <w:szCs w:val="21"/>
              </w:rPr>
            </w:pPr>
            <w:r>
              <w:rPr>
                <w:rFonts w:hint="eastAsia" w:ascii="宋体" w:cs="宋体"/>
                <w:kern w:val="0"/>
                <w:szCs w:val="21"/>
                <w:lang w:val="zh-CN"/>
              </w:rPr>
              <w:t>铵盐中含氮量的测定</w:t>
            </w:r>
          </w:p>
          <w:p>
            <w:pPr>
              <w:autoSpaceDE w:val="0"/>
              <w:autoSpaceDN w:val="0"/>
              <w:adjustRightInd w:val="0"/>
              <w:rPr>
                <w:rFonts w:ascii="宋体" w:cs="宋体"/>
                <w:kern w:val="0"/>
                <w:sz w:val="22"/>
                <w:szCs w:val="22"/>
                <w:lang w:val="zh-CN"/>
              </w:rPr>
            </w:pPr>
            <w:r>
              <w:rPr>
                <w:rFonts w:hint="eastAsia" w:ascii="宋体" w:cs="宋体"/>
                <w:kern w:val="0"/>
                <w:szCs w:val="21"/>
                <w:lang w:val="zh-CN"/>
              </w:rPr>
              <w:t>或工业硼酸含量的测定</w:t>
            </w:r>
          </w:p>
        </w:tc>
        <w:tc>
          <w:tcPr>
            <w:tcW w:w="1134"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p>
        </w:tc>
        <w:tc>
          <w:tcPr>
            <w:tcW w:w="2028"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掌握</w:t>
            </w:r>
            <w:r>
              <w:rPr>
                <w:kern w:val="0"/>
                <w:szCs w:val="21"/>
              </w:rPr>
              <w:t>NaOH</w:t>
            </w:r>
            <w:r>
              <w:rPr>
                <w:rFonts w:hint="eastAsia" w:ascii="宋体" w:cs="宋体"/>
                <w:kern w:val="0"/>
                <w:szCs w:val="21"/>
                <w:lang w:val="zh-CN"/>
              </w:rPr>
              <w:t>标准溶液的配制与标定方法；掌握碱式滴定管的使用方法；掌握铵盐中含氮量或工业硼酸含量的测定方法。</w:t>
            </w:r>
          </w:p>
        </w:tc>
        <w:tc>
          <w:tcPr>
            <w:tcW w:w="699"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cs="宋体"/>
                <w:kern w:val="0"/>
                <w:sz w:val="22"/>
                <w:szCs w:val="22"/>
                <w:lang w:val="zh-CN"/>
              </w:rPr>
            </w:pPr>
            <w:r>
              <w:rPr>
                <w:kern w:val="0"/>
                <w:szCs w:val="21"/>
              </w:rPr>
              <w:t>4</w:t>
            </w:r>
          </w:p>
        </w:tc>
        <w:tc>
          <w:tcPr>
            <w:tcW w:w="975"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讲授</w:t>
            </w:r>
            <w:r>
              <w:rPr>
                <w:kern w:val="0"/>
                <w:szCs w:val="21"/>
              </w:rPr>
              <w:t>/</w:t>
            </w:r>
            <w:r>
              <w:rPr>
                <w:rFonts w:hint="eastAsia" w:ascii="宋体" w:cs="宋体"/>
                <w:kern w:val="0"/>
                <w:szCs w:val="21"/>
                <w:lang w:val="zh-CN"/>
              </w:rPr>
              <w:t>实验</w:t>
            </w:r>
            <w:r>
              <w:rPr>
                <w:kern w:val="0"/>
                <w:szCs w:val="21"/>
              </w:rPr>
              <w:t>/</w:t>
            </w:r>
            <w:r>
              <w:rPr>
                <w:rFonts w:hint="eastAsia" w:ascii="宋体" w:cs="宋体"/>
                <w:kern w:val="0"/>
                <w:szCs w:val="21"/>
                <w:lang w:val="zh-CN"/>
              </w:rPr>
              <w:t>讨论</w:t>
            </w:r>
            <w:r>
              <w:rPr>
                <w:kern w:val="0"/>
                <w:szCs w:val="21"/>
              </w:rPr>
              <w:t>/</w:t>
            </w:r>
            <w:r>
              <w:rPr>
                <w:rFonts w:hint="eastAsia"/>
                <w:kern w:val="0"/>
                <w:szCs w:val="21"/>
                <w:lang w:val="en-US" w:eastAsia="zh-CN"/>
              </w:rPr>
              <w:t>设计</w:t>
            </w:r>
            <w:r>
              <w:rPr>
                <w:kern w:val="0"/>
                <w:szCs w:val="21"/>
              </w:rPr>
              <w:t>/</w:t>
            </w:r>
            <w:r>
              <w:rPr>
                <w:rFonts w:hint="eastAsia" w:ascii="宋体" w:cs="宋体"/>
                <w:kern w:val="0"/>
                <w:szCs w:val="21"/>
                <w:lang w:val="zh-CN"/>
              </w:rPr>
              <w:t>等</w:t>
            </w:r>
          </w:p>
        </w:tc>
        <w:tc>
          <w:tcPr>
            <w:tcW w:w="925"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kern w:val="0"/>
                <w:szCs w:val="21"/>
              </w:rPr>
            </w:pPr>
            <w:r>
              <w:rPr>
                <w:rFonts w:hint="eastAsia" w:ascii="宋体" w:cs="宋体"/>
                <w:b/>
                <w:bCs/>
                <w:kern w:val="0"/>
                <w:szCs w:val="21"/>
                <w:lang w:val="zh-CN"/>
              </w:rPr>
              <w:t>目标</w:t>
            </w:r>
            <w:r>
              <w:rPr>
                <w:b/>
                <w:bCs/>
                <w:kern w:val="0"/>
                <w:szCs w:val="21"/>
              </w:rPr>
              <w:t>1</w:t>
            </w:r>
          </w:p>
          <w:p>
            <w:pPr>
              <w:autoSpaceDE w:val="0"/>
              <w:autoSpaceDN w:val="0"/>
              <w:adjustRightInd w:val="0"/>
              <w:jc w:val="center"/>
              <w:rPr>
                <w:rFonts w:ascii="宋体" w:cs="宋体"/>
                <w:kern w:val="0"/>
                <w:sz w:val="22"/>
                <w:szCs w:val="22"/>
                <w:lang w:val="zh-CN"/>
              </w:rPr>
            </w:pPr>
            <w:r>
              <w:rPr>
                <w:rFonts w:hint="eastAsia" w:ascii="宋体" w:cs="宋体"/>
                <w:b/>
                <w:bCs/>
                <w:kern w:val="0"/>
                <w:szCs w:val="21"/>
                <w:lang w:val="zh-CN"/>
              </w:rPr>
              <w:t>目标</w:t>
            </w:r>
            <w:r>
              <w:rPr>
                <w:b/>
                <w:bCs/>
                <w:kern w:val="0"/>
                <w:szCs w:val="21"/>
              </w:rPr>
              <w:t>2</w:t>
            </w:r>
          </w:p>
        </w:tc>
      </w:tr>
      <w:tr>
        <w:tblPrEx>
          <w:tblCellMar>
            <w:top w:w="0" w:type="dxa"/>
            <w:left w:w="108" w:type="dxa"/>
            <w:bottom w:w="0" w:type="dxa"/>
            <w:right w:w="108" w:type="dxa"/>
          </w:tblCellMar>
        </w:tblPrEx>
        <w:trPr>
          <w:trHeight w:val="454" w:hRule="atLeast"/>
          <w:jc w:val="center"/>
        </w:trPr>
        <w:tc>
          <w:tcPr>
            <w:tcW w:w="778"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cs="宋体"/>
                <w:kern w:val="0"/>
                <w:sz w:val="22"/>
                <w:szCs w:val="22"/>
                <w:lang w:val="zh-CN"/>
              </w:rPr>
            </w:pPr>
            <w:r>
              <w:rPr>
                <w:kern w:val="0"/>
                <w:szCs w:val="21"/>
              </w:rPr>
              <w:t>5</w:t>
            </w:r>
          </w:p>
        </w:tc>
        <w:tc>
          <w:tcPr>
            <w:tcW w:w="2632"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工业碱分析（双指示剂法）</w:t>
            </w:r>
          </w:p>
        </w:tc>
        <w:tc>
          <w:tcPr>
            <w:tcW w:w="1134"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讲授候氏制碱法引入实验内容</w:t>
            </w:r>
          </w:p>
        </w:tc>
        <w:tc>
          <w:tcPr>
            <w:tcW w:w="2028"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掌握</w:t>
            </w:r>
            <w:r>
              <w:rPr>
                <w:kern w:val="0"/>
                <w:szCs w:val="21"/>
              </w:rPr>
              <w:t>HCl</w:t>
            </w:r>
            <w:r>
              <w:rPr>
                <w:rFonts w:hint="eastAsia" w:ascii="宋体" w:cs="宋体"/>
                <w:kern w:val="0"/>
                <w:szCs w:val="21"/>
                <w:lang w:val="zh-CN"/>
              </w:rPr>
              <w:t>标准溶液的配制与标定方法；掌握酸式滴定管的使用方法；理解双指示剂法测定混合碱。</w:t>
            </w:r>
          </w:p>
        </w:tc>
        <w:tc>
          <w:tcPr>
            <w:tcW w:w="699"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cs="宋体"/>
                <w:kern w:val="0"/>
                <w:sz w:val="22"/>
                <w:szCs w:val="22"/>
                <w:lang w:val="zh-CN"/>
              </w:rPr>
            </w:pPr>
            <w:r>
              <w:rPr>
                <w:kern w:val="0"/>
                <w:szCs w:val="21"/>
              </w:rPr>
              <w:t>4</w:t>
            </w:r>
          </w:p>
        </w:tc>
        <w:tc>
          <w:tcPr>
            <w:tcW w:w="975"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讲授</w:t>
            </w:r>
            <w:r>
              <w:rPr>
                <w:kern w:val="0"/>
                <w:szCs w:val="21"/>
              </w:rPr>
              <w:t>/</w:t>
            </w:r>
            <w:r>
              <w:rPr>
                <w:rFonts w:hint="eastAsia" w:ascii="宋体" w:cs="宋体"/>
                <w:kern w:val="0"/>
                <w:szCs w:val="21"/>
                <w:lang w:val="zh-CN"/>
              </w:rPr>
              <w:t>实验</w:t>
            </w:r>
            <w:r>
              <w:rPr>
                <w:kern w:val="0"/>
                <w:szCs w:val="21"/>
              </w:rPr>
              <w:t>/</w:t>
            </w:r>
            <w:r>
              <w:rPr>
                <w:rFonts w:hint="eastAsia" w:ascii="宋体" w:cs="宋体"/>
                <w:kern w:val="0"/>
                <w:szCs w:val="21"/>
                <w:lang w:val="zh-CN"/>
              </w:rPr>
              <w:t>讨论</w:t>
            </w:r>
            <w:r>
              <w:rPr>
                <w:kern w:val="0"/>
                <w:szCs w:val="21"/>
              </w:rPr>
              <w:t>/</w:t>
            </w:r>
            <w:r>
              <w:rPr>
                <w:rFonts w:hint="eastAsia" w:ascii="宋体" w:cs="宋体"/>
                <w:kern w:val="0"/>
                <w:szCs w:val="21"/>
                <w:lang w:val="zh-CN"/>
              </w:rPr>
              <w:t>等</w:t>
            </w:r>
          </w:p>
        </w:tc>
        <w:tc>
          <w:tcPr>
            <w:tcW w:w="925"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kern w:val="0"/>
                <w:szCs w:val="21"/>
              </w:rPr>
            </w:pPr>
            <w:r>
              <w:rPr>
                <w:rFonts w:hint="eastAsia" w:ascii="宋体" w:cs="宋体"/>
                <w:b/>
                <w:bCs/>
                <w:kern w:val="0"/>
                <w:szCs w:val="21"/>
                <w:lang w:val="zh-CN"/>
              </w:rPr>
              <w:t>目标</w:t>
            </w:r>
            <w:r>
              <w:rPr>
                <w:b/>
                <w:bCs/>
                <w:kern w:val="0"/>
                <w:szCs w:val="21"/>
              </w:rPr>
              <w:t>1</w:t>
            </w:r>
          </w:p>
          <w:p>
            <w:pPr>
              <w:autoSpaceDE w:val="0"/>
              <w:autoSpaceDN w:val="0"/>
              <w:adjustRightInd w:val="0"/>
              <w:jc w:val="center"/>
              <w:rPr>
                <w:rFonts w:ascii="宋体" w:cs="宋体"/>
                <w:kern w:val="0"/>
                <w:sz w:val="22"/>
                <w:szCs w:val="22"/>
                <w:lang w:val="zh-CN"/>
              </w:rPr>
            </w:pPr>
            <w:r>
              <w:rPr>
                <w:rFonts w:hint="eastAsia" w:ascii="宋体" w:cs="宋体"/>
                <w:b/>
                <w:bCs/>
                <w:kern w:val="0"/>
                <w:szCs w:val="21"/>
                <w:lang w:val="zh-CN"/>
              </w:rPr>
              <w:t>目标</w:t>
            </w:r>
            <w:r>
              <w:rPr>
                <w:b/>
                <w:bCs/>
                <w:kern w:val="0"/>
                <w:szCs w:val="21"/>
              </w:rPr>
              <w:t>2</w:t>
            </w:r>
          </w:p>
        </w:tc>
      </w:tr>
      <w:tr>
        <w:tblPrEx>
          <w:tblCellMar>
            <w:top w:w="0" w:type="dxa"/>
            <w:left w:w="108" w:type="dxa"/>
            <w:bottom w:w="0" w:type="dxa"/>
            <w:right w:w="108" w:type="dxa"/>
          </w:tblCellMar>
        </w:tblPrEx>
        <w:trPr>
          <w:trHeight w:val="454" w:hRule="atLeast"/>
          <w:jc w:val="center"/>
        </w:trPr>
        <w:tc>
          <w:tcPr>
            <w:tcW w:w="778"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cs="宋体"/>
                <w:kern w:val="0"/>
                <w:sz w:val="22"/>
                <w:szCs w:val="22"/>
                <w:lang w:val="zh-CN"/>
              </w:rPr>
            </w:pPr>
            <w:r>
              <w:rPr>
                <w:kern w:val="0"/>
                <w:szCs w:val="21"/>
              </w:rPr>
              <w:t>6</w:t>
            </w:r>
          </w:p>
        </w:tc>
        <w:tc>
          <w:tcPr>
            <w:tcW w:w="2632"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工业用水总硬度的测定</w:t>
            </w:r>
          </w:p>
        </w:tc>
        <w:tc>
          <w:tcPr>
            <w:tcW w:w="1134"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p>
        </w:tc>
        <w:tc>
          <w:tcPr>
            <w:tcW w:w="2028"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掌握</w:t>
            </w:r>
            <w:r>
              <w:rPr>
                <w:kern w:val="0"/>
                <w:szCs w:val="21"/>
              </w:rPr>
              <w:t>EDTA</w:t>
            </w:r>
            <w:r>
              <w:rPr>
                <w:rFonts w:hint="eastAsia" w:ascii="宋体" w:cs="宋体"/>
                <w:kern w:val="0"/>
                <w:szCs w:val="21"/>
                <w:lang w:val="zh-CN"/>
              </w:rPr>
              <w:t>标准溶液的配制和标定方法；掌握测定水硬度的方法；熟悉铬黑</w:t>
            </w:r>
            <w:r>
              <w:rPr>
                <w:kern w:val="0"/>
                <w:szCs w:val="21"/>
              </w:rPr>
              <w:t>T</w:t>
            </w:r>
            <w:r>
              <w:rPr>
                <w:rFonts w:hint="eastAsia" w:ascii="宋体" w:cs="宋体"/>
                <w:kern w:val="0"/>
                <w:szCs w:val="21"/>
                <w:lang w:val="zh-CN"/>
              </w:rPr>
              <w:t>指示剂滴定终点的判断；了解络合滴定法测定水的硬度的原理、水硬度的表示方法。</w:t>
            </w:r>
          </w:p>
        </w:tc>
        <w:tc>
          <w:tcPr>
            <w:tcW w:w="699"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cs="宋体"/>
                <w:kern w:val="0"/>
                <w:sz w:val="22"/>
                <w:szCs w:val="22"/>
                <w:lang w:val="zh-CN"/>
              </w:rPr>
            </w:pPr>
            <w:r>
              <w:rPr>
                <w:kern w:val="0"/>
                <w:szCs w:val="21"/>
              </w:rPr>
              <w:t>4</w:t>
            </w:r>
          </w:p>
        </w:tc>
        <w:tc>
          <w:tcPr>
            <w:tcW w:w="975"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讲授</w:t>
            </w:r>
            <w:r>
              <w:rPr>
                <w:kern w:val="0"/>
                <w:szCs w:val="21"/>
              </w:rPr>
              <w:t>/</w:t>
            </w:r>
            <w:r>
              <w:rPr>
                <w:rFonts w:hint="eastAsia" w:ascii="宋体" w:cs="宋体"/>
                <w:kern w:val="0"/>
                <w:szCs w:val="21"/>
                <w:lang w:val="zh-CN"/>
              </w:rPr>
              <w:t>实验</w:t>
            </w:r>
            <w:r>
              <w:rPr>
                <w:kern w:val="0"/>
                <w:szCs w:val="21"/>
              </w:rPr>
              <w:t>/</w:t>
            </w:r>
            <w:r>
              <w:rPr>
                <w:rFonts w:hint="eastAsia" w:ascii="宋体" w:cs="宋体"/>
                <w:kern w:val="0"/>
                <w:szCs w:val="21"/>
                <w:lang w:val="zh-CN"/>
              </w:rPr>
              <w:t>讨论</w:t>
            </w:r>
            <w:r>
              <w:rPr>
                <w:kern w:val="0"/>
                <w:szCs w:val="21"/>
              </w:rPr>
              <w:t>/</w:t>
            </w:r>
            <w:r>
              <w:rPr>
                <w:rFonts w:hint="eastAsia" w:ascii="宋体" w:cs="宋体"/>
                <w:kern w:val="0"/>
                <w:szCs w:val="21"/>
                <w:lang w:val="zh-CN"/>
              </w:rPr>
              <w:t>等</w:t>
            </w:r>
          </w:p>
        </w:tc>
        <w:tc>
          <w:tcPr>
            <w:tcW w:w="925"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kern w:val="0"/>
                <w:szCs w:val="21"/>
              </w:rPr>
            </w:pPr>
            <w:r>
              <w:rPr>
                <w:rFonts w:hint="eastAsia" w:ascii="宋体" w:cs="宋体"/>
                <w:b/>
                <w:bCs/>
                <w:kern w:val="0"/>
                <w:szCs w:val="21"/>
                <w:lang w:val="zh-CN"/>
              </w:rPr>
              <w:t>目标</w:t>
            </w:r>
            <w:r>
              <w:rPr>
                <w:b/>
                <w:bCs/>
                <w:kern w:val="0"/>
                <w:szCs w:val="21"/>
              </w:rPr>
              <w:t>1</w:t>
            </w:r>
          </w:p>
          <w:p>
            <w:pPr>
              <w:autoSpaceDE w:val="0"/>
              <w:autoSpaceDN w:val="0"/>
              <w:adjustRightInd w:val="0"/>
              <w:jc w:val="center"/>
              <w:rPr>
                <w:rFonts w:ascii="宋体" w:cs="宋体"/>
                <w:kern w:val="0"/>
                <w:sz w:val="22"/>
                <w:szCs w:val="22"/>
                <w:lang w:val="zh-CN"/>
              </w:rPr>
            </w:pPr>
            <w:r>
              <w:rPr>
                <w:rFonts w:hint="eastAsia" w:ascii="宋体" w:cs="宋体"/>
                <w:b/>
                <w:bCs/>
                <w:kern w:val="0"/>
                <w:szCs w:val="21"/>
                <w:lang w:val="zh-CN"/>
              </w:rPr>
              <w:t>目标</w:t>
            </w:r>
            <w:r>
              <w:rPr>
                <w:b/>
                <w:bCs/>
                <w:kern w:val="0"/>
                <w:szCs w:val="21"/>
              </w:rPr>
              <w:t>2</w:t>
            </w:r>
          </w:p>
        </w:tc>
      </w:tr>
      <w:tr>
        <w:tblPrEx>
          <w:tblCellMar>
            <w:top w:w="0" w:type="dxa"/>
            <w:left w:w="108" w:type="dxa"/>
            <w:bottom w:w="0" w:type="dxa"/>
            <w:right w:w="108" w:type="dxa"/>
          </w:tblCellMar>
        </w:tblPrEx>
        <w:trPr>
          <w:trHeight w:val="454" w:hRule="atLeast"/>
          <w:jc w:val="center"/>
        </w:trPr>
        <w:tc>
          <w:tcPr>
            <w:tcW w:w="778"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cs="宋体"/>
                <w:kern w:val="0"/>
                <w:sz w:val="22"/>
                <w:szCs w:val="22"/>
                <w:lang w:val="zh-CN"/>
              </w:rPr>
            </w:pPr>
            <w:r>
              <w:rPr>
                <w:kern w:val="0"/>
                <w:szCs w:val="21"/>
              </w:rPr>
              <w:t>7</w:t>
            </w:r>
          </w:p>
        </w:tc>
        <w:tc>
          <w:tcPr>
            <w:tcW w:w="2632"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kern w:val="0"/>
                <w:szCs w:val="21"/>
              </w:rPr>
            </w:pPr>
            <w:r>
              <w:rPr>
                <w:rFonts w:hint="eastAsia" w:ascii="宋体" w:cs="宋体"/>
                <w:kern w:val="0"/>
                <w:szCs w:val="21"/>
                <w:lang w:val="zh-CN"/>
              </w:rPr>
              <w:t>过氧化氢含量的测定</w:t>
            </w:r>
          </w:p>
          <w:p>
            <w:pPr>
              <w:autoSpaceDE w:val="0"/>
              <w:autoSpaceDN w:val="0"/>
              <w:adjustRightInd w:val="0"/>
              <w:rPr>
                <w:rFonts w:ascii="宋体" w:cs="宋体"/>
                <w:kern w:val="0"/>
                <w:sz w:val="22"/>
                <w:szCs w:val="22"/>
                <w:lang w:val="zh-CN"/>
              </w:rPr>
            </w:pPr>
            <w:r>
              <w:rPr>
                <w:rFonts w:hint="eastAsia" w:ascii="宋体" w:cs="宋体"/>
                <w:kern w:val="0"/>
                <w:szCs w:val="21"/>
                <w:lang w:val="zh-CN"/>
              </w:rPr>
              <w:t>或铜盐中铜含量的测定</w:t>
            </w:r>
          </w:p>
        </w:tc>
        <w:tc>
          <w:tcPr>
            <w:tcW w:w="1134"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通过职业素养的养成要求引入实验教学内容</w:t>
            </w:r>
          </w:p>
        </w:tc>
        <w:tc>
          <w:tcPr>
            <w:tcW w:w="2028"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掌握高锰酸钾（或硫代硫酸钠）标准溶液的配制和标定方法；掌握测定水过氧化氢含量或铜盐中铜含量的测定的方法；熟悉高锰酸钾自身指示剂或淀粉专属指示剂指示滴定终点的判断。</w:t>
            </w:r>
          </w:p>
        </w:tc>
        <w:tc>
          <w:tcPr>
            <w:tcW w:w="699"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cs="宋体"/>
                <w:kern w:val="0"/>
                <w:sz w:val="22"/>
                <w:szCs w:val="22"/>
                <w:lang w:val="zh-CN"/>
              </w:rPr>
            </w:pPr>
            <w:r>
              <w:rPr>
                <w:kern w:val="0"/>
                <w:szCs w:val="21"/>
              </w:rPr>
              <w:t>4</w:t>
            </w:r>
          </w:p>
        </w:tc>
        <w:tc>
          <w:tcPr>
            <w:tcW w:w="975"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讲授</w:t>
            </w:r>
            <w:r>
              <w:rPr>
                <w:kern w:val="0"/>
                <w:szCs w:val="21"/>
              </w:rPr>
              <w:t>/</w:t>
            </w:r>
            <w:r>
              <w:rPr>
                <w:rFonts w:hint="eastAsia" w:ascii="宋体" w:cs="宋体"/>
                <w:kern w:val="0"/>
                <w:szCs w:val="21"/>
                <w:lang w:val="zh-CN"/>
              </w:rPr>
              <w:t>实验</w:t>
            </w:r>
            <w:r>
              <w:rPr>
                <w:kern w:val="0"/>
                <w:szCs w:val="21"/>
              </w:rPr>
              <w:t>/</w:t>
            </w:r>
            <w:r>
              <w:rPr>
                <w:rFonts w:hint="eastAsia" w:ascii="宋体" w:cs="宋体"/>
                <w:kern w:val="0"/>
                <w:szCs w:val="21"/>
                <w:lang w:val="zh-CN"/>
              </w:rPr>
              <w:t>讨论</w:t>
            </w:r>
            <w:r>
              <w:rPr>
                <w:kern w:val="0"/>
                <w:szCs w:val="21"/>
              </w:rPr>
              <w:t>/</w:t>
            </w:r>
            <w:r>
              <w:rPr>
                <w:rFonts w:hint="eastAsia" w:ascii="宋体" w:cs="宋体"/>
                <w:kern w:val="0"/>
                <w:szCs w:val="21"/>
                <w:lang w:val="zh-CN"/>
              </w:rPr>
              <w:t>等</w:t>
            </w:r>
          </w:p>
        </w:tc>
        <w:tc>
          <w:tcPr>
            <w:tcW w:w="925"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kern w:val="0"/>
                <w:szCs w:val="21"/>
              </w:rPr>
            </w:pPr>
            <w:r>
              <w:rPr>
                <w:rFonts w:hint="eastAsia" w:ascii="宋体" w:cs="宋体"/>
                <w:b/>
                <w:bCs/>
                <w:kern w:val="0"/>
                <w:szCs w:val="21"/>
                <w:lang w:val="zh-CN"/>
              </w:rPr>
              <w:t>目标</w:t>
            </w:r>
            <w:r>
              <w:rPr>
                <w:b/>
                <w:bCs/>
                <w:kern w:val="0"/>
                <w:szCs w:val="21"/>
              </w:rPr>
              <w:t>1</w:t>
            </w:r>
          </w:p>
          <w:p>
            <w:pPr>
              <w:autoSpaceDE w:val="0"/>
              <w:autoSpaceDN w:val="0"/>
              <w:adjustRightInd w:val="0"/>
              <w:jc w:val="center"/>
              <w:rPr>
                <w:rFonts w:ascii="宋体" w:cs="宋体"/>
                <w:kern w:val="0"/>
                <w:sz w:val="22"/>
                <w:szCs w:val="22"/>
                <w:lang w:val="zh-CN"/>
              </w:rPr>
            </w:pPr>
            <w:r>
              <w:rPr>
                <w:rFonts w:hint="eastAsia" w:ascii="宋体" w:cs="宋体"/>
                <w:b/>
                <w:bCs/>
                <w:kern w:val="0"/>
                <w:szCs w:val="21"/>
                <w:lang w:val="zh-CN"/>
              </w:rPr>
              <w:t>目标</w:t>
            </w:r>
            <w:r>
              <w:rPr>
                <w:b/>
                <w:bCs/>
                <w:kern w:val="0"/>
                <w:szCs w:val="21"/>
              </w:rPr>
              <w:t>2</w:t>
            </w:r>
          </w:p>
        </w:tc>
      </w:tr>
      <w:tr>
        <w:tblPrEx>
          <w:tblCellMar>
            <w:top w:w="0" w:type="dxa"/>
            <w:left w:w="108" w:type="dxa"/>
            <w:bottom w:w="0" w:type="dxa"/>
            <w:right w:w="108" w:type="dxa"/>
          </w:tblCellMar>
        </w:tblPrEx>
        <w:trPr>
          <w:trHeight w:val="454" w:hRule="atLeast"/>
          <w:jc w:val="center"/>
        </w:trPr>
        <w:tc>
          <w:tcPr>
            <w:tcW w:w="778"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cs="宋体"/>
                <w:kern w:val="0"/>
                <w:sz w:val="22"/>
                <w:szCs w:val="22"/>
                <w:lang w:val="zh-CN"/>
              </w:rPr>
            </w:pPr>
            <w:r>
              <w:rPr>
                <w:kern w:val="0"/>
                <w:szCs w:val="21"/>
              </w:rPr>
              <w:t>8</w:t>
            </w:r>
          </w:p>
        </w:tc>
        <w:tc>
          <w:tcPr>
            <w:tcW w:w="2632"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工业产品中氯的测定</w:t>
            </w:r>
          </w:p>
        </w:tc>
        <w:tc>
          <w:tcPr>
            <w:tcW w:w="1134"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p>
        </w:tc>
        <w:tc>
          <w:tcPr>
            <w:tcW w:w="2028"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掌握铬酸钾指示剂法或吸附指示剂法指示终点的原理及应用条件；掌握标定硝酸银标准溶液的原理及方法；熟悉工业产品中氯离子含量的测定方法。</w:t>
            </w:r>
          </w:p>
        </w:tc>
        <w:tc>
          <w:tcPr>
            <w:tcW w:w="699"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cs="宋体"/>
                <w:kern w:val="0"/>
                <w:sz w:val="22"/>
                <w:szCs w:val="22"/>
                <w:lang w:val="zh-CN"/>
              </w:rPr>
            </w:pPr>
            <w:r>
              <w:rPr>
                <w:kern w:val="0"/>
                <w:szCs w:val="21"/>
              </w:rPr>
              <w:t>4</w:t>
            </w:r>
          </w:p>
        </w:tc>
        <w:tc>
          <w:tcPr>
            <w:tcW w:w="975"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讲授</w:t>
            </w:r>
            <w:r>
              <w:rPr>
                <w:kern w:val="0"/>
                <w:szCs w:val="21"/>
              </w:rPr>
              <w:t>/</w:t>
            </w:r>
            <w:r>
              <w:rPr>
                <w:rFonts w:hint="eastAsia" w:ascii="宋体" w:cs="宋体"/>
                <w:kern w:val="0"/>
                <w:szCs w:val="21"/>
                <w:lang w:val="zh-CN"/>
              </w:rPr>
              <w:t>实验</w:t>
            </w:r>
            <w:r>
              <w:rPr>
                <w:kern w:val="0"/>
                <w:szCs w:val="21"/>
              </w:rPr>
              <w:t>/</w:t>
            </w:r>
            <w:r>
              <w:rPr>
                <w:rFonts w:hint="eastAsia" w:ascii="宋体" w:cs="宋体"/>
                <w:kern w:val="0"/>
                <w:szCs w:val="21"/>
                <w:lang w:val="zh-CN"/>
              </w:rPr>
              <w:t>讨论</w:t>
            </w:r>
            <w:r>
              <w:rPr>
                <w:kern w:val="0"/>
                <w:szCs w:val="21"/>
              </w:rPr>
              <w:t>/</w:t>
            </w:r>
            <w:r>
              <w:rPr>
                <w:rFonts w:hint="eastAsia" w:ascii="宋体" w:cs="宋体"/>
                <w:kern w:val="0"/>
                <w:szCs w:val="21"/>
                <w:lang w:val="zh-CN"/>
              </w:rPr>
              <w:t>等</w:t>
            </w:r>
          </w:p>
        </w:tc>
        <w:tc>
          <w:tcPr>
            <w:tcW w:w="925"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kern w:val="0"/>
                <w:szCs w:val="21"/>
              </w:rPr>
            </w:pPr>
            <w:r>
              <w:rPr>
                <w:rFonts w:hint="eastAsia" w:ascii="宋体" w:cs="宋体"/>
                <w:b/>
                <w:bCs/>
                <w:kern w:val="0"/>
                <w:szCs w:val="21"/>
                <w:lang w:val="zh-CN"/>
              </w:rPr>
              <w:t>目标</w:t>
            </w:r>
            <w:r>
              <w:rPr>
                <w:b/>
                <w:bCs/>
                <w:kern w:val="0"/>
                <w:szCs w:val="21"/>
              </w:rPr>
              <w:t>1</w:t>
            </w:r>
          </w:p>
          <w:p>
            <w:pPr>
              <w:autoSpaceDE w:val="0"/>
              <w:autoSpaceDN w:val="0"/>
              <w:adjustRightInd w:val="0"/>
              <w:jc w:val="center"/>
              <w:rPr>
                <w:rFonts w:ascii="宋体" w:cs="宋体"/>
                <w:kern w:val="0"/>
                <w:sz w:val="22"/>
                <w:szCs w:val="22"/>
                <w:lang w:val="zh-CN"/>
              </w:rPr>
            </w:pPr>
            <w:r>
              <w:rPr>
                <w:rFonts w:hint="eastAsia" w:ascii="宋体" w:cs="宋体"/>
                <w:b/>
                <w:bCs/>
                <w:kern w:val="0"/>
                <w:szCs w:val="21"/>
                <w:lang w:val="zh-CN"/>
              </w:rPr>
              <w:t>目标</w:t>
            </w:r>
            <w:r>
              <w:rPr>
                <w:b/>
                <w:bCs/>
                <w:kern w:val="0"/>
                <w:szCs w:val="21"/>
              </w:rPr>
              <w:t>2</w:t>
            </w:r>
          </w:p>
        </w:tc>
      </w:tr>
      <w:tr>
        <w:tblPrEx>
          <w:tblCellMar>
            <w:top w:w="0" w:type="dxa"/>
            <w:left w:w="108" w:type="dxa"/>
            <w:bottom w:w="0" w:type="dxa"/>
            <w:right w:w="108" w:type="dxa"/>
          </w:tblCellMar>
        </w:tblPrEx>
        <w:trPr>
          <w:trHeight w:val="454" w:hRule="atLeast"/>
          <w:jc w:val="center"/>
        </w:trPr>
        <w:tc>
          <w:tcPr>
            <w:tcW w:w="778"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cs="宋体"/>
                <w:kern w:val="0"/>
                <w:sz w:val="22"/>
                <w:szCs w:val="22"/>
                <w:lang w:val="zh-CN"/>
              </w:rPr>
            </w:pPr>
            <w:r>
              <w:rPr>
                <w:kern w:val="0"/>
                <w:szCs w:val="21"/>
              </w:rPr>
              <w:t>9</w:t>
            </w:r>
          </w:p>
        </w:tc>
        <w:tc>
          <w:tcPr>
            <w:tcW w:w="2632"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化学分析实验设计（考查）</w:t>
            </w:r>
          </w:p>
        </w:tc>
        <w:tc>
          <w:tcPr>
            <w:tcW w:w="1134"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p>
        </w:tc>
        <w:tc>
          <w:tcPr>
            <w:tcW w:w="2028"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熟悉各种滴定方法；掌握方案设计的方法；能对目标物质设计出合理的测定方案；提高分析问题、解决问题的能力。</w:t>
            </w:r>
          </w:p>
        </w:tc>
        <w:tc>
          <w:tcPr>
            <w:tcW w:w="699"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rFonts w:ascii="宋体" w:cs="宋体"/>
                <w:kern w:val="0"/>
                <w:sz w:val="22"/>
                <w:szCs w:val="22"/>
                <w:lang w:val="zh-CN"/>
              </w:rPr>
            </w:pPr>
            <w:r>
              <w:rPr>
                <w:kern w:val="0"/>
                <w:szCs w:val="21"/>
              </w:rPr>
              <w:t>4</w:t>
            </w:r>
          </w:p>
        </w:tc>
        <w:tc>
          <w:tcPr>
            <w:tcW w:w="975"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讲授</w:t>
            </w:r>
            <w:r>
              <w:rPr>
                <w:kern w:val="0"/>
                <w:szCs w:val="21"/>
              </w:rPr>
              <w:t>/</w:t>
            </w:r>
            <w:r>
              <w:rPr>
                <w:rFonts w:hint="eastAsia" w:ascii="宋体" w:cs="宋体"/>
                <w:kern w:val="0"/>
                <w:szCs w:val="21"/>
                <w:lang w:val="zh-CN"/>
              </w:rPr>
              <w:t>讨论</w:t>
            </w:r>
            <w:r>
              <w:rPr>
                <w:kern w:val="0"/>
                <w:szCs w:val="21"/>
              </w:rPr>
              <w:t>/</w:t>
            </w:r>
            <w:r>
              <w:rPr>
                <w:rFonts w:hint="eastAsia"/>
                <w:kern w:val="0"/>
                <w:szCs w:val="21"/>
                <w:lang w:val="en-US" w:eastAsia="zh-CN"/>
              </w:rPr>
              <w:t>设计</w:t>
            </w:r>
            <w:r>
              <w:rPr>
                <w:kern w:val="0"/>
                <w:szCs w:val="21"/>
              </w:rPr>
              <w:t>/</w:t>
            </w:r>
            <w:r>
              <w:rPr>
                <w:rFonts w:hint="eastAsia" w:ascii="宋体" w:cs="宋体"/>
                <w:kern w:val="0"/>
                <w:szCs w:val="21"/>
                <w:lang w:val="zh-CN"/>
              </w:rPr>
              <w:t>实验等</w:t>
            </w:r>
          </w:p>
        </w:tc>
        <w:tc>
          <w:tcPr>
            <w:tcW w:w="925" w:type="dxa"/>
            <w:tcBorders>
              <w:top w:val="single" w:color="000000" w:sz="2" w:space="0"/>
              <w:left w:val="single" w:color="000000" w:sz="2" w:space="0"/>
              <w:bottom w:val="single" w:color="000000" w:sz="2" w:space="0"/>
              <w:right w:val="single" w:color="000000" w:sz="2" w:space="0"/>
            </w:tcBorders>
            <w:noWrap w:val="0"/>
            <w:vAlign w:val="center"/>
          </w:tcPr>
          <w:p>
            <w:pPr>
              <w:autoSpaceDE w:val="0"/>
              <w:autoSpaceDN w:val="0"/>
              <w:adjustRightInd w:val="0"/>
              <w:jc w:val="center"/>
              <w:rPr>
                <w:kern w:val="0"/>
                <w:szCs w:val="21"/>
              </w:rPr>
            </w:pPr>
            <w:r>
              <w:rPr>
                <w:rFonts w:hint="eastAsia" w:ascii="宋体" w:cs="宋体"/>
                <w:b/>
                <w:bCs/>
                <w:kern w:val="0"/>
                <w:szCs w:val="21"/>
                <w:lang w:val="zh-CN"/>
              </w:rPr>
              <w:t>目标</w:t>
            </w:r>
            <w:r>
              <w:rPr>
                <w:b/>
                <w:bCs/>
                <w:kern w:val="0"/>
                <w:szCs w:val="21"/>
              </w:rPr>
              <w:t>1</w:t>
            </w:r>
          </w:p>
          <w:p>
            <w:pPr>
              <w:autoSpaceDE w:val="0"/>
              <w:autoSpaceDN w:val="0"/>
              <w:adjustRightInd w:val="0"/>
              <w:jc w:val="center"/>
              <w:rPr>
                <w:rFonts w:ascii="宋体" w:cs="宋体"/>
                <w:kern w:val="0"/>
                <w:sz w:val="22"/>
                <w:szCs w:val="22"/>
                <w:lang w:val="zh-CN"/>
              </w:rPr>
            </w:pPr>
            <w:r>
              <w:rPr>
                <w:rFonts w:hint="eastAsia" w:ascii="宋体" w:cs="宋体"/>
                <w:b/>
                <w:bCs/>
                <w:kern w:val="0"/>
                <w:szCs w:val="21"/>
                <w:lang w:val="zh-CN"/>
              </w:rPr>
              <w:t>目标</w:t>
            </w:r>
            <w:r>
              <w:rPr>
                <w:b/>
                <w:bCs/>
                <w:kern w:val="0"/>
                <w:szCs w:val="21"/>
              </w:rPr>
              <w:t>2</w:t>
            </w:r>
          </w:p>
        </w:tc>
      </w:tr>
    </w:tbl>
    <w:p>
      <w:pPr>
        <w:autoSpaceDE w:val="0"/>
        <w:autoSpaceDN w:val="0"/>
        <w:adjustRightInd w:val="0"/>
        <w:spacing w:line="360" w:lineRule="auto"/>
        <w:ind w:firstLine="562"/>
        <w:rPr>
          <w:b/>
          <w:bCs/>
          <w:kern w:val="0"/>
          <w:sz w:val="28"/>
          <w:szCs w:val="28"/>
        </w:rPr>
      </w:pPr>
      <w:r>
        <w:rPr>
          <w:rFonts w:hint="eastAsia" w:ascii="宋体" w:cs="宋体"/>
          <w:b/>
          <w:bCs/>
          <w:kern w:val="0"/>
          <w:sz w:val="28"/>
          <w:szCs w:val="28"/>
          <w:lang w:val="zh-CN"/>
        </w:rPr>
        <w:t>四、课程实施</w:t>
      </w:r>
    </w:p>
    <w:p>
      <w:pPr>
        <w:autoSpaceDE w:val="0"/>
        <w:autoSpaceDN w:val="0"/>
        <w:adjustRightInd w:val="0"/>
        <w:spacing w:line="360" w:lineRule="auto"/>
        <w:ind w:firstLine="482"/>
        <w:rPr>
          <w:b/>
          <w:bCs/>
          <w:kern w:val="0"/>
          <w:sz w:val="24"/>
        </w:rPr>
      </w:pPr>
      <w:r>
        <w:rPr>
          <w:rFonts w:hint="eastAsia" w:ascii="宋体" w:cs="宋体"/>
          <w:b/>
          <w:bCs/>
          <w:kern w:val="0"/>
          <w:sz w:val="24"/>
          <w:lang w:val="zh-CN"/>
        </w:rPr>
        <w:t>（一）教学方法与教学手段</w:t>
      </w:r>
    </w:p>
    <w:p>
      <w:pPr>
        <w:autoSpaceDE w:val="0"/>
        <w:autoSpaceDN w:val="0"/>
        <w:adjustRightInd w:val="0"/>
        <w:spacing w:line="360" w:lineRule="auto"/>
        <w:ind w:firstLine="480"/>
        <w:rPr>
          <w:rFonts w:ascii="宋体" w:cs="宋体"/>
          <w:color w:val="000000"/>
          <w:kern w:val="0"/>
          <w:sz w:val="24"/>
          <w:lang w:val="zh-CN"/>
        </w:rPr>
      </w:pPr>
      <w:r>
        <w:rPr>
          <w:rFonts w:ascii="宋体" w:cs="宋体"/>
          <w:color w:val="000000"/>
          <w:kern w:val="0"/>
          <w:sz w:val="24"/>
          <w:lang w:val="zh-CN"/>
        </w:rPr>
        <w:t>1.</w:t>
      </w:r>
      <w:r>
        <w:rPr>
          <w:rFonts w:hint="eastAsia" w:ascii="宋体" w:cs="宋体"/>
          <w:color w:val="000000"/>
          <w:kern w:val="0"/>
          <w:sz w:val="24"/>
          <w:lang w:val="zh-CN"/>
        </w:rPr>
        <w:t>本课程的学生实验前讲授部分应充分体现化工专业相关理论和实践的要求，做到清晰、透彻、实用，为学生实验提供指导。</w:t>
      </w:r>
    </w:p>
    <w:p>
      <w:pPr>
        <w:autoSpaceDE w:val="0"/>
        <w:autoSpaceDN w:val="0"/>
        <w:adjustRightInd w:val="0"/>
        <w:spacing w:line="360" w:lineRule="auto"/>
        <w:ind w:firstLine="480"/>
        <w:rPr>
          <w:color w:val="000000"/>
          <w:kern w:val="0"/>
          <w:sz w:val="24"/>
        </w:rPr>
      </w:pPr>
      <w:r>
        <w:rPr>
          <w:rFonts w:ascii="宋体" w:cs="宋体"/>
          <w:color w:val="000000"/>
          <w:kern w:val="0"/>
          <w:sz w:val="24"/>
          <w:lang w:val="zh-CN"/>
        </w:rPr>
        <w:t>2.</w:t>
      </w:r>
      <w:r>
        <w:rPr>
          <w:kern w:val="0"/>
          <w:szCs w:val="21"/>
        </w:rPr>
        <w:t xml:space="preserve"> </w:t>
      </w:r>
      <w:r>
        <w:rPr>
          <w:rFonts w:hint="eastAsia" w:ascii="宋体" w:cs="宋体"/>
          <w:color w:val="000000"/>
          <w:kern w:val="0"/>
          <w:sz w:val="24"/>
          <w:lang w:val="zh-CN"/>
        </w:rPr>
        <w:t>学生每人一组独立完成实验。在实验过程行中，教师不断巡视，并及时解答和纠正学生操作中存在的问题。</w:t>
      </w:r>
    </w:p>
    <w:p>
      <w:pPr>
        <w:autoSpaceDE w:val="0"/>
        <w:autoSpaceDN w:val="0"/>
        <w:adjustRightInd w:val="0"/>
        <w:spacing w:line="360" w:lineRule="auto"/>
        <w:ind w:firstLine="482"/>
        <w:rPr>
          <w:b/>
          <w:bCs/>
          <w:kern w:val="0"/>
          <w:sz w:val="24"/>
        </w:rPr>
      </w:pPr>
      <w:r>
        <w:rPr>
          <w:rFonts w:hint="eastAsia" w:ascii="宋体" w:cs="宋体"/>
          <w:b/>
          <w:bCs/>
          <w:kern w:val="0"/>
          <w:sz w:val="24"/>
          <w:lang w:val="zh-CN"/>
        </w:rPr>
        <w:t>（二）课程实施与保障</w:t>
      </w:r>
    </w:p>
    <w:tbl>
      <w:tblPr>
        <w:tblStyle w:val="10"/>
        <w:tblW w:w="0" w:type="auto"/>
        <w:jc w:val="center"/>
        <w:tblLayout w:type="fixed"/>
        <w:tblCellMar>
          <w:top w:w="0" w:type="dxa"/>
          <w:left w:w="28" w:type="dxa"/>
          <w:bottom w:w="0" w:type="dxa"/>
          <w:right w:w="28" w:type="dxa"/>
        </w:tblCellMar>
      </w:tblPr>
      <w:tblGrid>
        <w:gridCol w:w="582"/>
        <w:gridCol w:w="1701"/>
        <w:gridCol w:w="6237"/>
      </w:tblGrid>
      <w:tr>
        <w:tblPrEx>
          <w:tblCellMar>
            <w:top w:w="0" w:type="dxa"/>
            <w:left w:w="28" w:type="dxa"/>
            <w:bottom w:w="0" w:type="dxa"/>
            <w:right w:w="28" w:type="dxa"/>
          </w:tblCellMar>
        </w:tblPrEx>
        <w:trPr>
          <w:trHeight w:val="1" w:hRule="atLeast"/>
          <w:jc w:val="center"/>
        </w:trPr>
        <w:tc>
          <w:tcPr>
            <w:tcW w:w="2283" w:type="dxa"/>
            <w:gridSpan w:val="2"/>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spacing w:line="276" w:lineRule="auto"/>
              <w:jc w:val="center"/>
              <w:rPr>
                <w:rFonts w:ascii="宋体" w:cs="宋体"/>
                <w:kern w:val="0"/>
                <w:sz w:val="22"/>
                <w:szCs w:val="22"/>
                <w:lang w:val="zh-CN"/>
              </w:rPr>
            </w:pPr>
            <w:r>
              <w:rPr>
                <w:rFonts w:hint="eastAsia" w:ascii="宋体" w:cs="宋体"/>
                <w:kern w:val="0"/>
                <w:szCs w:val="21"/>
                <w:lang w:val="zh-CN"/>
              </w:rPr>
              <w:t>主要教学环节</w:t>
            </w:r>
          </w:p>
        </w:tc>
        <w:tc>
          <w:tcPr>
            <w:tcW w:w="6237"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spacing w:line="276" w:lineRule="auto"/>
              <w:jc w:val="center"/>
              <w:rPr>
                <w:rFonts w:ascii="宋体" w:cs="宋体"/>
                <w:kern w:val="0"/>
                <w:sz w:val="22"/>
                <w:szCs w:val="22"/>
                <w:lang w:val="zh-CN"/>
              </w:rPr>
            </w:pPr>
            <w:r>
              <w:rPr>
                <w:rFonts w:hint="eastAsia" w:ascii="宋体" w:cs="宋体"/>
                <w:kern w:val="0"/>
                <w:szCs w:val="21"/>
                <w:lang w:val="zh-CN"/>
              </w:rPr>
              <w:t>质量要求</w:t>
            </w:r>
          </w:p>
        </w:tc>
      </w:tr>
      <w:tr>
        <w:tblPrEx>
          <w:tblCellMar>
            <w:top w:w="0" w:type="dxa"/>
            <w:left w:w="28" w:type="dxa"/>
            <w:bottom w:w="0" w:type="dxa"/>
            <w:right w:w="28" w:type="dxa"/>
          </w:tblCellMar>
        </w:tblPrEx>
        <w:trPr>
          <w:trHeight w:val="558" w:hRule="atLeast"/>
          <w:jc w:val="center"/>
        </w:trPr>
        <w:tc>
          <w:tcPr>
            <w:tcW w:w="582"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cs="宋体"/>
                <w:kern w:val="0"/>
                <w:sz w:val="22"/>
                <w:szCs w:val="22"/>
                <w:lang w:val="zh-CN"/>
              </w:rPr>
            </w:pPr>
            <w:r>
              <w:rPr>
                <w:kern w:val="0"/>
                <w:szCs w:val="21"/>
              </w:rPr>
              <w:t>1</w:t>
            </w:r>
          </w:p>
        </w:tc>
        <w:tc>
          <w:tcPr>
            <w:tcW w:w="1701"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cs="宋体"/>
                <w:kern w:val="0"/>
                <w:sz w:val="22"/>
                <w:szCs w:val="22"/>
                <w:lang w:val="zh-CN"/>
              </w:rPr>
            </w:pPr>
            <w:r>
              <w:rPr>
                <w:rFonts w:hint="eastAsia" w:ascii="宋体" w:cs="宋体"/>
                <w:kern w:val="0"/>
                <w:szCs w:val="21"/>
                <w:lang w:val="zh-CN"/>
              </w:rPr>
              <w:t>备课</w:t>
            </w:r>
          </w:p>
        </w:tc>
        <w:tc>
          <w:tcPr>
            <w:tcW w:w="6237"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spacing w:line="276" w:lineRule="auto"/>
              <w:rPr>
                <w:kern w:val="0"/>
                <w:szCs w:val="21"/>
              </w:rPr>
            </w:pPr>
            <w:r>
              <w:rPr>
                <w:rFonts w:hint="eastAsia" w:ascii="宋体" w:cs="宋体"/>
                <w:kern w:val="0"/>
                <w:szCs w:val="21"/>
                <w:lang w:val="zh-CN"/>
              </w:rPr>
              <w:t>（</w:t>
            </w:r>
            <w:r>
              <w:rPr>
                <w:kern w:val="0"/>
                <w:szCs w:val="21"/>
              </w:rPr>
              <w:t>1</w:t>
            </w:r>
            <w:r>
              <w:rPr>
                <w:rFonts w:hint="eastAsia" w:ascii="宋体" w:cs="宋体"/>
                <w:kern w:val="0"/>
                <w:szCs w:val="21"/>
                <w:lang w:val="zh-CN"/>
              </w:rPr>
              <w:t>）掌握本课程教学大纲内容，严格按照教学大纲要求进行课程教学内容的组织。</w:t>
            </w:r>
          </w:p>
          <w:p>
            <w:pPr>
              <w:autoSpaceDE w:val="0"/>
              <w:autoSpaceDN w:val="0"/>
              <w:adjustRightInd w:val="0"/>
              <w:spacing w:line="276" w:lineRule="auto"/>
              <w:rPr>
                <w:rFonts w:ascii="宋体" w:cs="宋体"/>
                <w:kern w:val="0"/>
                <w:sz w:val="22"/>
                <w:szCs w:val="22"/>
                <w:lang w:val="zh-CN"/>
              </w:rPr>
            </w:pPr>
            <w:r>
              <w:rPr>
                <w:rFonts w:hint="eastAsia" w:ascii="宋体" w:cs="宋体"/>
                <w:kern w:val="0"/>
                <w:szCs w:val="21"/>
                <w:lang w:val="zh-CN"/>
              </w:rPr>
              <w:t>（</w:t>
            </w:r>
            <w:r>
              <w:rPr>
                <w:kern w:val="0"/>
                <w:szCs w:val="21"/>
              </w:rPr>
              <w:t>2</w:t>
            </w:r>
            <w:r>
              <w:rPr>
                <w:rFonts w:hint="eastAsia" w:ascii="宋体" w:cs="宋体"/>
                <w:kern w:val="0"/>
                <w:szCs w:val="21"/>
                <w:lang w:val="zh-CN"/>
              </w:rPr>
              <w:t>）熟悉教材，借助专业书籍资料，并依据教学大纲编写授课计划，编写每次授课的教案。</w:t>
            </w:r>
          </w:p>
        </w:tc>
      </w:tr>
      <w:tr>
        <w:tblPrEx>
          <w:tblCellMar>
            <w:top w:w="0" w:type="dxa"/>
            <w:left w:w="28" w:type="dxa"/>
            <w:bottom w:w="0" w:type="dxa"/>
            <w:right w:w="28" w:type="dxa"/>
          </w:tblCellMar>
        </w:tblPrEx>
        <w:trPr>
          <w:trHeight w:val="1" w:hRule="atLeast"/>
          <w:jc w:val="center"/>
        </w:trPr>
        <w:tc>
          <w:tcPr>
            <w:tcW w:w="582"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cs="宋体"/>
                <w:kern w:val="0"/>
                <w:sz w:val="22"/>
                <w:szCs w:val="22"/>
                <w:lang w:val="zh-CN"/>
              </w:rPr>
            </w:pPr>
            <w:r>
              <w:rPr>
                <w:kern w:val="0"/>
                <w:szCs w:val="21"/>
              </w:rPr>
              <w:t>2</w:t>
            </w:r>
          </w:p>
        </w:tc>
        <w:tc>
          <w:tcPr>
            <w:tcW w:w="1701"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cs="宋体"/>
                <w:kern w:val="0"/>
                <w:sz w:val="22"/>
                <w:szCs w:val="22"/>
                <w:lang w:val="zh-CN"/>
              </w:rPr>
            </w:pPr>
            <w:r>
              <w:rPr>
                <w:rFonts w:hint="eastAsia" w:ascii="宋体" w:cs="宋体"/>
                <w:kern w:val="0"/>
                <w:szCs w:val="21"/>
                <w:lang w:val="zh-CN"/>
              </w:rPr>
              <w:t>讲授</w:t>
            </w:r>
          </w:p>
        </w:tc>
        <w:tc>
          <w:tcPr>
            <w:tcW w:w="6237"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spacing w:line="276" w:lineRule="auto"/>
              <w:rPr>
                <w:kern w:val="0"/>
                <w:szCs w:val="21"/>
              </w:rPr>
            </w:pPr>
            <w:r>
              <w:rPr>
                <w:rFonts w:hint="eastAsia" w:ascii="宋体" w:cs="宋体"/>
                <w:kern w:val="0"/>
                <w:szCs w:val="21"/>
                <w:lang w:val="zh-CN"/>
              </w:rPr>
              <w:t>（</w:t>
            </w:r>
            <w:r>
              <w:rPr>
                <w:kern w:val="0"/>
                <w:szCs w:val="21"/>
              </w:rPr>
              <w:t>1</w:t>
            </w:r>
            <w:r>
              <w:rPr>
                <w:rFonts w:hint="eastAsia" w:ascii="宋体" w:cs="宋体"/>
                <w:kern w:val="0"/>
                <w:szCs w:val="21"/>
                <w:lang w:val="zh-CN"/>
              </w:rPr>
              <w:t>）要点准确、推理正确、条理清晰、重点突出。</w:t>
            </w:r>
          </w:p>
          <w:p>
            <w:pPr>
              <w:autoSpaceDE w:val="0"/>
              <w:autoSpaceDN w:val="0"/>
              <w:adjustRightInd w:val="0"/>
              <w:rPr>
                <w:rFonts w:ascii="宋体" w:cs="宋体"/>
                <w:kern w:val="0"/>
                <w:sz w:val="22"/>
                <w:szCs w:val="22"/>
                <w:lang w:val="zh-CN"/>
              </w:rPr>
            </w:pPr>
            <w:r>
              <w:rPr>
                <w:rFonts w:hint="eastAsia" w:ascii="宋体" w:cs="宋体"/>
                <w:kern w:val="0"/>
                <w:szCs w:val="21"/>
                <w:lang w:val="zh-CN"/>
              </w:rPr>
              <w:t>（</w:t>
            </w:r>
            <w:r>
              <w:rPr>
                <w:kern w:val="0"/>
                <w:szCs w:val="21"/>
              </w:rPr>
              <w:t>2</w:t>
            </w:r>
            <w:r>
              <w:rPr>
                <w:rFonts w:hint="eastAsia" w:ascii="宋体" w:cs="宋体"/>
                <w:kern w:val="0"/>
                <w:szCs w:val="21"/>
                <w:lang w:val="zh-CN"/>
              </w:rPr>
              <w:t>）表达方式应能便于学生理解、接受，突出实验的关键事项。</w:t>
            </w:r>
          </w:p>
        </w:tc>
      </w:tr>
      <w:tr>
        <w:tblPrEx>
          <w:tblCellMar>
            <w:top w:w="0" w:type="dxa"/>
            <w:left w:w="28" w:type="dxa"/>
            <w:bottom w:w="0" w:type="dxa"/>
            <w:right w:w="28" w:type="dxa"/>
          </w:tblCellMar>
        </w:tblPrEx>
        <w:trPr>
          <w:trHeight w:val="3109" w:hRule="atLeast"/>
          <w:jc w:val="center"/>
        </w:trPr>
        <w:tc>
          <w:tcPr>
            <w:tcW w:w="582"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cs="宋体"/>
                <w:kern w:val="0"/>
                <w:sz w:val="22"/>
                <w:szCs w:val="22"/>
                <w:lang w:val="zh-CN"/>
              </w:rPr>
            </w:pPr>
            <w:r>
              <w:rPr>
                <w:kern w:val="0"/>
                <w:szCs w:val="21"/>
              </w:rPr>
              <w:t>3</w:t>
            </w:r>
          </w:p>
        </w:tc>
        <w:tc>
          <w:tcPr>
            <w:tcW w:w="1701"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cs="宋体"/>
                <w:kern w:val="0"/>
                <w:sz w:val="22"/>
                <w:szCs w:val="22"/>
                <w:lang w:val="zh-CN"/>
              </w:rPr>
            </w:pPr>
            <w:r>
              <w:rPr>
                <w:rFonts w:hint="eastAsia" w:ascii="宋体" w:cs="宋体"/>
                <w:kern w:val="0"/>
                <w:szCs w:val="21"/>
                <w:lang w:val="zh-CN"/>
              </w:rPr>
              <w:t>作业布置与批改</w:t>
            </w:r>
          </w:p>
        </w:tc>
        <w:tc>
          <w:tcPr>
            <w:tcW w:w="6237"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spacing w:line="276" w:lineRule="auto"/>
              <w:rPr>
                <w:kern w:val="0"/>
                <w:szCs w:val="21"/>
              </w:rPr>
            </w:pPr>
            <w:r>
              <w:rPr>
                <w:rFonts w:hint="eastAsia" w:ascii="宋体" w:cs="宋体"/>
                <w:kern w:val="0"/>
                <w:szCs w:val="21"/>
                <w:lang w:val="zh-CN"/>
              </w:rPr>
              <w:t>学生每次实验必须完成预习报告与实验报告，且必须达到以下基本要求：</w:t>
            </w:r>
          </w:p>
          <w:p>
            <w:pPr>
              <w:autoSpaceDE w:val="0"/>
              <w:autoSpaceDN w:val="0"/>
              <w:adjustRightInd w:val="0"/>
              <w:spacing w:line="276" w:lineRule="auto"/>
              <w:rPr>
                <w:kern w:val="0"/>
                <w:szCs w:val="21"/>
              </w:rPr>
            </w:pPr>
            <w:r>
              <w:rPr>
                <w:rFonts w:hint="eastAsia" w:ascii="宋体" w:cs="宋体"/>
                <w:kern w:val="0"/>
                <w:szCs w:val="21"/>
                <w:lang w:val="zh-CN"/>
              </w:rPr>
              <w:t>（</w:t>
            </w:r>
            <w:r>
              <w:rPr>
                <w:kern w:val="0"/>
                <w:szCs w:val="21"/>
              </w:rPr>
              <w:t>1</w:t>
            </w:r>
            <w:r>
              <w:rPr>
                <w:rFonts w:hint="eastAsia" w:ascii="宋体" w:cs="宋体"/>
                <w:kern w:val="0"/>
                <w:szCs w:val="21"/>
                <w:lang w:val="zh-CN"/>
              </w:rPr>
              <w:t>）按时按量完成预习报告与实验报告，不缺交，不抄袭。</w:t>
            </w:r>
          </w:p>
          <w:p>
            <w:pPr>
              <w:autoSpaceDE w:val="0"/>
              <w:autoSpaceDN w:val="0"/>
              <w:adjustRightInd w:val="0"/>
              <w:spacing w:line="276" w:lineRule="auto"/>
              <w:rPr>
                <w:kern w:val="0"/>
                <w:szCs w:val="21"/>
              </w:rPr>
            </w:pPr>
            <w:r>
              <w:rPr>
                <w:rFonts w:hint="eastAsia" w:ascii="宋体" w:cs="宋体"/>
                <w:kern w:val="0"/>
                <w:szCs w:val="21"/>
                <w:lang w:val="zh-CN"/>
              </w:rPr>
              <w:t>（</w:t>
            </w:r>
            <w:r>
              <w:rPr>
                <w:kern w:val="0"/>
                <w:szCs w:val="21"/>
              </w:rPr>
              <w:t>2</w:t>
            </w:r>
            <w:r>
              <w:rPr>
                <w:rFonts w:hint="eastAsia" w:ascii="宋体" w:cs="宋体"/>
                <w:kern w:val="0"/>
                <w:szCs w:val="21"/>
                <w:lang w:val="zh-CN"/>
              </w:rPr>
              <w:t>）书写规范、清晰、</w:t>
            </w:r>
            <w:r>
              <w:rPr>
                <w:rFonts w:hint="eastAsia" w:ascii="宋体" w:cs="宋体"/>
                <w:kern w:val="0"/>
                <w:szCs w:val="21"/>
                <w:lang w:val="en-US" w:eastAsia="zh-CN"/>
              </w:rPr>
              <w:t>完整</w:t>
            </w:r>
            <w:r>
              <w:rPr>
                <w:rFonts w:hint="eastAsia" w:ascii="宋体" w:cs="宋体"/>
                <w:kern w:val="0"/>
                <w:szCs w:val="21"/>
                <w:lang w:val="zh-CN"/>
              </w:rPr>
              <w:t>。</w:t>
            </w:r>
          </w:p>
          <w:p>
            <w:pPr>
              <w:autoSpaceDE w:val="0"/>
              <w:autoSpaceDN w:val="0"/>
              <w:adjustRightInd w:val="0"/>
              <w:spacing w:line="276" w:lineRule="auto"/>
              <w:rPr>
                <w:kern w:val="0"/>
                <w:szCs w:val="21"/>
              </w:rPr>
            </w:pPr>
            <w:r>
              <w:rPr>
                <w:rFonts w:hint="eastAsia" w:ascii="宋体" w:cs="宋体"/>
                <w:kern w:val="0"/>
                <w:szCs w:val="21"/>
                <w:lang w:val="zh-CN"/>
              </w:rPr>
              <w:t>（</w:t>
            </w:r>
            <w:r>
              <w:rPr>
                <w:kern w:val="0"/>
                <w:szCs w:val="21"/>
              </w:rPr>
              <w:t>3</w:t>
            </w:r>
            <w:r>
              <w:rPr>
                <w:rFonts w:hint="eastAsia" w:ascii="宋体" w:cs="宋体"/>
                <w:kern w:val="0"/>
                <w:szCs w:val="21"/>
                <w:lang w:val="zh-CN"/>
              </w:rPr>
              <w:t>）实验记录与数据处理正确。</w:t>
            </w:r>
          </w:p>
          <w:p>
            <w:pPr>
              <w:autoSpaceDE w:val="0"/>
              <w:autoSpaceDN w:val="0"/>
              <w:adjustRightInd w:val="0"/>
              <w:spacing w:line="276" w:lineRule="auto"/>
              <w:rPr>
                <w:kern w:val="0"/>
                <w:szCs w:val="21"/>
              </w:rPr>
            </w:pPr>
            <w:r>
              <w:rPr>
                <w:rFonts w:hint="eastAsia" w:ascii="宋体" w:cs="宋体"/>
                <w:kern w:val="0"/>
                <w:szCs w:val="21"/>
                <w:lang w:val="zh-CN"/>
              </w:rPr>
              <w:t>教师批改和讲评预习报告与实验报告要求如下：</w:t>
            </w:r>
          </w:p>
          <w:p>
            <w:pPr>
              <w:autoSpaceDE w:val="0"/>
              <w:autoSpaceDN w:val="0"/>
              <w:adjustRightInd w:val="0"/>
              <w:spacing w:line="276" w:lineRule="auto"/>
              <w:rPr>
                <w:kern w:val="0"/>
                <w:szCs w:val="21"/>
              </w:rPr>
            </w:pPr>
            <w:r>
              <w:rPr>
                <w:rFonts w:hint="eastAsia" w:ascii="宋体" w:cs="宋体"/>
                <w:kern w:val="0"/>
                <w:szCs w:val="21"/>
                <w:lang w:val="zh-CN"/>
              </w:rPr>
              <w:t>（</w:t>
            </w:r>
            <w:r>
              <w:rPr>
                <w:kern w:val="0"/>
                <w:szCs w:val="21"/>
              </w:rPr>
              <w:t>1</w:t>
            </w:r>
            <w:r>
              <w:rPr>
                <w:rFonts w:hint="eastAsia" w:ascii="宋体" w:cs="宋体"/>
                <w:kern w:val="0"/>
                <w:szCs w:val="21"/>
                <w:lang w:val="zh-CN"/>
              </w:rPr>
              <w:t>）学生的预习报告与实验报告要按时全部批改，并及时进行讲评。</w:t>
            </w:r>
          </w:p>
          <w:p>
            <w:pPr>
              <w:autoSpaceDE w:val="0"/>
              <w:autoSpaceDN w:val="0"/>
              <w:adjustRightInd w:val="0"/>
              <w:spacing w:line="276" w:lineRule="auto"/>
              <w:rPr>
                <w:kern w:val="0"/>
                <w:szCs w:val="21"/>
              </w:rPr>
            </w:pPr>
            <w:r>
              <w:rPr>
                <w:rFonts w:hint="eastAsia" w:ascii="宋体" w:cs="宋体"/>
                <w:kern w:val="0"/>
                <w:szCs w:val="21"/>
                <w:lang w:val="zh-CN"/>
              </w:rPr>
              <w:t>（</w:t>
            </w:r>
            <w:r>
              <w:rPr>
                <w:kern w:val="0"/>
                <w:szCs w:val="21"/>
              </w:rPr>
              <w:t>2</w:t>
            </w:r>
            <w:r>
              <w:rPr>
                <w:rFonts w:hint="eastAsia" w:ascii="宋体" w:cs="宋体"/>
                <w:kern w:val="0"/>
                <w:szCs w:val="21"/>
                <w:lang w:val="zh-CN"/>
              </w:rPr>
              <w:t>）教师批改预习报告与实验报告要认真、细致，按百分制评定成绩并写明日期。</w:t>
            </w:r>
          </w:p>
          <w:p>
            <w:pPr>
              <w:autoSpaceDE w:val="0"/>
              <w:autoSpaceDN w:val="0"/>
              <w:adjustRightInd w:val="0"/>
              <w:rPr>
                <w:rFonts w:ascii="宋体" w:cs="宋体"/>
                <w:kern w:val="0"/>
                <w:sz w:val="22"/>
                <w:szCs w:val="22"/>
                <w:lang w:val="zh-CN"/>
              </w:rPr>
            </w:pPr>
            <w:r>
              <w:rPr>
                <w:rFonts w:hint="eastAsia" w:ascii="宋体" w:cs="宋体"/>
                <w:kern w:val="0"/>
                <w:szCs w:val="21"/>
                <w:lang w:val="zh-CN"/>
              </w:rPr>
              <w:t>（</w:t>
            </w:r>
            <w:r>
              <w:rPr>
                <w:kern w:val="0"/>
                <w:szCs w:val="21"/>
              </w:rPr>
              <w:t>3</w:t>
            </w:r>
            <w:r>
              <w:rPr>
                <w:rFonts w:hint="eastAsia" w:ascii="宋体" w:cs="宋体"/>
                <w:kern w:val="0"/>
                <w:szCs w:val="21"/>
                <w:lang w:val="zh-CN"/>
              </w:rPr>
              <w:t>）学生预习报告与实验报告的平均成绩应作为本课程总评成绩中平时成绩的重要组成部分。</w:t>
            </w:r>
          </w:p>
        </w:tc>
      </w:tr>
      <w:tr>
        <w:tblPrEx>
          <w:tblCellMar>
            <w:top w:w="0" w:type="dxa"/>
            <w:left w:w="28" w:type="dxa"/>
            <w:bottom w:w="0" w:type="dxa"/>
            <w:right w:w="28" w:type="dxa"/>
          </w:tblCellMar>
        </w:tblPrEx>
        <w:trPr>
          <w:trHeight w:val="1273" w:hRule="atLeast"/>
          <w:jc w:val="center"/>
        </w:trPr>
        <w:tc>
          <w:tcPr>
            <w:tcW w:w="582"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cs="宋体"/>
                <w:kern w:val="0"/>
                <w:sz w:val="22"/>
                <w:szCs w:val="22"/>
                <w:lang w:val="zh-CN"/>
              </w:rPr>
            </w:pPr>
            <w:r>
              <w:rPr>
                <w:kern w:val="0"/>
                <w:szCs w:val="21"/>
              </w:rPr>
              <w:t>4</w:t>
            </w:r>
          </w:p>
        </w:tc>
        <w:tc>
          <w:tcPr>
            <w:tcW w:w="1701"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cs="宋体"/>
                <w:kern w:val="0"/>
                <w:sz w:val="22"/>
                <w:szCs w:val="22"/>
                <w:lang w:val="zh-CN"/>
              </w:rPr>
            </w:pPr>
            <w:r>
              <w:rPr>
                <w:rFonts w:hint="eastAsia" w:ascii="宋体" w:cs="宋体"/>
                <w:kern w:val="0"/>
                <w:szCs w:val="21"/>
                <w:lang w:val="zh-CN"/>
              </w:rPr>
              <w:t>课外答疑</w:t>
            </w:r>
          </w:p>
        </w:tc>
        <w:tc>
          <w:tcPr>
            <w:tcW w:w="6237"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为了解学生的学习情况，帮助学生更好地理解和消化所学知识、改进学习方法和思维方式，培养其独立思考问题的能力，任课教师需每周安排一定时间进行课外答疑与辅导。</w:t>
            </w:r>
          </w:p>
        </w:tc>
      </w:tr>
      <w:tr>
        <w:tblPrEx>
          <w:tblCellMar>
            <w:top w:w="0" w:type="dxa"/>
            <w:left w:w="28" w:type="dxa"/>
            <w:bottom w:w="0" w:type="dxa"/>
            <w:right w:w="28" w:type="dxa"/>
          </w:tblCellMar>
        </w:tblPrEx>
        <w:trPr>
          <w:trHeight w:val="1540" w:hRule="atLeast"/>
          <w:jc w:val="center"/>
        </w:trPr>
        <w:tc>
          <w:tcPr>
            <w:tcW w:w="582"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cs="宋体"/>
                <w:kern w:val="0"/>
                <w:sz w:val="22"/>
                <w:szCs w:val="22"/>
                <w:lang w:val="zh-CN"/>
              </w:rPr>
            </w:pPr>
            <w:r>
              <w:rPr>
                <w:kern w:val="0"/>
                <w:szCs w:val="21"/>
              </w:rPr>
              <w:t>5</w:t>
            </w:r>
          </w:p>
        </w:tc>
        <w:tc>
          <w:tcPr>
            <w:tcW w:w="1701"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cs="宋体"/>
                <w:kern w:val="0"/>
                <w:sz w:val="22"/>
                <w:szCs w:val="22"/>
                <w:lang w:val="zh-CN"/>
              </w:rPr>
            </w:pPr>
            <w:r>
              <w:rPr>
                <w:rFonts w:hint="eastAsia" w:ascii="宋体" w:cs="宋体"/>
                <w:kern w:val="0"/>
                <w:szCs w:val="21"/>
                <w:lang w:val="zh-CN"/>
              </w:rPr>
              <w:t>成绩考核</w:t>
            </w:r>
          </w:p>
        </w:tc>
        <w:tc>
          <w:tcPr>
            <w:tcW w:w="6237"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spacing w:line="276" w:lineRule="auto"/>
              <w:rPr>
                <w:kern w:val="0"/>
                <w:szCs w:val="21"/>
              </w:rPr>
            </w:pPr>
            <w:r>
              <w:rPr>
                <w:rFonts w:hint="eastAsia" w:ascii="宋体" w:cs="宋体"/>
                <w:kern w:val="0"/>
                <w:szCs w:val="21"/>
                <w:lang w:val="zh-CN"/>
              </w:rPr>
              <w:t>本课程考</w:t>
            </w:r>
            <w:r>
              <w:rPr>
                <w:rFonts w:hint="eastAsia" w:ascii="宋体" w:cs="宋体"/>
                <w:kern w:val="0"/>
                <w:szCs w:val="21"/>
                <w:lang w:val="en-US" w:eastAsia="zh-CN"/>
              </w:rPr>
              <w:t>查</w:t>
            </w:r>
            <w:r>
              <w:rPr>
                <w:rFonts w:hint="eastAsia" w:ascii="宋体" w:cs="宋体"/>
                <w:kern w:val="0"/>
                <w:szCs w:val="21"/>
                <w:lang w:val="zh-CN"/>
              </w:rPr>
              <w:t>的</w:t>
            </w:r>
            <w:r>
              <w:rPr>
                <w:rFonts w:hint="eastAsia" w:ascii="宋体" w:cs="宋体"/>
                <w:kern w:val="0"/>
                <w:szCs w:val="21"/>
                <w:lang w:val="en-US" w:eastAsia="zh-CN"/>
              </w:rPr>
              <w:t>主要</w:t>
            </w:r>
            <w:r>
              <w:rPr>
                <w:rFonts w:hint="eastAsia" w:ascii="宋体" w:cs="宋体"/>
                <w:kern w:val="0"/>
                <w:szCs w:val="21"/>
                <w:lang w:val="zh-CN"/>
              </w:rPr>
              <w:t>方式为</w:t>
            </w:r>
            <w:r>
              <w:rPr>
                <w:rFonts w:hint="eastAsia" w:ascii="宋体" w:cs="宋体"/>
                <w:kern w:val="0"/>
                <w:szCs w:val="21"/>
                <w:lang w:val="en-US" w:eastAsia="zh-CN"/>
              </w:rPr>
              <w:t>实验操作考核</w:t>
            </w:r>
            <w:r>
              <w:rPr>
                <w:rFonts w:hint="eastAsia" w:ascii="宋体" w:cs="宋体"/>
                <w:kern w:val="0"/>
                <w:szCs w:val="21"/>
                <w:lang w:val="zh-CN"/>
              </w:rPr>
              <w:t>。有下列情况之一者，总评成绩为不及格：</w:t>
            </w:r>
          </w:p>
          <w:p>
            <w:pPr>
              <w:autoSpaceDE w:val="0"/>
              <w:autoSpaceDN w:val="0"/>
              <w:adjustRightInd w:val="0"/>
              <w:spacing w:line="276" w:lineRule="auto"/>
              <w:rPr>
                <w:kern w:val="0"/>
                <w:szCs w:val="21"/>
              </w:rPr>
            </w:pPr>
            <w:r>
              <w:rPr>
                <w:rFonts w:hint="eastAsia" w:ascii="宋体" w:cs="宋体"/>
                <w:kern w:val="0"/>
                <w:szCs w:val="21"/>
                <w:lang w:val="zh-CN"/>
              </w:rPr>
              <w:t>（</w:t>
            </w:r>
            <w:r>
              <w:rPr>
                <w:kern w:val="0"/>
                <w:szCs w:val="21"/>
              </w:rPr>
              <w:t>1</w:t>
            </w:r>
            <w:r>
              <w:rPr>
                <w:rFonts w:hint="eastAsia" w:ascii="宋体" w:cs="宋体"/>
                <w:kern w:val="0"/>
                <w:szCs w:val="21"/>
                <w:lang w:val="zh-CN"/>
              </w:rPr>
              <w:t>）缺交预习报告与实验报告次数达</w:t>
            </w:r>
            <w:r>
              <w:rPr>
                <w:kern w:val="0"/>
                <w:szCs w:val="21"/>
              </w:rPr>
              <w:t>1/</w:t>
            </w:r>
            <w:r>
              <w:rPr>
                <w:rFonts w:hint="eastAsia"/>
                <w:kern w:val="0"/>
                <w:szCs w:val="21"/>
                <w:lang w:val="en-US" w:eastAsia="zh-CN"/>
              </w:rPr>
              <w:t>4及</w:t>
            </w:r>
            <w:r>
              <w:rPr>
                <w:rFonts w:hint="eastAsia" w:ascii="宋体" w:cs="宋体"/>
                <w:kern w:val="0"/>
                <w:szCs w:val="21"/>
                <w:lang w:val="zh-CN"/>
              </w:rPr>
              <w:t>以上者。</w:t>
            </w:r>
          </w:p>
          <w:p>
            <w:pPr>
              <w:autoSpaceDE w:val="0"/>
              <w:autoSpaceDN w:val="0"/>
              <w:adjustRightInd w:val="0"/>
              <w:spacing w:line="276" w:lineRule="auto"/>
              <w:rPr>
                <w:kern w:val="0"/>
                <w:szCs w:val="21"/>
              </w:rPr>
            </w:pPr>
            <w:r>
              <w:rPr>
                <w:rFonts w:hint="eastAsia" w:ascii="宋体" w:cs="宋体"/>
                <w:kern w:val="0"/>
                <w:szCs w:val="21"/>
                <w:lang w:val="zh-CN"/>
              </w:rPr>
              <w:t>（</w:t>
            </w:r>
            <w:r>
              <w:rPr>
                <w:kern w:val="0"/>
                <w:szCs w:val="21"/>
              </w:rPr>
              <w:t>2</w:t>
            </w:r>
            <w:r>
              <w:rPr>
                <w:rFonts w:hint="eastAsia" w:ascii="宋体" w:cs="宋体"/>
                <w:kern w:val="0"/>
                <w:szCs w:val="21"/>
                <w:lang w:val="zh-CN"/>
              </w:rPr>
              <w:t>）缺课次数达本学期总授课学时的</w:t>
            </w:r>
            <w:r>
              <w:rPr>
                <w:kern w:val="0"/>
                <w:szCs w:val="21"/>
              </w:rPr>
              <w:t>1/</w:t>
            </w:r>
            <w:r>
              <w:rPr>
                <w:rFonts w:hint="eastAsia"/>
                <w:kern w:val="0"/>
                <w:szCs w:val="21"/>
                <w:lang w:val="en-US" w:eastAsia="zh-CN"/>
              </w:rPr>
              <w:t>4及</w:t>
            </w:r>
            <w:r>
              <w:rPr>
                <w:rFonts w:hint="eastAsia" w:ascii="宋体" w:cs="宋体"/>
                <w:kern w:val="0"/>
                <w:szCs w:val="21"/>
                <w:lang w:val="zh-CN"/>
              </w:rPr>
              <w:t>以上者。</w:t>
            </w:r>
          </w:p>
          <w:p>
            <w:pPr>
              <w:autoSpaceDE w:val="0"/>
              <w:autoSpaceDN w:val="0"/>
              <w:adjustRightInd w:val="0"/>
              <w:spacing w:line="276" w:lineRule="auto"/>
              <w:rPr>
                <w:rFonts w:ascii="宋体" w:cs="宋体"/>
                <w:kern w:val="0"/>
                <w:sz w:val="22"/>
                <w:szCs w:val="22"/>
                <w:lang w:val="zh-CN"/>
              </w:rPr>
            </w:pPr>
            <w:r>
              <w:rPr>
                <w:rFonts w:hint="eastAsia" w:ascii="宋体" w:cs="宋体"/>
                <w:kern w:val="0"/>
                <w:szCs w:val="21"/>
                <w:lang w:val="zh-CN"/>
              </w:rPr>
              <w:t>（</w:t>
            </w:r>
            <w:r>
              <w:rPr>
                <w:kern w:val="0"/>
                <w:szCs w:val="21"/>
              </w:rPr>
              <w:t>3</w:t>
            </w:r>
            <w:r>
              <w:rPr>
                <w:rFonts w:hint="eastAsia" w:ascii="宋体" w:cs="宋体"/>
                <w:kern w:val="0"/>
                <w:szCs w:val="21"/>
                <w:lang w:val="zh-CN"/>
              </w:rPr>
              <w:t>）课程目标小于</w:t>
            </w:r>
            <w:r>
              <w:rPr>
                <w:kern w:val="0"/>
                <w:szCs w:val="21"/>
              </w:rPr>
              <w:t>0.6</w:t>
            </w:r>
            <w:r>
              <w:rPr>
                <w:rFonts w:hint="eastAsia" w:ascii="宋体" w:cs="宋体"/>
                <w:kern w:val="0"/>
                <w:szCs w:val="21"/>
                <w:lang w:val="zh-CN"/>
              </w:rPr>
              <w:t>。</w:t>
            </w:r>
          </w:p>
        </w:tc>
      </w:tr>
    </w:tbl>
    <w:p>
      <w:pPr>
        <w:autoSpaceDE w:val="0"/>
        <w:autoSpaceDN w:val="0"/>
        <w:adjustRightInd w:val="0"/>
        <w:spacing w:line="360" w:lineRule="auto"/>
        <w:rPr>
          <w:b/>
          <w:bCs/>
          <w:kern w:val="0"/>
          <w:sz w:val="28"/>
          <w:szCs w:val="28"/>
        </w:rPr>
      </w:pPr>
      <w:r>
        <w:rPr>
          <w:rFonts w:hint="eastAsia" w:ascii="宋体" w:cs="宋体"/>
          <w:b/>
          <w:bCs/>
          <w:kern w:val="0"/>
          <w:sz w:val="28"/>
          <w:szCs w:val="28"/>
          <w:lang w:val="zh-CN"/>
        </w:rPr>
        <w:t>五、课程考核</w:t>
      </w:r>
    </w:p>
    <w:p>
      <w:pPr>
        <w:autoSpaceDE w:val="0"/>
        <w:autoSpaceDN w:val="0"/>
        <w:adjustRightInd w:val="0"/>
        <w:spacing w:line="360" w:lineRule="auto"/>
        <w:ind w:firstLine="480"/>
        <w:rPr>
          <w:kern w:val="0"/>
          <w:sz w:val="24"/>
        </w:rPr>
      </w:pPr>
      <w:r>
        <w:rPr>
          <w:rFonts w:hint="eastAsia" w:ascii="宋体" w:cs="宋体"/>
          <w:kern w:val="0"/>
          <w:sz w:val="24"/>
          <w:lang w:val="zh-CN"/>
        </w:rPr>
        <w:t>（一）课程考核包括平时考核和期末实验考核等，期末考试采用实验操作考核。</w:t>
      </w:r>
    </w:p>
    <w:p>
      <w:pPr>
        <w:autoSpaceDE w:val="0"/>
        <w:autoSpaceDN w:val="0"/>
        <w:adjustRightInd w:val="0"/>
        <w:spacing w:line="360" w:lineRule="auto"/>
        <w:ind w:firstLine="480"/>
        <w:rPr>
          <w:kern w:val="0"/>
          <w:sz w:val="24"/>
        </w:rPr>
      </w:pPr>
      <w:r>
        <w:rPr>
          <w:rFonts w:hint="eastAsia" w:ascii="宋体" w:cs="宋体"/>
          <w:kern w:val="0"/>
          <w:sz w:val="24"/>
          <w:lang w:val="zh-CN"/>
        </w:rPr>
        <w:t>（二）课程总评成绩</w:t>
      </w:r>
      <w:r>
        <w:rPr>
          <w:kern w:val="0"/>
          <w:sz w:val="24"/>
        </w:rPr>
        <w:t>=</w:t>
      </w:r>
      <w:r>
        <w:rPr>
          <w:rFonts w:hint="eastAsia" w:ascii="宋体" w:cs="宋体"/>
          <w:kern w:val="0"/>
          <w:sz w:val="24"/>
          <w:lang w:val="zh-CN"/>
        </w:rPr>
        <w:t>平时成绩×</w:t>
      </w:r>
      <w:r>
        <w:rPr>
          <w:kern w:val="0"/>
          <w:sz w:val="24"/>
        </w:rPr>
        <w:t xml:space="preserve"> 60 % +</w:t>
      </w:r>
      <w:r>
        <w:rPr>
          <w:rFonts w:hint="eastAsia" w:ascii="宋体" w:cs="宋体"/>
          <w:kern w:val="0"/>
          <w:sz w:val="24"/>
          <w:lang w:val="zh-CN"/>
        </w:rPr>
        <w:t>期末考试成绩×</w:t>
      </w:r>
      <w:r>
        <w:rPr>
          <w:kern w:val="0"/>
          <w:sz w:val="24"/>
        </w:rPr>
        <w:t>40 %</w:t>
      </w:r>
      <w:r>
        <w:rPr>
          <w:rFonts w:hint="eastAsia" w:ascii="宋体" w:cs="宋体"/>
          <w:kern w:val="0"/>
          <w:sz w:val="24"/>
          <w:lang w:val="zh-CN"/>
        </w:rPr>
        <w:t>。具体内容和比例如表所示：</w:t>
      </w:r>
    </w:p>
    <w:tbl>
      <w:tblPr>
        <w:tblStyle w:val="10"/>
        <w:tblW w:w="0" w:type="auto"/>
        <w:tblInd w:w="56" w:type="dxa"/>
        <w:tblLayout w:type="fixed"/>
        <w:tblCellMar>
          <w:top w:w="0" w:type="dxa"/>
          <w:left w:w="56" w:type="dxa"/>
          <w:bottom w:w="0" w:type="dxa"/>
          <w:right w:w="56" w:type="dxa"/>
        </w:tblCellMar>
      </w:tblPr>
      <w:tblGrid>
        <w:gridCol w:w="1043"/>
        <w:gridCol w:w="715"/>
        <w:gridCol w:w="4820"/>
        <w:gridCol w:w="638"/>
        <w:gridCol w:w="638"/>
        <w:gridCol w:w="638"/>
        <w:gridCol w:w="638"/>
      </w:tblGrid>
      <w:tr>
        <w:tblPrEx>
          <w:tblCellMar>
            <w:top w:w="0" w:type="dxa"/>
            <w:left w:w="56" w:type="dxa"/>
            <w:bottom w:w="0" w:type="dxa"/>
            <w:right w:w="56" w:type="dxa"/>
          </w:tblCellMar>
        </w:tblPrEx>
        <w:trPr>
          <w:trHeight w:val="159" w:hRule="atLeast"/>
        </w:trPr>
        <w:tc>
          <w:tcPr>
            <w:tcW w:w="1043" w:type="dxa"/>
            <w:vMerge w:val="restart"/>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cs="宋体"/>
                <w:kern w:val="0"/>
                <w:sz w:val="22"/>
                <w:szCs w:val="22"/>
                <w:lang w:val="zh-CN"/>
              </w:rPr>
            </w:pPr>
            <w:r>
              <w:rPr>
                <w:rFonts w:hint="eastAsia" w:ascii="宋体" w:cs="宋体"/>
                <w:kern w:val="0"/>
                <w:szCs w:val="21"/>
                <w:lang w:val="zh-CN"/>
              </w:rPr>
              <w:t>考核环节</w:t>
            </w:r>
          </w:p>
        </w:tc>
        <w:tc>
          <w:tcPr>
            <w:tcW w:w="715" w:type="dxa"/>
            <w:vMerge w:val="restart"/>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cs="宋体"/>
                <w:kern w:val="0"/>
                <w:sz w:val="22"/>
                <w:szCs w:val="22"/>
                <w:lang w:val="zh-CN"/>
              </w:rPr>
            </w:pPr>
            <w:r>
              <w:rPr>
                <w:rFonts w:hint="eastAsia" w:ascii="宋体" w:cs="宋体"/>
                <w:kern w:val="0"/>
                <w:szCs w:val="21"/>
                <w:lang w:val="zh-CN"/>
              </w:rPr>
              <w:t>成绩比例</w:t>
            </w:r>
          </w:p>
        </w:tc>
        <w:tc>
          <w:tcPr>
            <w:tcW w:w="4820" w:type="dxa"/>
            <w:vMerge w:val="restart"/>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cs="宋体"/>
                <w:kern w:val="0"/>
                <w:sz w:val="22"/>
                <w:szCs w:val="22"/>
                <w:lang w:val="zh-CN"/>
              </w:rPr>
            </w:pPr>
            <w:r>
              <w:rPr>
                <w:rFonts w:hint="eastAsia" w:ascii="宋体" w:cs="宋体"/>
                <w:kern w:val="0"/>
                <w:szCs w:val="21"/>
                <w:lang w:val="zh-CN"/>
              </w:rPr>
              <w:t>考核内容与评价细则</w:t>
            </w:r>
          </w:p>
        </w:tc>
        <w:tc>
          <w:tcPr>
            <w:tcW w:w="2552" w:type="dxa"/>
            <w:gridSpan w:val="4"/>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cs="宋体"/>
                <w:kern w:val="0"/>
                <w:sz w:val="22"/>
                <w:szCs w:val="22"/>
                <w:lang w:val="zh-CN"/>
              </w:rPr>
            </w:pPr>
            <w:r>
              <w:rPr>
                <w:rFonts w:hint="eastAsia" w:ascii="宋体" w:cs="宋体"/>
                <w:kern w:val="0"/>
                <w:szCs w:val="21"/>
                <w:lang w:val="zh-CN"/>
              </w:rPr>
              <w:t>支撑目标</w:t>
            </w:r>
          </w:p>
        </w:tc>
      </w:tr>
      <w:tr>
        <w:tblPrEx>
          <w:tblCellMar>
            <w:top w:w="0" w:type="dxa"/>
            <w:left w:w="56" w:type="dxa"/>
            <w:bottom w:w="0" w:type="dxa"/>
            <w:right w:w="56" w:type="dxa"/>
          </w:tblCellMar>
        </w:tblPrEx>
        <w:trPr>
          <w:trHeight w:val="159" w:hRule="atLeast"/>
        </w:trPr>
        <w:tc>
          <w:tcPr>
            <w:tcW w:w="1043" w:type="dxa"/>
            <w:vMerge w:val="continue"/>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spacing w:after="200" w:line="276" w:lineRule="auto"/>
              <w:jc w:val="left"/>
              <w:rPr>
                <w:rFonts w:ascii="宋体" w:cs="宋体"/>
                <w:kern w:val="0"/>
                <w:sz w:val="22"/>
                <w:szCs w:val="22"/>
                <w:lang w:val="zh-CN"/>
              </w:rPr>
            </w:pPr>
          </w:p>
        </w:tc>
        <w:tc>
          <w:tcPr>
            <w:tcW w:w="715" w:type="dxa"/>
            <w:vMerge w:val="continue"/>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spacing w:after="200" w:line="276" w:lineRule="auto"/>
              <w:jc w:val="left"/>
              <w:rPr>
                <w:rFonts w:ascii="宋体" w:cs="宋体"/>
                <w:kern w:val="0"/>
                <w:sz w:val="22"/>
                <w:szCs w:val="22"/>
                <w:lang w:val="zh-CN"/>
              </w:rPr>
            </w:pPr>
          </w:p>
        </w:tc>
        <w:tc>
          <w:tcPr>
            <w:tcW w:w="4820" w:type="dxa"/>
            <w:vMerge w:val="continue"/>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spacing w:after="200" w:line="276" w:lineRule="auto"/>
              <w:jc w:val="left"/>
              <w:rPr>
                <w:rFonts w:ascii="宋体" w:cs="宋体"/>
                <w:kern w:val="0"/>
                <w:sz w:val="22"/>
                <w:szCs w:val="22"/>
                <w:lang w:val="zh-CN"/>
              </w:rPr>
            </w:pPr>
          </w:p>
        </w:tc>
        <w:tc>
          <w:tcPr>
            <w:tcW w:w="638" w:type="dxa"/>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cs="宋体"/>
                <w:kern w:val="0"/>
                <w:sz w:val="22"/>
                <w:szCs w:val="22"/>
                <w:lang w:val="zh-CN"/>
              </w:rPr>
            </w:pPr>
            <w:r>
              <w:rPr>
                <w:rFonts w:hint="eastAsia" w:ascii="宋体" w:cs="宋体"/>
                <w:kern w:val="0"/>
                <w:szCs w:val="21"/>
                <w:lang w:val="zh-CN"/>
              </w:rPr>
              <w:t>目标</w:t>
            </w:r>
            <w:r>
              <w:rPr>
                <w:kern w:val="0"/>
                <w:szCs w:val="21"/>
              </w:rPr>
              <w:t>1</w:t>
            </w:r>
          </w:p>
        </w:tc>
        <w:tc>
          <w:tcPr>
            <w:tcW w:w="638" w:type="dxa"/>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cs="宋体"/>
                <w:kern w:val="0"/>
                <w:sz w:val="22"/>
                <w:szCs w:val="22"/>
                <w:lang w:val="zh-CN"/>
              </w:rPr>
            </w:pPr>
            <w:r>
              <w:rPr>
                <w:rFonts w:hint="eastAsia" w:ascii="宋体" w:cs="宋体"/>
                <w:kern w:val="0"/>
                <w:szCs w:val="21"/>
                <w:lang w:val="zh-CN"/>
              </w:rPr>
              <w:t>目标</w:t>
            </w:r>
            <w:r>
              <w:rPr>
                <w:kern w:val="0"/>
                <w:szCs w:val="21"/>
              </w:rPr>
              <w:t>2</w:t>
            </w:r>
          </w:p>
        </w:tc>
        <w:tc>
          <w:tcPr>
            <w:tcW w:w="638" w:type="dxa"/>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cs="宋体"/>
                <w:kern w:val="0"/>
                <w:sz w:val="22"/>
                <w:szCs w:val="22"/>
                <w:lang w:val="zh-CN"/>
              </w:rPr>
            </w:pPr>
            <w:r>
              <w:rPr>
                <w:rFonts w:hint="eastAsia" w:ascii="宋体" w:cs="宋体"/>
                <w:kern w:val="0"/>
                <w:szCs w:val="21"/>
                <w:lang w:val="zh-CN"/>
              </w:rPr>
              <w:t>目标</w:t>
            </w:r>
            <w:r>
              <w:rPr>
                <w:kern w:val="0"/>
                <w:szCs w:val="21"/>
              </w:rPr>
              <w:t>3</w:t>
            </w:r>
          </w:p>
        </w:tc>
        <w:tc>
          <w:tcPr>
            <w:tcW w:w="638" w:type="dxa"/>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cs="宋体"/>
                <w:kern w:val="0"/>
                <w:sz w:val="22"/>
                <w:szCs w:val="22"/>
                <w:lang w:val="zh-CN"/>
              </w:rPr>
            </w:pPr>
          </w:p>
        </w:tc>
      </w:tr>
      <w:tr>
        <w:tblPrEx>
          <w:tblCellMar>
            <w:top w:w="0" w:type="dxa"/>
            <w:left w:w="56" w:type="dxa"/>
            <w:bottom w:w="0" w:type="dxa"/>
            <w:right w:w="56" w:type="dxa"/>
          </w:tblCellMar>
        </w:tblPrEx>
        <w:trPr>
          <w:trHeight w:val="159" w:hRule="atLeast"/>
        </w:trPr>
        <w:tc>
          <w:tcPr>
            <w:tcW w:w="1043" w:type="dxa"/>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实验报告</w:t>
            </w:r>
          </w:p>
        </w:tc>
        <w:tc>
          <w:tcPr>
            <w:tcW w:w="715" w:type="dxa"/>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cs="宋体"/>
                <w:kern w:val="0"/>
                <w:sz w:val="22"/>
                <w:szCs w:val="22"/>
                <w:lang w:val="zh-CN"/>
              </w:rPr>
            </w:pPr>
            <w:r>
              <w:rPr>
                <w:kern w:val="0"/>
                <w:szCs w:val="21"/>
              </w:rPr>
              <w:t>40%</w:t>
            </w:r>
          </w:p>
        </w:tc>
        <w:tc>
          <w:tcPr>
            <w:tcW w:w="4820" w:type="dxa"/>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每次实验后完成，主要考核学生对每个实验的理解和掌握程度，计算全部实验报告的平均成绩再按</w:t>
            </w:r>
            <w:r>
              <w:rPr>
                <w:kern w:val="0"/>
                <w:szCs w:val="21"/>
              </w:rPr>
              <w:t>40%</w:t>
            </w:r>
            <w:r>
              <w:rPr>
                <w:rFonts w:hint="eastAsia" w:ascii="宋体" w:cs="宋体"/>
                <w:kern w:val="0"/>
                <w:szCs w:val="21"/>
                <w:lang w:val="zh-CN"/>
              </w:rPr>
              <w:t>计入总成绩。</w:t>
            </w:r>
          </w:p>
        </w:tc>
        <w:tc>
          <w:tcPr>
            <w:tcW w:w="638" w:type="dxa"/>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cs="宋体"/>
                <w:kern w:val="0"/>
                <w:sz w:val="22"/>
                <w:szCs w:val="22"/>
                <w:lang w:val="zh-CN"/>
              </w:rPr>
            </w:pPr>
            <w:r>
              <w:rPr>
                <w:kern w:val="0"/>
                <w:szCs w:val="21"/>
              </w:rPr>
              <w:t>20%</w:t>
            </w:r>
          </w:p>
        </w:tc>
        <w:tc>
          <w:tcPr>
            <w:tcW w:w="638" w:type="dxa"/>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cs="宋体"/>
                <w:kern w:val="0"/>
                <w:sz w:val="22"/>
                <w:szCs w:val="22"/>
                <w:lang w:val="zh-CN"/>
              </w:rPr>
            </w:pPr>
            <w:r>
              <w:rPr>
                <w:kern w:val="0"/>
                <w:szCs w:val="21"/>
              </w:rPr>
              <w:t>20%</w:t>
            </w:r>
          </w:p>
        </w:tc>
        <w:tc>
          <w:tcPr>
            <w:tcW w:w="638" w:type="dxa"/>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cs="宋体"/>
                <w:kern w:val="0"/>
                <w:sz w:val="22"/>
                <w:szCs w:val="22"/>
                <w:lang w:val="zh-CN"/>
              </w:rPr>
            </w:pPr>
          </w:p>
        </w:tc>
        <w:tc>
          <w:tcPr>
            <w:tcW w:w="638" w:type="dxa"/>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cs="宋体"/>
                <w:kern w:val="0"/>
                <w:sz w:val="22"/>
                <w:szCs w:val="22"/>
                <w:lang w:val="zh-CN"/>
              </w:rPr>
            </w:pPr>
          </w:p>
        </w:tc>
      </w:tr>
      <w:tr>
        <w:tblPrEx>
          <w:tblCellMar>
            <w:top w:w="0" w:type="dxa"/>
            <w:left w:w="56" w:type="dxa"/>
            <w:bottom w:w="0" w:type="dxa"/>
            <w:right w:w="56" w:type="dxa"/>
          </w:tblCellMar>
        </w:tblPrEx>
        <w:trPr>
          <w:trHeight w:val="794" w:hRule="atLeast"/>
        </w:trPr>
        <w:tc>
          <w:tcPr>
            <w:tcW w:w="104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kern w:val="0"/>
                <w:szCs w:val="21"/>
              </w:rPr>
            </w:pPr>
            <w:r>
              <w:rPr>
                <w:rFonts w:hint="eastAsia" w:ascii="宋体" w:cs="宋体"/>
                <w:kern w:val="0"/>
                <w:szCs w:val="21"/>
                <w:lang w:val="zh-CN"/>
              </w:rPr>
              <w:t>考勤及</w:t>
            </w:r>
          </w:p>
          <w:p>
            <w:pPr>
              <w:autoSpaceDE w:val="0"/>
              <w:autoSpaceDN w:val="0"/>
              <w:adjustRightInd w:val="0"/>
              <w:jc w:val="center"/>
              <w:rPr>
                <w:rFonts w:ascii="宋体" w:cs="宋体"/>
                <w:kern w:val="0"/>
                <w:sz w:val="22"/>
                <w:szCs w:val="22"/>
                <w:lang w:val="zh-CN"/>
              </w:rPr>
            </w:pPr>
            <w:r>
              <w:rPr>
                <w:rFonts w:hint="eastAsia" w:ascii="宋体" w:cs="宋体"/>
                <w:kern w:val="0"/>
                <w:szCs w:val="21"/>
                <w:lang w:val="zh-CN"/>
              </w:rPr>
              <w:t>预习报告</w:t>
            </w:r>
          </w:p>
        </w:tc>
        <w:tc>
          <w:tcPr>
            <w:tcW w:w="715"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cs="宋体"/>
                <w:kern w:val="0"/>
                <w:sz w:val="22"/>
                <w:szCs w:val="22"/>
                <w:lang w:val="zh-CN"/>
              </w:rPr>
            </w:pPr>
            <w:r>
              <w:rPr>
                <w:kern w:val="0"/>
                <w:szCs w:val="21"/>
              </w:rPr>
              <w:t>20%</w:t>
            </w:r>
          </w:p>
        </w:tc>
        <w:tc>
          <w:tcPr>
            <w:tcW w:w="4820"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每次实验前及实验过程中完成，考核学生对每个实验的预习、实验原理的理解及实验数据的记录与处理，</w:t>
            </w:r>
            <w:r>
              <w:rPr>
                <w:rFonts w:hint="eastAsia" w:ascii="宋体" w:cs="宋体"/>
                <w:color w:val="000000"/>
                <w:kern w:val="0"/>
                <w:szCs w:val="21"/>
                <w:lang w:val="zh-CN"/>
              </w:rPr>
              <w:t>课堂上学生实验操作表现</w:t>
            </w:r>
            <w:r>
              <w:rPr>
                <w:rFonts w:hint="eastAsia" w:ascii="宋体" w:cs="宋体"/>
                <w:kern w:val="0"/>
                <w:szCs w:val="21"/>
                <w:lang w:val="zh-CN"/>
              </w:rPr>
              <w:t>，计算全部预习报告的平均成绩再按</w:t>
            </w:r>
            <w:r>
              <w:rPr>
                <w:kern w:val="0"/>
                <w:szCs w:val="21"/>
              </w:rPr>
              <w:t>20-30%</w:t>
            </w:r>
            <w:r>
              <w:rPr>
                <w:rFonts w:hint="eastAsia" w:ascii="宋体" w:cs="宋体"/>
                <w:kern w:val="0"/>
                <w:szCs w:val="21"/>
                <w:lang w:val="zh-CN"/>
              </w:rPr>
              <w:t>计入总成绩。</w:t>
            </w:r>
          </w:p>
        </w:tc>
        <w:tc>
          <w:tcPr>
            <w:tcW w:w="638" w:type="dxa"/>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cs="宋体"/>
                <w:kern w:val="0"/>
                <w:sz w:val="22"/>
                <w:szCs w:val="22"/>
                <w:lang w:val="zh-CN"/>
              </w:rPr>
            </w:pPr>
            <w:r>
              <w:rPr>
                <w:color w:val="000000"/>
                <w:kern w:val="0"/>
                <w:szCs w:val="21"/>
              </w:rPr>
              <w:t>10%</w:t>
            </w:r>
          </w:p>
        </w:tc>
        <w:tc>
          <w:tcPr>
            <w:tcW w:w="638" w:type="dxa"/>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cs="宋体"/>
                <w:kern w:val="0"/>
                <w:sz w:val="22"/>
                <w:szCs w:val="22"/>
                <w:lang w:val="zh-CN"/>
              </w:rPr>
            </w:pPr>
            <w:r>
              <w:rPr>
                <w:color w:val="000000"/>
                <w:kern w:val="0"/>
                <w:szCs w:val="21"/>
              </w:rPr>
              <w:t>10%</w:t>
            </w:r>
          </w:p>
        </w:tc>
        <w:tc>
          <w:tcPr>
            <w:tcW w:w="638" w:type="dxa"/>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cs="宋体"/>
                <w:kern w:val="0"/>
                <w:sz w:val="22"/>
                <w:szCs w:val="22"/>
                <w:lang w:val="zh-CN"/>
              </w:rPr>
            </w:pPr>
          </w:p>
        </w:tc>
        <w:tc>
          <w:tcPr>
            <w:tcW w:w="638" w:type="dxa"/>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cs="宋体"/>
                <w:kern w:val="0"/>
                <w:sz w:val="22"/>
                <w:szCs w:val="22"/>
                <w:lang w:val="zh-CN"/>
              </w:rPr>
            </w:pPr>
          </w:p>
        </w:tc>
      </w:tr>
      <w:tr>
        <w:tblPrEx>
          <w:tblCellMar>
            <w:top w:w="0" w:type="dxa"/>
            <w:left w:w="56" w:type="dxa"/>
            <w:bottom w:w="0" w:type="dxa"/>
            <w:right w:w="56" w:type="dxa"/>
          </w:tblCellMar>
        </w:tblPrEx>
        <w:trPr>
          <w:trHeight w:val="1" w:hRule="atLeast"/>
        </w:trPr>
        <w:tc>
          <w:tcPr>
            <w:tcW w:w="104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cs="宋体"/>
                <w:kern w:val="0"/>
                <w:sz w:val="22"/>
                <w:szCs w:val="22"/>
                <w:lang w:val="zh-CN"/>
              </w:rPr>
            </w:pPr>
            <w:r>
              <w:rPr>
                <w:rFonts w:hint="eastAsia" w:ascii="宋体" w:cs="宋体"/>
                <w:kern w:val="0"/>
                <w:szCs w:val="21"/>
                <w:lang w:val="zh-CN"/>
              </w:rPr>
              <w:t>期末考查</w:t>
            </w:r>
          </w:p>
        </w:tc>
        <w:tc>
          <w:tcPr>
            <w:tcW w:w="715"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cs="宋体"/>
                <w:kern w:val="0"/>
                <w:sz w:val="22"/>
                <w:szCs w:val="22"/>
                <w:lang w:val="zh-CN"/>
              </w:rPr>
            </w:pPr>
            <w:r>
              <w:rPr>
                <w:kern w:val="0"/>
                <w:szCs w:val="21"/>
              </w:rPr>
              <w:t xml:space="preserve">40% </w:t>
            </w:r>
          </w:p>
        </w:tc>
        <w:tc>
          <w:tcPr>
            <w:tcW w:w="4820"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rPr>
                <w:rFonts w:ascii="宋体" w:cs="宋体"/>
                <w:kern w:val="0"/>
                <w:sz w:val="22"/>
                <w:szCs w:val="22"/>
                <w:lang w:val="zh-CN"/>
              </w:rPr>
            </w:pPr>
            <w:r>
              <w:rPr>
                <w:rFonts w:hint="eastAsia" w:ascii="宋体" w:cs="宋体"/>
                <w:color w:val="000000"/>
                <w:kern w:val="0"/>
                <w:szCs w:val="21"/>
                <w:lang w:val="zh-CN"/>
              </w:rPr>
              <w:t>实验方案设计、实验操作考核。给定目标物，设计实验方案，测定目标物的含量，</w:t>
            </w:r>
            <w:r>
              <w:rPr>
                <w:rFonts w:hint="eastAsia" w:ascii="宋体" w:cs="宋体"/>
                <w:color w:val="000000"/>
                <w:kern w:val="0"/>
                <w:szCs w:val="21"/>
                <w:lang w:val="en-US" w:eastAsia="zh-CN"/>
              </w:rPr>
              <w:t>当场提交实验报告</w:t>
            </w:r>
            <w:r>
              <w:rPr>
                <w:rFonts w:hint="eastAsia" w:ascii="宋体" w:cs="宋体"/>
                <w:color w:val="000000"/>
                <w:kern w:val="0"/>
                <w:szCs w:val="21"/>
                <w:lang w:val="zh-CN"/>
              </w:rPr>
              <w:t>。</w:t>
            </w:r>
          </w:p>
        </w:tc>
        <w:tc>
          <w:tcPr>
            <w:tcW w:w="638" w:type="dxa"/>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cs="宋体"/>
                <w:kern w:val="0"/>
                <w:sz w:val="22"/>
                <w:szCs w:val="22"/>
                <w:lang w:val="zh-CN"/>
              </w:rPr>
            </w:pPr>
            <w:r>
              <w:rPr>
                <w:color w:val="000000"/>
                <w:kern w:val="0"/>
                <w:szCs w:val="21"/>
              </w:rPr>
              <w:t>20%</w:t>
            </w:r>
          </w:p>
        </w:tc>
        <w:tc>
          <w:tcPr>
            <w:tcW w:w="638" w:type="dxa"/>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cs="宋体"/>
                <w:kern w:val="0"/>
                <w:sz w:val="22"/>
                <w:szCs w:val="22"/>
                <w:lang w:val="zh-CN"/>
              </w:rPr>
            </w:pPr>
            <w:r>
              <w:rPr>
                <w:color w:val="000000"/>
                <w:kern w:val="0"/>
                <w:szCs w:val="21"/>
              </w:rPr>
              <w:t>20%</w:t>
            </w:r>
          </w:p>
        </w:tc>
        <w:tc>
          <w:tcPr>
            <w:tcW w:w="638" w:type="dxa"/>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cs="宋体"/>
                <w:kern w:val="0"/>
                <w:sz w:val="22"/>
                <w:szCs w:val="22"/>
                <w:lang w:val="zh-CN"/>
              </w:rPr>
            </w:pPr>
          </w:p>
        </w:tc>
        <w:tc>
          <w:tcPr>
            <w:tcW w:w="638" w:type="dxa"/>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cs="宋体"/>
                <w:kern w:val="0"/>
                <w:sz w:val="22"/>
                <w:szCs w:val="22"/>
                <w:lang w:val="zh-CN"/>
              </w:rPr>
            </w:pPr>
          </w:p>
        </w:tc>
      </w:tr>
      <w:tr>
        <w:tblPrEx>
          <w:tblCellMar>
            <w:top w:w="0" w:type="dxa"/>
            <w:left w:w="56" w:type="dxa"/>
            <w:bottom w:w="0" w:type="dxa"/>
            <w:right w:w="56" w:type="dxa"/>
          </w:tblCellMar>
        </w:tblPrEx>
        <w:trPr>
          <w:trHeight w:val="677" w:hRule="atLeast"/>
        </w:trPr>
        <w:tc>
          <w:tcPr>
            <w:tcW w:w="104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cs="宋体"/>
                <w:kern w:val="0"/>
                <w:sz w:val="22"/>
                <w:szCs w:val="22"/>
                <w:lang w:val="zh-CN"/>
              </w:rPr>
            </w:pPr>
            <w:r>
              <w:rPr>
                <w:rFonts w:hint="eastAsia" w:ascii="宋体" w:cs="宋体"/>
                <w:kern w:val="0"/>
                <w:szCs w:val="21"/>
                <w:lang w:val="zh-CN"/>
              </w:rPr>
              <w:t>合</w:t>
            </w:r>
            <w:r>
              <w:rPr>
                <w:kern w:val="0"/>
                <w:szCs w:val="21"/>
              </w:rPr>
              <w:t xml:space="preserve">    </w:t>
            </w:r>
            <w:r>
              <w:rPr>
                <w:rFonts w:hint="eastAsia" w:ascii="宋体" w:cs="宋体"/>
                <w:kern w:val="0"/>
                <w:szCs w:val="21"/>
                <w:lang w:val="zh-CN"/>
              </w:rPr>
              <w:t>计</w:t>
            </w:r>
          </w:p>
        </w:tc>
        <w:tc>
          <w:tcPr>
            <w:tcW w:w="715"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cs="宋体"/>
                <w:kern w:val="0"/>
                <w:sz w:val="22"/>
                <w:szCs w:val="22"/>
                <w:lang w:val="zh-CN"/>
              </w:rPr>
            </w:pPr>
            <w:r>
              <w:rPr>
                <w:kern w:val="0"/>
                <w:szCs w:val="21"/>
              </w:rPr>
              <w:t>100%</w:t>
            </w:r>
          </w:p>
        </w:tc>
        <w:tc>
          <w:tcPr>
            <w:tcW w:w="4820"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rPr>
                <w:rFonts w:ascii="宋体" w:cs="宋体"/>
                <w:kern w:val="0"/>
                <w:sz w:val="22"/>
                <w:szCs w:val="22"/>
                <w:lang w:val="zh-CN"/>
              </w:rPr>
            </w:pPr>
          </w:p>
        </w:tc>
        <w:tc>
          <w:tcPr>
            <w:tcW w:w="638" w:type="dxa"/>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cs="宋体"/>
                <w:kern w:val="0"/>
                <w:sz w:val="22"/>
                <w:szCs w:val="22"/>
                <w:lang w:val="zh-CN"/>
              </w:rPr>
            </w:pPr>
            <w:r>
              <w:rPr>
                <w:color w:val="000000"/>
                <w:kern w:val="0"/>
                <w:szCs w:val="21"/>
              </w:rPr>
              <w:t>50%</w:t>
            </w:r>
          </w:p>
        </w:tc>
        <w:tc>
          <w:tcPr>
            <w:tcW w:w="638" w:type="dxa"/>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cs="宋体"/>
                <w:kern w:val="0"/>
                <w:sz w:val="22"/>
                <w:szCs w:val="22"/>
                <w:lang w:val="zh-CN"/>
              </w:rPr>
            </w:pPr>
            <w:r>
              <w:rPr>
                <w:color w:val="000000"/>
                <w:kern w:val="0"/>
                <w:szCs w:val="21"/>
              </w:rPr>
              <w:t>50%</w:t>
            </w:r>
          </w:p>
        </w:tc>
        <w:tc>
          <w:tcPr>
            <w:tcW w:w="638" w:type="dxa"/>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cs="宋体"/>
                <w:kern w:val="0"/>
                <w:sz w:val="22"/>
                <w:szCs w:val="22"/>
                <w:lang w:val="zh-CN"/>
              </w:rPr>
            </w:pPr>
          </w:p>
        </w:tc>
        <w:tc>
          <w:tcPr>
            <w:tcW w:w="638" w:type="dxa"/>
            <w:tcBorders>
              <w:top w:val="single" w:color="000000" w:sz="2" w:space="0"/>
              <w:left w:val="single" w:color="000000" w:sz="2" w:space="0"/>
              <w:bottom w:val="single" w:color="000000" w:sz="2" w:space="0"/>
              <w:right w:val="single" w:color="000000" w:sz="2" w:space="0"/>
            </w:tcBorders>
            <w:shd w:val="clear" w:color="auto" w:fill="FFFFFF"/>
            <w:noWrap w:val="0"/>
            <w:vAlign w:val="center"/>
          </w:tcPr>
          <w:p>
            <w:pPr>
              <w:autoSpaceDE w:val="0"/>
              <w:autoSpaceDN w:val="0"/>
              <w:adjustRightInd w:val="0"/>
              <w:jc w:val="center"/>
              <w:rPr>
                <w:rFonts w:ascii="宋体" w:cs="宋体"/>
                <w:kern w:val="0"/>
                <w:sz w:val="22"/>
                <w:szCs w:val="22"/>
                <w:lang w:val="zh-CN"/>
              </w:rPr>
            </w:pPr>
          </w:p>
        </w:tc>
      </w:tr>
    </w:tbl>
    <w:p>
      <w:pPr>
        <w:autoSpaceDE w:val="0"/>
        <w:autoSpaceDN w:val="0"/>
        <w:adjustRightInd w:val="0"/>
        <w:spacing w:line="360" w:lineRule="auto"/>
        <w:rPr>
          <w:kern w:val="0"/>
          <w:sz w:val="24"/>
        </w:rPr>
      </w:pPr>
      <w:r>
        <w:rPr>
          <w:rFonts w:hint="eastAsia" w:ascii="宋体" w:cs="宋体"/>
          <w:kern w:val="0"/>
          <w:sz w:val="24"/>
          <w:lang w:val="zh-CN"/>
        </w:rPr>
        <w:t>（三）所有课程目标均需大于等于</w:t>
      </w:r>
      <w:r>
        <w:rPr>
          <w:kern w:val="0"/>
          <w:sz w:val="24"/>
        </w:rPr>
        <w:t>0.6</w:t>
      </w:r>
      <w:r>
        <w:rPr>
          <w:rFonts w:hint="eastAsia" w:ascii="宋体" w:cs="宋体"/>
          <w:kern w:val="0"/>
          <w:sz w:val="24"/>
          <w:lang w:val="zh-CN"/>
        </w:rPr>
        <w:t>，否则总评成绩不及格，需要重修。每个课程目标达成度计算方法如下：</w:t>
      </w:r>
    </w:p>
    <w:p>
      <w:pPr>
        <w:autoSpaceDE w:val="0"/>
        <w:autoSpaceDN w:val="0"/>
        <w:adjustRightInd w:val="0"/>
        <w:spacing w:line="360" w:lineRule="auto"/>
        <w:jc w:val="center"/>
        <w:rPr>
          <w:kern w:val="0"/>
          <w:sz w:val="24"/>
        </w:rPr>
      </w:pPr>
      <w:r>
        <w:rPr>
          <w:rFonts w:ascii="宋体" w:cs="宋体"/>
          <w:kern w:val="0"/>
          <w:sz w:val="22"/>
          <w:szCs w:val="22"/>
          <w:lang w:val="zh-CN"/>
        </w:rPr>
        <w:drawing>
          <wp:inline distT="0" distB="0" distL="114300" distR="114300">
            <wp:extent cx="4332605" cy="411480"/>
            <wp:effectExtent l="0" t="0" r="10795" b="762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7"/>
                    <a:stretch>
                      <a:fillRect/>
                    </a:stretch>
                  </pic:blipFill>
                  <pic:spPr>
                    <a:xfrm>
                      <a:off x="0" y="0"/>
                      <a:ext cx="4332605" cy="411480"/>
                    </a:xfrm>
                    <a:prstGeom prst="rect">
                      <a:avLst/>
                    </a:prstGeom>
                    <a:noFill/>
                    <a:ln>
                      <a:noFill/>
                    </a:ln>
                  </pic:spPr>
                </pic:pic>
              </a:graphicData>
            </a:graphic>
          </wp:inline>
        </w:drawing>
      </w:r>
    </w:p>
    <w:p>
      <w:pPr>
        <w:autoSpaceDE w:val="0"/>
        <w:autoSpaceDN w:val="0"/>
        <w:adjustRightInd w:val="0"/>
        <w:spacing w:line="360" w:lineRule="auto"/>
        <w:rPr>
          <w:b/>
          <w:bCs/>
          <w:kern w:val="0"/>
          <w:sz w:val="28"/>
          <w:szCs w:val="28"/>
        </w:rPr>
      </w:pPr>
      <w:r>
        <w:rPr>
          <w:rFonts w:hint="eastAsia" w:ascii="宋体" w:cs="宋体"/>
          <w:b/>
          <w:bCs/>
          <w:kern w:val="0"/>
          <w:sz w:val="28"/>
          <w:szCs w:val="28"/>
          <w:lang w:val="zh-CN"/>
        </w:rPr>
        <w:t>六、有关说明</w:t>
      </w:r>
    </w:p>
    <w:p>
      <w:pPr>
        <w:autoSpaceDE w:val="0"/>
        <w:autoSpaceDN w:val="0"/>
        <w:adjustRightInd w:val="0"/>
        <w:spacing w:line="360" w:lineRule="auto"/>
        <w:ind w:firstLine="482"/>
        <w:rPr>
          <w:b/>
          <w:bCs/>
          <w:color w:val="000000"/>
          <w:kern w:val="0"/>
          <w:sz w:val="24"/>
        </w:rPr>
      </w:pPr>
      <w:r>
        <w:rPr>
          <w:rFonts w:hint="eastAsia" w:ascii="宋体" w:cs="宋体"/>
          <w:b/>
          <w:bCs/>
          <w:color w:val="000000"/>
          <w:kern w:val="0"/>
          <w:sz w:val="24"/>
          <w:lang w:val="zh-CN"/>
        </w:rPr>
        <w:t>（一）持续改进</w:t>
      </w:r>
    </w:p>
    <w:p>
      <w:pPr>
        <w:autoSpaceDE w:val="0"/>
        <w:autoSpaceDN w:val="0"/>
        <w:adjustRightInd w:val="0"/>
        <w:spacing w:line="360" w:lineRule="auto"/>
        <w:ind w:firstLine="480"/>
        <w:rPr>
          <w:kern w:val="0"/>
          <w:sz w:val="24"/>
        </w:rPr>
      </w:pPr>
      <w:r>
        <w:rPr>
          <w:rFonts w:hint="eastAsia" w:ascii="宋体" w:cs="宋体"/>
          <w:kern w:val="0"/>
          <w:sz w:val="24"/>
          <w:lang w:val="zh-CN"/>
        </w:rPr>
        <w:t>本课程根据学生</w:t>
      </w:r>
      <w:r>
        <w:rPr>
          <w:rFonts w:hint="eastAsia" w:ascii="宋体" w:cs="宋体"/>
          <w:kern w:val="0"/>
          <w:sz w:val="24"/>
          <w:lang w:val="en-US" w:eastAsia="zh-CN"/>
        </w:rPr>
        <w:t>预习报告和实验报告</w:t>
      </w:r>
      <w:r>
        <w:rPr>
          <w:rFonts w:hint="eastAsia" w:ascii="宋体" w:cs="宋体"/>
          <w:kern w:val="0"/>
          <w:sz w:val="24"/>
          <w:lang w:val="zh-CN"/>
        </w:rPr>
        <w:t>、实验情况、平时考核情况和学生、教学督导等的反馈，及时对教学中的不足之处进行改进，并在下一轮课程教学中整改完善，确保相应毕业要求指标点达成。</w:t>
      </w:r>
    </w:p>
    <w:p>
      <w:pPr>
        <w:autoSpaceDE w:val="0"/>
        <w:autoSpaceDN w:val="0"/>
        <w:adjustRightInd w:val="0"/>
        <w:spacing w:line="360" w:lineRule="auto"/>
        <w:ind w:firstLine="482"/>
        <w:rPr>
          <w:b/>
          <w:bCs/>
          <w:color w:val="000000"/>
          <w:kern w:val="0"/>
          <w:sz w:val="24"/>
        </w:rPr>
      </w:pPr>
      <w:r>
        <w:rPr>
          <w:rFonts w:hint="eastAsia" w:ascii="宋体" w:cs="宋体"/>
          <w:b/>
          <w:bCs/>
          <w:color w:val="000000"/>
          <w:kern w:val="0"/>
          <w:sz w:val="24"/>
          <w:lang w:val="zh-CN"/>
        </w:rPr>
        <w:t>（二）参考书目及学习资料</w:t>
      </w:r>
    </w:p>
    <w:p>
      <w:pPr>
        <w:autoSpaceDE w:val="0"/>
        <w:autoSpaceDN w:val="0"/>
        <w:adjustRightInd w:val="0"/>
        <w:spacing w:line="360" w:lineRule="auto"/>
        <w:ind w:firstLine="480"/>
        <w:rPr>
          <w:kern w:val="0"/>
          <w:sz w:val="24"/>
        </w:rPr>
      </w:pPr>
      <w:r>
        <w:rPr>
          <w:kern w:val="0"/>
          <w:sz w:val="24"/>
        </w:rPr>
        <w:t xml:space="preserve">[1] </w:t>
      </w:r>
      <w:r>
        <w:rPr>
          <w:rFonts w:hint="eastAsia" w:ascii="宋体" w:cs="宋体"/>
          <w:kern w:val="0"/>
          <w:sz w:val="24"/>
          <w:lang w:val="zh-CN"/>
        </w:rPr>
        <w:t>武汉大学，《分析化学实验（第</w:t>
      </w:r>
      <w:r>
        <w:rPr>
          <w:kern w:val="0"/>
          <w:sz w:val="24"/>
        </w:rPr>
        <w:t>4</w:t>
      </w:r>
      <w:r>
        <w:rPr>
          <w:rFonts w:hint="eastAsia" w:ascii="宋体" w:cs="宋体"/>
          <w:kern w:val="0"/>
          <w:sz w:val="24"/>
          <w:lang w:val="zh-CN"/>
        </w:rPr>
        <w:t>版）》，高等教育出版社，</w:t>
      </w:r>
      <w:r>
        <w:rPr>
          <w:kern w:val="0"/>
          <w:sz w:val="24"/>
        </w:rPr>
        <w:t>2016</w:t>
      </w:r>
    </w:p>
    <w:p>
      <w:pPr>
        <w:autoSpaceDE w:val="0"/>
        <w:autoSpaceDN w:val="0"/>
        <w:adjustRightInd w:val="0"/>
        <w:spacing w:line="360" w:lineRule="auto"/>
        <w:ind w:firstLine="480"/>
        <w:rPr>
          <w:kern w:val="0"/>
          <w:sz w:val="24"/>
        </w:rPr>
      </w:pPr>
      <w:r>
        <w:rPr>
          <w:kern w:val="0"/>
          <w:sz w:val="24"/>
        </w:rPr>
        <w:t xml:space="preserve">[2] </w:t>
      </w:r>
      <w:r>
        <w:rPr>
          <w:rFonts w:hint="eastAsia" w:ascii="宋体" w:cs="宋体"/>
          <w:kern w:val="0"/>
          <w:sz w:val="24"/>
          <w:lang w:val="zh-CN"/>
        </w:rPr>
        <w:t>华中师范大学等校编，《分析化学实验（第</w:t>
      </w:r>
      <w:r>
        <w:rPr>
          <w:kern w:val="0"/>
          <w:sz w:val="24"/>
        </w:rPr>
        <w:t>4</w:t>
      </w:r>
      <w:r>
        <w:rPr>
          <w:rFonts w:hint="eastAsia" w:ascii="宋体" w:cs="宋体"/>
          <w:kern w:val="0"/>
          <w:sz w:val="24"/>
          <w:lang w:val="zh-CN"/>
        </w:rPr>
        <w:t>版）》，高等教育出版社，</w:t>
      </w:r>
      <w:r>
        <w:rPr>
          <w:kern w:val="0"/>
          <w:sz w:val="24"/>
        </w:rPr>
        <w:t>2015</w:t>
      </w:r>
    </w:p>
    <w:p>
      <w:pPr>
        <w:autoSpaceDE w:val="0"/>
        <w:autoSpaceDN w:val="0"/>
        <w:adjustRightInd w:val="0"/>
        <w:spacing w:line="360" w:lineRule="auto"/>
        <w:ind w:firstLine="480"/>
        <w:rPr>
          <w:kern w:val="0"/>
          <w:sz w:val="24"/>
        </w:rPr>
      </w:pPr>
      <w:r>
        <w:rPr>
          <w:kern w:val="0"/>
          <w:sz w:val="24"/>
        </w:rPr>
        <w:t xml:space="preserve">[3] </w:t>
      </w:r>
      <w:r>
        <w:rPr>
          <w:rFonts w:hint="eastAsia" w:ascii="宋体" w:cs="宋体"/>
          <w:kern w:val="0"/>
          <w:sz w:val="24"/>
          <w:lang w:val="zh-CN"/>
        </w:rPr>
        <w:t>武汉大学，《分析化学（第</w:t>
      </w:r>
      <w:r>
        <w:rPr>
          <w:kern w:val="0"/>
          <w:sz w:val="24"/>
        </w:rPr>
        <w:t>6</w:t>
      </w:r>
      <w:r>
        <w:rPr>
          <w:rFonts w:hint="eastAsia" w:ascii="宋体" w:cs="宋体"/>
          <w:kern w:val="0"/>
          <w:sz w:val="24"/>
          <w:lang w:val="zh-CN"/>
        </w:rPr>
        <w:t>版）》，高等教育出版社，</w:t>
      </w:r>
      <w:r>
        <w:rPr>
          <w:kern w:val="0"/>
          <w:sz w:val="24"/>
        </w:rPr>
        <w:t>2016</w:t>
      </w:r>
    </w:p>
    <w:p>
      <w:pPr>
        <w:autoSpaceDE w:val="0"/>
        <w:autoSpaceDN w:val="0"/>
        <w:adjustRightInd w:val="0"/>
        <w:spacing w:line="360" w:lineRule="auto"/>
        <w:ind w:right="480"/>
        <w:jc w:val="right"/>
        <w:rPr>
          <w:rFonts w:hint="eastAsia" w:ascii="宋体" w:cs="宋体"/>
          <w:kern w:val="0"/>
          <w:sz w:val="24"/>
          <w:lang w:val="zh-CN"/>
        </w:rPr>
      </w:pPr>
    </w:p>
    <w:p>
      <w:pPr>
        <w:autoSpaceDE w:val="0"/>
        <w:autoSpaceDN w:val="0"/>
        <w:adjustRightInd w:val="0"/>
        <w:spacing w:line="360" w:lineRule="auto"/>
        <w:ind w:right="480"/>
        <w:jc w:val="right"/>
        <w:rPr>
          <w:rFonts w:hint="eastAsia" w:ascii="宋体" w:cs="宋体"/>
          <w:kern w:val="0"/>
          <w:sz w:val="24"/>
          <w:lang w:val="zh-CN"/>
        </w:rPr>
      </w:pPr>
    </w:p>
    <w:p>
      <w:pPr>
        <w:autoSpaceDE w:val="0"/>
        <w:autoSpaceDN w:val="0"/>
        <w:adjustRightInd w:val="0"/>
        <w:spacing w:line="360" w:lineRule="auto"/>
        <w:ind w:right="480"/>
        <w:jc w:val="right"/>
        <w:rPr>
          <w:kern w:val="0"/>
          <w:sz w:val="24"/>
        </w:rPr>
      </w:pPr>
      <w:r>
        <w:rPr>
          <w:rFonts w:hint="eastAsia" w:ascii="宋体" w:cs="宋体"/>
          <w:kern w:val="0"/>
          <w:sz w:val="24"/>
          <w:lang w:val="zh-CN"/>
        </w:rPr>
        <w:t>执笔人：陈建欣</w:t>
      </w:r>
    </w:p>
    <w:p>
      <w:pPr>
        <w:autoSpaceDE w:val="0"/>
        <w:autoSpaceDN w:val="0"/>
        <w:adjustRightInd w:val="0"/>
        <w:spacing w:line="360" w:lineRule="auto"/>
        <w:ind w:right="480"/>
        <w:jc w:val="right"/>
        <w:rPr>
          <w:kern w:val="0"/>
          <w:sz w:val="24"/>
        </w:rPr>
      </w:pPr>
      <w:r>
        <w:rPr>
          <w:rFonts w:hint="eastAsia" w:ascii="宋体" w:cs="宋体"/>
          <w:kern w:val="0"/>
          <w:sz w:val="24"/>
          <w:lang w:val="zh-CN"/>
        </w:rPr>
        <w:t>审定人：魏雪娇</w:t>
      </w:r>
    </w:p>
    <w:p>
      <w:pPr>
        <w:autoSpaceDE w:val="0"/>
        <w:autoSpaceDN w:val="0"/>
        <w:adjustRightInd w:val="0"/>
        <w:spacing w:line="360" w:lineRule="auto"/>
        <w:ind w:right="480"/>
        <w:jc w:val="right"/>
        <w:rPr>
          <w:kern w:val="0"/>
          <w:sz w:val="24"/>
        </w:rPr>
      </w:pPr>
      <w:r>
        <w:rPr>
          <w:rFonts w:hint="eastAsia" w:ascii="宋体" w:cs="宋体"/>
          <w:kern w:val="0"/>
          <w:sz w:val="24"/>
          <w:lang w:val="zh-CN"/>
        </w:rPr>
        <w:t>审批人：吴泽颖</w:t>
      </w:r>
    </w:p>
    <w:p>
      <w:pPr>
        <w:autoSpaceDE w:val="0"/>
        <w:autoSpaceDN w:val="0"/>
        <w:adjustRightInd w:val="0"/>
        <w:spacing w:line="360" w:lineRule="auto"/>
        <w:ind w:right="480"/>
        <w:jc w:val="right"/>
        <w:rPr>
          <w:kern w:val="0"/>
          <w:sz w:val="24"/>
        </w:rPr>
      </w:pPr>
      <w:r>
        <w:rPr>
          <w:kern w:val="0"/>
          <w:sz w:val="24"/>
        </w:rPr>
        <w:t>202</w:t>
      </w:r>
      <w:r>
        <w:rPr>
          <w:rFonts w:hint="eastAsia"/>
          <w:kern w:val="0"/>
          <w:sz w:val="24"/>
          <w:lang w:val="en-US" w:eastAsia="zh-CN"/>
        </w:rPr>
        <w:t>1</w:t>
      </w:r>
      <w:r>
        <w:rPr>
          <w:rFonts w:hint="eastAsia" w:ascii="宋体" w:cs="宋体"/>
          <w:kern w:val="0"/>
          <w:sz w:val="24"/>
          <w:lang w:val="zh-CN"/>
        </w:rPr>
        <w:t>年</w:t>
      </w:r>
      <w:r>
        <w:rPr>
          <w:kern w:val="0"/>
          <w:sz w:val="24"/>
        </w:rPr>
        <w:t>7</w:t>
      </w:r>
      <w:r>
        <w:rPr>
          <w:rFonts w:hint="eastAsia" w:ascii="宋体" w:cs="宋体"/>
          <w:kern w:val="0"/>
          <w:sz w:val="24"/>
          <w:lang w:val="zh-CN"/>
        </w:rPr>
        <w:t>月</w:t>
      </w:r>
      <w:r>
        <w:rPr>
          <w:kern w:val="0"/>
          <w:sz w:val="24"/>
        </w:rPr>
        <w:t>20</w:t>
      </w:r>
      <w:r>
        <w:rPr>
          <w:rFonts w:hint="eastAsia" w:ascii="宋体" w:cs="宋体"/>
          <w:kern w:val="0"/>
          <w:sz w:val="24"/>
          <w:lang w:val="zh-CN"/>
        </w:rPr>
        <w:t>日</w:t>
      </w:r>
    </w:p>
    <w:p>
      <w:pPr>
        <w:spacing w:line="312" w:lineRule="auto"/>
        <w:jc w:val="center"/>
        <w:outlineLvl w:val="0"/>
        <w:rPr>
          <w:b/>
          <w:bCs/>
          <w:sz w:val="30"/>
        </w:rPr>
      </w:pPr>
    </w:p>
    <w:p>
      <w:pPr>
        <w:spacing w:line="312" w:lineRule="auto"/>
        <w:jc w:val="center"/>
        <w:outlineLvl w:val="0"/>
        <w:rPr>
          <w:b/>
          <w:bCs/>
          <w:sz w:val="30"/>
        </w:rPr>
      </w:pPr>
    </w:p>
    <w:p>
      <w:pPr>
        <w:spacing w:line="312" w:lineRule="auto"/>
        <w:jc w:val="center"/>
        <w:outlineLvl w:val="0"/>
        <w:rPr>
          <w:b/>
          <w:bCs/>
          <w:sz w:val="30"/>
        </w:rPr>
      </w:pPr>
    </w:p>
    <w:p>
      <w:pPr>
        <w:spacing w:line="312" w:lineRule="auto"/>
        <w:jc w:val="center"/>
        <w:outlineLvl w:val="0"/>
        <w:rPr>
          <w:b/>
          <w:bCs/>
          <w:sz w:val="30"/>
        </w:rPr>
      </w:pPr>
    </w:p>
    <w:p>
      <w:pPr>
        <w:spacing w:line="312" w:lineRule="auto"/>
        <w:jc w:val="center"/>
        <w:outlineLvl w:val="0"/>
        <w:rPr>
          <w:b/>
          <w:bCs/>
          <w:sz w:val="30"/>
        </w:rPr>
      </w:pPr>
    </w:p>
    <w:p>
      <w:pPr>
        <w:spacing w:line="312" w:lineRule="auto"/>
        <w:jc w:val="center"/>
        <w:outlineLvl w:val="0"/>
        <w:rPr>
          <w:b/>
          <w:bCs/>
          <w:sz w:val="30"/>
        </w:rPr>
      </w:pPr>
    </w:p>
    <w:p>
      <w:pPr>
        <w:spacing w:line="312" w:lineRule="auto"/>
        <w:jc w:val="center"/>
        <w:outlineLvl w:val="0"/>
        <w:rPr>
          <w:b/>
          <w:bCs/>
          <w:sz w:val="30"/>
        </w:rPr>
      </w:pPr>
    </w:p>
    <w:p>
      <w:pPr>
        <w:pStyle w:val="3"/>
        <w:bidi w:val="0"/>
        <w:jc w:val="center"/>
      </w:pPr>
      <w:bookmarkStart w:id="17" w:name="_Toc14272"/>
      <w:bookmarkStart w:id="18" w:name="_Toc10161"/>
      <w:r>
        <w:t>有机化学课程教学大纲</w:t>
      </w:r>
      <w:bookmarkEnd w:id="17"/>
      <w:bookmarkEnd w:id="18"/>
    </w:p>
    <w:p>
      <w:pPr>
        <w:jc w:val="center"/>
        <w:rPr>
          <w:b/>
          <w:bCs/>
          <w:sz w:val="30"/>
        </w:rPr>
      </w:pPr>
      <w:r>
        <w:rPr>
          <w:b/>
          <w:bCs/>
          <w:sz w:val="30"/>
        </w:rPr>
        <w:t>（Organic Chemistry）</w:t>
      </w:r>
    </w:p>
    <w:p>
      <w:pPr>
        <w:spacing w:line="360" w:lineRule="auto"/>
        <w:rPr>
          <w:b/>
          <w:sz w:val="28"/>
          <w:szCs w:val="28"/>
        </w:rPr>
      </w:pPr>
      <w:r>
        <w:rPr>
          <w:b/>
          <w:sz w:val="28"/>
          <w:szCs w:val="28"/>
        </w:rPr>
        <w:t>一、课程概况</w:t>
      </w:r>
    </w:p>
    <w:p>
      <w:pPr>
        <w:spacing w:line="360" w:lineRule="auto"/>
        <w:ind w:firstLine="482" w:firstLineChars="200"/>
        <w:rPr>
          <w:b/>
          <w:sz w:val="28"/>
          <w:szCs w:val="28"/>
        </w:rPr>
      </w:pPr>
      <w:r>
        <w:rPr>
          <w:b/>
          <w:bCs/>
          <w:kern w:val="0"/>
          <w:sz w:val="24"/>
        </w:rPr>
        <w:t>课程代码</w:t>
      </w:r>
      <w:r>
        <w:rPr>
          <w:b/>
          <w:kern w:val="0"/>
          <w:sz w:val="24"/>
        </w:rPr>
        <w:t>：2501044</w:t>
      </w:r>
    </w:p>
    <w:p>
      <w:pPr>
        <w:spacing w:line="360" w:lineRule="auto"/>
        <w:ind w:firstLine="482" w:firstLineChars="200"/>
        <w:rPr>
          <w:kern w:val="0"/>
          <w:sz w:val="24"/>
        </w:rPr>
      </w:pPr>
      <w:r>
        <w:rPr>
          <w:b/>
          <w:bCs/>
          <w:kern w:val="0"/>
          <w:sz w:val="24"/>
        </w:rPr>
        <w:t>学    分</w:t>
      </w:r>
      <w:r>
        <w:rPr>
          <w:b/>
          <w:kern w:val="0"/>
          <w:sz w:val="24"/>
        </w:rPr>
        <w:t>：5</w:t>
      </w:r>
    </w:p>
    <w:p>
      <w:pPr>
        <w:spacing w:line="360" w:lineRule="auto"/>
        <w:ind w:firstLine="482" w:firstLineChars="200"/>
        <w:rPr>
          <w:kern w:val="0"/>
          <w:sz w:val="24"/>
        </w:rPr>
      </w:pPr>
      <w:r>
        <w:rPr>
          <w:b/>
          <w:bCs/>
          <w:kern w:val="0"/>
          <w:sz w:val="24"/>
        </w:rPr>
        <w:t>学    时</w:t>
      </w:r>
      <w:r>
        <w:rPr>
          <w:b/>
          <w:kern w:val="0"/>
          <w:sz w:val="24"/>
        </w:rPr>
        <w:t>：80</w:t>
      </w:r>
      <w:r>
        <w:rPr>
          <w:kern w:val="0"/>
          <w:sz w:val="24"/>
        </w:rPr>
        <w:t>（其中：讲授学时80）</w:t>
      </w:r>
    </w:p>
    <w:p>
      <w:pPr>
        <w:spacing w:line="360" w:lineRule="auto"/>
        <w:ind w:firstLine="482" w:firstLineChars="200"/>
        <w:rPr>
          <w:bCs/>
          <w:kern w:val="0"/>
          <w:sz w:val="24"/>
        </w:rPr>
      </w:pPr>
      <w:r>
        <w:rPr>
          <w:b/>
          <w:bCs/>
          <w:kern w:val="0"/>
          <w:sz w:val="24"/>
        </w:rPr>
        <w:t>先修课程</w:t>
      </w:r>
      <w:r>
        <w:rPr>
          <w:b/>
          <w:kern w:val="0"/>
          <w:sz w:val="24"/>
        </w:rPr>
        <w:t>：</w:t>
      </w:r>
      <w:r>
        <w:rPr>
          <w:kern w:val="0"/>
          <w:sz w:val="24"/>
        </w:rPr>
        <w:t>《无机化学》、《分析化学》</w:t>
      </w:r>
    </w:p>
    <w:p>
      <w:pPr>
        <w:spacing w:line="360" w:lineRule="auto"/>
        <w:ind w:firstLine="482" w:firstLineChars="200"/>
        <w:rPr>
          <w:kern w:val="0"/>
          <w:sz w:val="24"/>
        </w:rPr>
      </w:pPr>
      <w:r>
        <w:rPr>
          <w:b/>
          <w:bCs/>
          <w:kern w:val="0"/>
          <w:sz w:val="24"/>
        </w:rPr>
        <w:t>适用专业</w:t>
      </w:r>
      <w:r>
        <w:rPr>
          <w:b/>
          <w:kern w:val="0"/>
          <w:sz w:val="24"/>
        </w:rPr>
        <w:t>：</w:t>
      </w:r>
      <w:r>
        <w:rPr>
          <w:kern w:val="0"/>
          <w:sz w:val="24"/>
        </w:rPr>
        <w:t>化学工程与工艺专业、应用化学专业</w:t>
      </w:r>
    </w:p>
    <w:p>
      <w:pPr>
        <w:spacing w:line="360" w:lineRule="auto"/>
        <w:ind w:firstLine="482" w:firstLineChars="200"/>
        <w:rPr>
          <w:sz w:val="24"/>
        </w:rPr>
      </w:pPr>
      <w:r>
        <w:rPr>
          <w:b/>
          <w:bCs/>
          <w:kern w:val="0"/>
          <w:sz w:val="24"/>
        </w:rPr>
        <w:t>教    材</w:t>
      </w:r>
      <w:r>
        <w:rPr>
          <w:b/>
          <w:kern w:val="0"/>
          <w:sz w:val="24"/>
        </w:rPr>
        <w:t>：</w:t>
      </w:r>
      <w:r>
        <w:rPr>
          <w:kern w:val="0"/>
          <w:sz w:val="24"/>
        </w:rPr>
        <w:t>《</w:t>
      </w:r>
      <w:r>
        <w:rPr>
          <w:bCs/>
          <w:kern w:val="0"/>
          <w:sz w:val="24"/>
        </w:rPr>
        <w:t>有机化学</w:t>
      </w:r>
      <w:r>
        <w:rPr>
          <w:kern w:val="0"/>
          <w:sz w:val="24"/>
        </w:rPr>
        <w:t>》，高占先，高等教育出版社，2018年2月第三版</w:t>
      </w:r>
    </w:p>
    <w:p>
      <w:pPr>
        <w:spacing w:line="360" w:lineRule="auto"/>
        <w:ind w:firstLine="482" w:firstLineChars="200"/>
        <w:rPr>
          <w:kern w:val="0"/>
          <w:sz w:val="24"/>
        </w:rPr>
      </w:pPr>
      <w:r>
        <w:rPr>
          <w:b/>
          <w:bCs/>
          <w:kern w:val="0"/>
          <w:sz w:val="24"/>
        </w:rPr>
        <w:t>课程归口：</w:t>
      </w:r>
      <w:r>
        <w:rPr>
          <w:bCs/>
          <w:kern w:val="0"/>
          <w:sz w:val="24"/>
        </w:rPr>
        <w:t>化工与材料</w:t>
      </w:r>
      <w:r>
        <w:rPr>
          <w:kern w:val="0"/>
          <w:sz w:val="24"/>
        </w:rPr>
        <w:t>学院</w:t>
      </w:r>
    </w:p>
    <w:p>
      <w:pPr>
        <w:spacing w:line="360" w:lineRule="auto"/>
        <w:ind w:firstLine="482" w:firstLineChars="200"/>
        <w:rPr>
          <w:bCs/>
          <w:kern w:val="0"/>
          <w:sz w:val="24"/>
        </w:rPr>
      </w:pPr>
      <w:r>
        <w:rPr>
          <w:b/>
          <w:bCs/>
          <w:kern w:val="0"/>
          <w:sz w:val="24"/>
        </w:rPr>
        <w:t>课程团队：</w:t>
      </w:r>
      <w:r>
        <w:rPr>
          <w:bCs/>
          <w:kern w:val="0"/>
          <w:sz w:val="24"/>
        </w:rPr>
        <w:t>孙潇楠、乐传俊、许鹏、王晋方等</w:t>
      </w:r>
    </w:p>
    <w:p>
      <w:pPr>
        <w:autoSpaceDE w:val="0"/>
        <w:autoSpaceDN w:val="0"/>
        <w:adjustRightInd w:val="0"/>
        <w:spacing w:line="360" w:lineRule="auto"/>
        <w:ind w:firstLine="482" w:firstLineChars="200"/>
        <w:jc w:val="left"/>
        <w:rPr>
          <w:kern w:val="0"/>
          <w:sz w:val="24"/>
        </w:rPr>
      </w:pPr>
      <w:r>
        <w:rPr>
          <w:b/>
          <w:bCs/>
          <w:kern w:val="0"/>
          <w:sz w:val="24"/>
        </w:rPr>
        <w:t>课程性质与任务：</w:t>
      </w:r>
      <w:r>
        <w:rPr>
          <w:kern w:val="0"/>
          <w:sz w:val="24"/>
        </w:rPr>
        <w:t>本课程是</w:t>
      </w:r>
      <w:r>
        <w:rPr>
          <w:bCs/>
          <w:kern w:val="0"/>
          <w:sz w:val="24"/>
        </w:rPr>
        <w:t>化学工程与工艺</w:t>
      </w:r>
      <w:r>
        <w:rPr>
          <w:kern w:val="0"/>
          <w:sz w:val="24"/>
        </w:rPr>
        <w:t>专业的专业基础必修课</w:t>
      </w:r>
      <w:r>
        <w:rPr>
          <w:sz w:val="24"/>
        </w:rPr>
        <w:t>。通过本课程的学习，</w:t>
      </w:r>
      <w:r>
        <w:rPr>
          <w:kern w:val="0"/>
          <w:sz w:val="24"/>
        </w:rPr>
        <w:t>培养学生通过本课程的教学掌握有机化学的基本规律，即熟悉有机化合物基本类型得结构、性能、合成方法以及它们之间相互联系的规律和理论，同时激发学生的创新思维，引导和培养学生树立新时代社会主义核心价值观。</w:t>
      </w:r>
    </w:p>
    <w:p>
      <w:pPr>
        <w:autoSpaceDE w:val="0"/>
        <w:autoSpaceDN w:val="0"/>
        <w:adjustRightInd w:val="0"/>
        <w:spacing w:line="360" w:lineRule="auto"/>
        <w:ind w:firstLine="480" w:firstLineChars="200"/>
        <w:jc w:val="left"/>
        <w:rPr>
          <w:kern w:val="0"/>
          <w:sz w:val="24"/>
        </w:rPr>
      </w:pPr>
      <w:r>
        <w:rPr>
          <w:kern w:val="0"/>
          <w:sz w:val="24"/>
        </w:rPr>
        <w:t>要求学生掌握重要的典型的有机化合物的命名方法、结构特点和异构现象；应用化学键理论的基本概念理解有机物的基本结构；掌握各类重要有机化合物的主要性质、反应、来源和合成方法；理解典型反应的反应历程；初步掌握紫外光谱、红外光谱和核磁共振谱的基本原理及其在测定有机物结构中的应用，为后续专业课程的学习和专业实践教学环节打下坚实的基础。</w:t>
      </w:r>
    </w:p>
    <w:p>
      <w:pPr>
        <w:spacing w:line="360" w:lineRule="auto"/>
        <w:rPr>
          <w:b/>
          <w:sz w:val="28"/>
          <w:szCs w:val="28"/>
        </w:rPr>
      </w:pPr>
      <w:r>
        <w:rPr>
          <w:b/>
          <w:sz w:val="28"/>
          <w:szCs w:val="28"/>
        </w:rPr>
        <w:t>二、课程目标及对毕业要求观测点的支撑</w:t>
      </w:r>
    </w:p>
    <w:tbl>
      <w:tblPr>
        <w:tblStyle w:val="1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118"/>
        <w:gridCol w:w="2292"/>
        <w:gridCol w:w="3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38" w:type="dxa"/>
            <w:noWrap/>
            <w:vAlign w:val="center"/>
          </w:tcPr>
          <w:p>
            <w:pPr>
              <w:widowControl/>
              <w:jc w:val="center"/>
              <w:rPr>
                <w:b/>
                <w:bCs/>
                <w:kern w:val="0"/>
                <w:szCs w:val="21"/>
              </w:rPr>
            </w:pPr>
            <w:r>
              <w:rPr>
                <w:b/>
                <w:bCs/>
                <w:kern w:val="0"/>
                <w:szCs w:val="21"/>
              </w:rPr>
              <w:t>序号</w:t>
            </w:r>
          </w:p>
        </w:tc>
        <w:tc>
          <w:tcPr>
            <w:tcW w:w="3118" w:type="dxa"/>
            <w:noWrap/>
            <w:vAlign w:val="center"/>
          </w:tcPr>
          <w:p>
            <w:pPr>
              <w:widowControl/>
              <w:jc w:val="center"/>
              <w:rPr>
                <w:b/>
                <w:bCs/>
                <w:kern w:val="0"/>
                <w:szCs w:val="21"/>
              </w:rPr>
            </w:pPr>
            <w:r>
              <w:rPr>
                <w:b/>
                <w:bCs/>
                <w:kern w:val="0"/>
                <w:szCs w:val="21"/>
              </w:rPr>
              <w:t>课程目标</w:t>
            </w:r>
          </w:p>
        </w:tc>
        <w:tc>
          <w:tcPr>
            <w:tcW w:w="2292" w:type="dxa"/>
            <w:noWrap/>
            <w:vAlign w:val="center"/>
          </w:tcPr>
          <w:p>
            <w:pPr>
              <w:widowControl/>
              <w:jc w:val="center"/>
              <w:rPr>
                <w:b/>
                <w:bCs/>
                <w:kern w:val="0"/>
                <w:szCs w:val="21"/>
              </w:rPr>
            </w:pPr>
            <w:r>
              <w:rPr>
                <w:b/>
                <w:bCs/>
                <w:kern w:val="0"/>
                <w:szCs w:val="21"/>
              </w:rPr>
              <w:t>支撑毕业要求</w:t>
            </w:r>
          </w:p>
          <w:p>
            <w:pPr>
              <w:widowControl/>
              <w:jc w:val="center"/>
              <w:rPr>
                <w:b/>
                <w:bCs/>
                <w:kern w:val="0"/>
                <w:szCs w:val="21"/>
              </w:rPr>
            </w:pPr>
            <w:r>
              <w:rPr>
                <w:b/>
                <w:bCs/>
                <w:kern w:val="0"/>
                <w:szCs w:val="21"/>
              </w:rPr>
              <w:t>分解指标点</w:t>
            </w:r>
          </w:p>
        </w:tc>
        <w:tc>
          <w:tcPr>
            <w:tcW w:w="3066" w:type="dxa"/>
            <w:noWrap/>
            <w:vAlign w:val="center"/>
          </w:tcPr>
          <w:p>
            <w:pPr>
              <w:widowControl/>
              <w:jc w:val="center"/>
              <w:rPr>
                <w:b/>
                <w:bCs/>
                <w:kern w:val="0"/>
                <w:szCs w:val="21"/>
              </w:rPr>
            </w:pPr>
            <w:r>
              <w:rPr>
                <w:b/>
                <w:bCs/>
                <w:kern w:val="0"/>
                <w:szCs w:val="21"/>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38" w:type="dxa"/>
            <w:noWrap/>
            <w:vAlign w:val="center"/>
          </w:tcPr>
          <w:p>
            <w:pPr>
              <w:widowControl/>
              <w:jc w:val="center"/>
              <w:rPr>
                <w:kern w:val="0"/>
                <w:szCs w:val="21"/>
              </w:rPr>
            </w:pPr>
            <w:r>
              <w:rPr>
                <w:kern w:val="0"/>
                <w:szCs w:val="21"/>
              </w:rPr>
              <w:t>1</w:t>
            </w:r>
          </w:p>
        </w:tc>
        <w:tc>
          <w:tcPr>
            <w:tcW w:w="3118" w:type="dxa"/>
            <w:noWrap/>
            <w:vAlign w:val="center"/>
          </w:tcPr>
          <w:p>
            <w:pPr>
              <w:rPr>
                <w:kern w:val="0"/>
                <w:szCs w:val="21"/>
              </w:rPr>
            </w:pPr>
            <w:r>
              <w:rPr>
                <w:b/>
                <w:kern w:val="0"/>
                <w:szCs w:val="21"/>
              </w:rPr>
              <w:t>目标1：</w:t>
            </w:r>
            <w:r>
              <w:rPr>
                <w:rFonts w:hint="eastAsia"/>
                <w:bCs/>
                <w:kern w:val="0"/>
                <w:szCs w:val="21"/>
              </w:rPr>
              <w:t>能够理解掌握有机化学中相关术语；了解有机化合物的特性并掌握结构式的书写；理解官能团、化学键的特性并巩固轨道理论；能够理解有机化合物的分类方法及命名技巧，掌握代表性有机化合物的结构特点；能够掌握代表性化合物的主要性质及特征反应机理，理解有机化合物的相互转化关系及条件，建立相关物质转化逻辑关系；能够进行基于官能团水平的分析及解释；能够实现对产物及化学性质的预测；能够基于官能团和化学键，在预测反应产物的基础上明确反应部位、结合方式以及重组形式；掌握利用逆合成分析的方法设计化合物全合成路线；掌握从碳骨架上官能团的转化与化合物合成的角度理解掌握化学反应前后反应物与生成物之间的关系，能够顺推和逆推。</w:t>
            </w:r>
          </w:p>
        </w:tc>
        <w:tc>
          <w:tcPr>
            <w:tcW w:w="2292" w:type="dxa"/>
            <w:noWrap/>
            <w:vAlign w:val="center"/>
          </w:tcPr>
          <w:p>
            <w:pPr>
              <w:widowControl/>
              <w:rPr>
                <w:kern w:val="0"/>
                <w:szCs w:val="21"/>
              </w:rPr>
            </w:pPr>
            <w:r>
              <w:rPr>
                <w:b/>
                <w:szCs w:val="21"/>
              </w:rPr>
              <w:t>分解指标点1-2：</w:t>
            </w:r>
            <w:r>
              <w:rPr>
                <w:bCs/>
                <w:szCs w:val="21"/>
              </w:rPr>
              <w:t>掌握化学和化工基础知识。</w:t>
            </w:r>
          </w:p>
        </w:tc>
        <w:tc>
          <w:tcPr>
            <w:tcW w:w="3066" w:type="dxa"/>
            <w:noWrap/>
            <w:vAlign w:val="center"/>
          </w:tcPr>
          <w:p>
            <w:pPr>
              <w:widowControl/>
              <w:rPr>
                <w:kern w:val="0"/>
                <w:szCs w:val="21"/>
              </w:rPr>
            </w:pPr>
            <w:r>
              <w:rPr>
                <w:b/>
                <w:szCs w:val="21"/>
              </w:rPr>
              <w:t>毕业要求1：</w:t>
            </w:r>
            <w:r>
              <w:rPr>
                <w:bCs/>
                <w:szCs w:val="21"/>
              </w:rPr>
              <w:t>工程知识：能够将数学、自然科学、工程基础和专业知识用于解决化学工程与工艺领域复杂工程问题。</w:t>
            </w:r>
          </w:p>
        </w:tc>
      </w:tr>
    </w:tbl>
    <w:p>
      <w:pPr>
        <w:spacing w:line="360" w:lineRule="auto"/>
        <w:rPr>
          <w:b/>
          <w:sz w:val="28"/>
          <w:szCs w:val="28"/>
        </w:rPr>
      </w:pPr>
      <w:r>
        <w:rPr>
          <w:b/>
          <w:sz w:val="28"/>
          <w:szCs w:val="28"/>
        </w:rPr>
        <w:t>三、教学内容及要求</w:t>
      </w:r>
    </w:p>
    <w:p>
      <w:pPr>
        <w:autoSpaceDE w:val="0"/>
        <w:autoSpaceDN w:val="0"/>
        <w:adjustRightInd w:val="0"/>
        <w:spacing w:line="360" w:lineRule="auto"/>
        <w:jc w:val="left"/>
        <w:rPr>
          <w:b/>
          <w:bCs/>
          <w:kern w:val="0"/>
          <w:sz w:val="24"/>
        </w:rPr>
      </w:pPr>
      <w:r>
        <w:rPr>
          <w:b/>
          <w:bCs/>
          <w:kern w:val="0"/>
          <w:sz w:val="24"/>
        </w:rPr>
        <w:t>（</w:t>
      </w:r>
      <w:r>
        <w:rPr>
          <w:rFonts w:hint="eastAsia"/>
          <w:b/>
          <w:bCs/>
          <w:kern w:val="0"/>
          <w:sz w:val="24"/>
        </w:rPr>
        <w:t>一</w:t>
      </w:r>
      <w:r>
        <w:rPr>
          <w:b/>
          <w:bCs/>
          <w:kern w:val="0"/>
          <w:sz w:val="24"/>
        </w:rPr>
        <w:t>）教学内容及要求</w:t>
      </w:r>
    </w:p>
    <w:tbl>
      <w:tblPr>
        <w:tblStyle w:val="10"/>
        <w:tblW w:w="9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1498"/>
        <w:gridCol w:w="1019"/>
        <w:gridCol w:w="3383"/>
        <w:gridCol w:w="593"/>
        <w:gridCol w:w="975"/>
        <w:gridCol w:w="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b/>
                <w:bCs/>
                <w:szCs w:val="21"/>
              </w:rPr>
            </w:pPr>
            <w:r>
              <w:rPr>
                <w:b/>
                <w:bCs/>
                <w:szCs w:val="21"/>
              </w:rPr>
              <w:t>序号</w:t>
            </w:r>
          </w:p>
        </w:tc>
        <w:tc>
          <w:tcPr>
            <w:tcW w:w="1498" w:type="dxa"/>
            <w:noWrap w:val="0"/>
            <w:vAlign w:val="center"/>
          </w:tcPr>
          <w:p>
            <w:pPr>
              <w:jc w:val="center"/>
              <w:rPr>
                <w:b/>
                <w:bCs/>
                <w:szCs w:val="21"/>
              </w:rPr>
            </w:pPr>
            <w:r>
              <w:rPr>
                <w:b/>
                <w:bCs/>
                <w:szCs w:val="21"/>
              </w:rPr>
              <w:t>教学内容</w:t>
            </w:r>
          </w:p>
        </w:tc>
        <w:tc>
          <w:tcPr>
            <w:tcW w:w="1019" w:type="dxa"/>
            <w:noWrap w:val="0"/>
            <w:vAlign w:val="center"/>
          </w:tcPr>
          <w:p>
            <w:pPr>
              <w:jc w:val="center"/>
              <w:rPr>
                <w:b/>
                <w:bCs/>
                <w:szCs w:val="21"/>
              </w:rPr>
            </w:pPr>
            <w:r>
              <w:rPr>
                <w:b/>
                <w:bCs/>
                <w:szCs w:val="21"/>
              </w:rPr>
              <w:t>思政元素</w:t>
            </w:r>
          </w:p>
        </w:tc>
        <w:tc>
          <w:tcPr>
            <w:tcW w:w="3383" w:type="dxa"/>
            <w:noWrap w:val="0"/>
            <w:vAlign w:val="center"/>
          </w:tcPr>
          <w:p>
            <w:pPr>
              <w:jc w:val="center"/>
              <w:rPr>
                <w:b/>
                <w:bCs/>
                <w:szCs w:val="21"/>
              </w:rPr>
            </w:pPr>
            <w:r>
              <w:rPr>
                <w:b/>
                <w:bCs/>
                <w:szCs w:val="21"/>
              </w:rPr>
              <w:t>预期学习成果</w:t>
            </w:r>
          </w:p>
        </w:tc>
        <w:tc>
          <w:tcPr>
            <w:tcW w:w="593" w:type="dxa"/>
            <w:noWrap w:val="0"/>
            <w:vAlign w:val="center"/>
          </w:tcPr>
          <w:p>
            <w:pPr>
              <w:jc w:val="center"/>
              <w:rPr>
                <w:b/>
                <w:bCs/>
                <w:szCs w:val="21"/>
              </w:rPr>
            </w:pPr>
            <w:r>
              <w:rPr>
                <w:color w:val="000000"/>
                <w:sz w:val="22"/>
                <w:szCs w:val="22"/>
              </w:rPr>
              <w:t>教学学时</w:t>
            </w:r>
          </w:p>
        </w:tc>
        <w:tc>
          <w:tcPr>
            <w:tcW w:w="975" w:type="dxa"/>
            <w:noWrap w:val="0"/>
            <w:vAlign w:val="center"/>
          </w:tcPr>
          <w:p>
            <w:pPr>
              <w:jc w:val="center"/>
              <w:rPr>
                <w:b/>
                <w:bCs/>
                <w:szCs w:val="21"/>
              </w:rPr>
            </w:pPr>
            <w:r>
              <w:rPr>
                <w:b/>
                <w:bCs/>
                <w:szCs w:val="21"/>
              </w:rPr>
              <w:t>教学方式</w:t>
            </w:r>
          </w:p>
        </w:tc>
        <w:tc>
          <w:tcPr>
            <w:tcW w:w="925" w:type="dxa"/>
            <w:noWrap w:val="0"/>
            <w:vAlign w:val="center"/>
          </w:tcPr>
          <w:p>
            <w:pPr>
              <w:jc w:val="center"/>
              <w:rPr>
                <w:b/>
                <w:bCs/>
                <w:szCs w:val="21"/>
              </w:rPr>
            </w:pPr>
            <w:r>
              <w:rPr>
                <w:b/>
                <w:bCs/>
                <w:szCs w:val="21"/>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szCs w:val="21"/>
              </w:rPr>
            </w:pPr>
            <w:r>
              <w:rPr>
                <w:szCs w:val="21"/>
              </w:rPr>
              <w:t>1</w:t>
            </w:r>
          </w:p>
        </w:tc>
        <w:tc>
          <w:tcPr>
            <w:tcW w:w="1498" w:type="dxa"/>
            <w:noWrap w:val="0"/>
            <w:vAlign w:val="center"/>
          </w:tcPr>
          <w:p>
            <w:pPr>
              <w:rPr>
                <w:b/>
                <w:kern w:val="0"/>
                <w:szCs w:val="21"/>
              </w:rPr>
            </w:pPr>
            <w:r>
              <w:rPr>
                <w:b/>
                <w:kern w:val="0"/>
                <w:szCs w:val="21"/>
              </w:rPr>
              <w:t>结构与性能：</w:t>
            </w:r>
          </w:p>
          <w:p>
            <w:pPr>
              <w:rPr>
                <w:bCs/>
                <w:kern w:val="0"/>
                <w:szCs w:val="21"/>
              </w:rPr>
            </w:pPr>
            <w:r>
              <w:rPr>
                <w:bCs/>
                <w:kern w:val="0"/>
                <w:szCs w:val="21"/>
              </w:rPr>
              <w:t>有机化合物和有机化学；有机化合物的结构特征；有机机理的一般概念；有机化合物酸碱的概念；溶剂的分类及溶剂化作用。</w:t>
            </w:r>
          </w:p>
        </w:tc>
        <w:tc>
          <w:tcPr>
            <w:tcW w:w="1019" w:type="dxa"/>
            <w:noWrap w:val="0"/>
            <w:vAlign w:val="center"/>
          </w:tcPr>
          <w:p>
            <w:pPr>
              <w:autoSpaceDE w:val="0"/>
              <w:autoSpaceDN w:val="0"/>
              <w:adjustRightInd w:val="0"/>
              <w:rPr>
                <w:kern w:val="0"/>
                <w:szCs w:val="21"/>
              </w:rPr>
            </w:pPr>
            <w:r>
              <w:rPr>
                <w:kern w:val="0"/>
                <w:szCs w:val="21"/>
              </w:rPr>
              <w:t>元素1、2、5</w:t>
            </w:r>
          </w:p>
        </w:tc>
        <w:tc>
          <w:tcPr>
            <w:tcW w:w="3383" w:type="dxa"/>
            <w:noWrap w:val="0"/>
            <w:vAlign w:val="center"/>
          </w:tcPr>
          <w:p>
            <w:pPr>
              <w:autoSpaceDE w:val="0"/>
              <w:autoSpaceDN w:val="0"/>
              <w:adjustRightInd w:val="0"/>
              <w:rPr>
                <w:kern w:val="0"/>
                <w:szCs w:val="21"/>
              </w:rPr>
            </w:pPr>
            <w:r>
              <w:rPr>
                <w:kern w:val="0"/>
                <w:szCs w:val="21"/>
              </w:rPr>
              <w:t>（1）掌握有机化合物和有机化学的基本概念，了解和掌握有机化合物的基本性质，理解同分异构现象；</w:t>
            </w:r>
          </w:p>
          <w:p>
            <w:pPr>
              <w:autoSpaceDE w:val="0"/>
              <w:autoSpaceDN w:val="0"/>
              <w:adjustRightInd w:val="0"/>
              <w:rPr>
                <w:kern w:val="0"/>
                <w:szCs w:val="21"/>
              </w:rPr>
            </w:pPr>
            <w:r>
              <w:rPr>
                <w:kern w:val="0"/>
                <w:szCs w:val="21"/>
              </w:rPr>
              <w:t>（2）掌握有机化合物结构特点和共价键的表示方式；了解共价键和价键理论的相关内容；理解杂化轨道理论和分子轨道理论的基本知识；</w:t>
            </w:r>
          </w:p>
          <w:p>
            <w:pPr>
              <w:autoSpaceDE w:val="0"/>
              <w:autoSpaceDN w:val="0"/>
              <w:adjustRightInd w:val="0"/>
              <w:rPr>
                <w:kern w:val="0"/>
                <w:szCs w:val="21"/>
              </w:rPr>
            </w:pPr>
            <w:r>
              <w:rPr>
                <w:kern w:val="0"/>
                <w:szCs w:val="21"/>
              </w:rPr>
              <w:t>（3）掌握有机反应的分类方法；共价键的断裂方式以及反应中间体的类型；</w:t>
            </w:r>
          </w:p>
          <w:p>
            <w:pPr>
              <w:autoSpaceDE w:val="0"/>
              <w:autoSpaceDN w:val="0"/>
              <w:adjustRightInd w:val="0"/>
              <w:rPr>
                <w:kern w:val="0"/>
                <w:szCs w:val="21"/>
              </w:rPr>
            </w:pPr>
            <w:r>
              <w:rPr>
                <w:kern w:val="0"/>
                <w:szCs w:val="21"/>
              </w:rPr>
              <w:t>（4）理解三种酸碱理论并掌握其在有机反应中的应用；</w:t>
            </w:r>
          </w:p>
          <w:p>
            <w:pPr>
              <w:autoSpaceDE w:val="0"/>
              <w:autoSpaceDN w:val="0"/>
              <w:adjustRightInd w:val="0"/>
              <w:rPr>
                <w:kern w:val="0"/>
                <w:szCs w:val="21"/>
              </w:rPr>
            </w:pPr>
            <w:r>
              <w:rPr>
                <w:kern w:val="0"/>
                <w:szCs w:val="21"/>
              </w:rPr>
              <w:t>（5）掌握溶剂的多种分类方法，理解溶剂化作用及其应用。</w:t>
            </w:r>
          </w:p>
        </w:tc>
        <w:tc>
          <w:tcPr>
            <w:tcW w:w="593" w:type="dxa"/>
            <w:noWrap w:val="0"/>
            <w:vAlign w:val="center"/>
          </w:tcPr>
          <w:p>
            <w:pPr>
              <w:jc w:val="center"/>
              <w:rPr>
                <w:szCs w:val="21"/>
              </w:rPr>
            </w:pPr>
            <w:r>
              <w:rPr>
                <w:color w:val="000000"/>
                <w:sz w:val="22"/>
                <w:szCs w:val="22"/>
              </w:rPr>
              <w:t>4</w:t>
            </w:r>
          </w:p>
        </w:tc>
        <w:tc>
          <w:tcPr>
            <w:tcW w:w="975" w:type="dxa"/>
            <w:noWrap w:val="0"/>
            <w:vAlign w:val="center"/>
          </w:tcPr>
          <w:p>
            <w:pPr>
              <w:rPr>
                <w:szCs w:val="21"/>
              </w:rPr>
            </w:pPr>
            <w:r>
              <w:rPr>
                <w:szCs w:val="21"/>
              </w:rPr>
              <w:t>讲授/讨论/实例教学等</w:t>
            </w:r>
          </w:p>
        </w:tc>
        <w:tc>
          <w:tcPr>
            <w:tcW w:w="925" w:type="dxa"/>
            <w:noWrap w:val="0"/>
            <w:vAlign w:val="center"/>
          </w:tcPr>
          <w:p>
            <w:pPr>
              <w:jc w:val="center"/>
              <w:rPr>
                <w:szCs w:val="21"/>
              </w:rPr>
            </w:pPr>
            <w:r>
              <w:rPr>
                <w:b/>
                <w:kern w:val="0"/>
                <w:szCs w:val="21"/>
              </w:rPr>
              <w:t>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szCs w:val="21"/>
              </w:rPr>
            </w:pPr>
            <w:r>
              <w:rPr>
                <w:szCs w:val="21"/>
              </w:rPr>
              <w:t>2</w:t>
            </w:r>
          </w:p>
        </w:tc>
        <w:tc>
          <w:tcPr>
            <w:tcW w:w="1498" w:type="dxa"/>
            <w:noWrap w:val="0"/>
            <w:vAlign w:val="center"/>
          </w:tcPr>
          <w:p>
            <w:pPr>
              <w:rPr>
                <w:kern w:val="0"/>
                <w:szCs w:val="21"/>
              </w:rPr>
            </w:pPr>
            <w:r>
              <w:rPr>
                <w:b/>
                <w:kern w:val="0"/>
                <w:szCs w:val="21"/>
              </w:rPr>
              <w:t>有机化合物的分类及命名：</w:t>
            </w:r>
            <w:r>
              <w:rPr>
                <w:kern w:val="0"/>
                <w:szCs w:val="21"/>
              </w:rPr>
              <w:t>有机化合物的分类方法；有机化合物的命名方法；系统命名法</w:t>
            </w:r>
          </w:p>
        </w:tc>
        <w:tc>
          <w:tcPr>
            <w:tcW w:w="1019" w:type="dxa"/>
            <w:noWrap w:val="0"/>
            <w:vAlign w:val="center"/>
          </w:tcPr>
          <w:p>
            <w:pPr>
              <w:rPr>
                <w:szCs w:val="21"/>
              </w:rPr>
            </w:pPr>
          </w:p>
        </w:tc>
        <w:tc>
          <w:tcPr>
            <w:tcW w:w="3383" w:type="dxa"/>
            <w:noWrap w:val="0"/>
            <w:vAlign w:val="center"/>
          </w:tcPr>
          <w:p>
            <w:pPr>
              <w:rPr>
                <w:kern w:val="0"/>
                <w:szCs w:val="21"/>
              </w:rPr>
            </w:pPr>
            <w:r>
              <w:rPr>
                <w:kern w:val="0"/>
                <w:szCs w:val="21"/>
              </w:rPr>
              <w:t>（1）掌握有机化合物分类的基本概念和具体分类方法；</w:t>
            </w:r>
          </w:p>
          <w:p>
            <w:pPr>
              <w:rPr>
                <w:kern w:val="0"/>
                <w:szCs w:val="21"/>
              </w:rPr>
            </w:pPr>
            <w:r>
              <w:rPr>
                <w:kern w:val="0"/>
                <w:szCs w:val="21"/>
              </w:rPr>
              <w:t>（2）掌握有机化合物命名的基本要求；掌握化学介词、表示构造的形容词和基；掌握常用命名法；</w:t>
            </w:r>
          </w:p>
          <w:p>
            <w:pPr>
              <w:rPr>
                <w:szCs w:val="21"/>
              </w:rPr>
            </w:pPr>
            <w:r>
              <w:rPr>
                <w:kern w:val="0"/>
                <w:szCs w:val="21"/>
              </w:rPr>
              <w:t>（3）掌握有机化合物的系统命名法的基本步骤并结合实例深入理解系统命名法。</w:t>
            </w:r>
          </w:p>
        </w:tc>
        <w:tc>
          <w:tcPr>
            <w:tcW w:w="593" w:type="dxa"/>
            <w:noWrap w:val="0"/>
            <w:vAlign w:val="center"/>
          </w:tcPr>
          <w:p>
            <w:pPr>
              <w:jc w:val="center"/>
              <w:rPr>
                <w:szCs w:val="21"/>
              </w:rPr>
            </w:pPr>
            <w:r>
              <w:rPr>
                <w:color w:val="000000"/>
                <w:sz w:val="22"/>
                <w:szCs w:val="22"/>
              </w:rPr>
              <w:t>6</w:t>
            </w:r>
          </w:p>
        </w:tc>
        <w:tc>
          <w:tcPr>
            <w:tcW w:w="975" w:type="dxa"/>
            <w:noWrap w:val="0"/>
            <w:vAlign w:val="center"/>
          </w:tcPr>
          <w:p>
            <w:pPr>
              <w:rPr>
                <w:szCs w:val="21"/>
              </w:rPr>
            </w:pPr>
            <w:r>
              <w:rPr>
                <w:szCs w:val="21"/>
              </w:rPr>
              <w:t>讲授/讨论/等</w:t>
            </w:r>
          </w:p>
        </w:tc>
        <w:tc>
          <w:tcPr>
            <w:tcW w:w="925" w:type="dxa"/>
            <w:noWrap w:val="0"/>
            <w:vAlign w:val="center"/>
          </w:tcPr>
          <w:p>
            <w:pPr>
              <w:jc w:val="center"/>
              <w:rPr>
                <w:szCs w:val="21"/>
              </w:rPr>
            </w:pPr>
            <w:r>
              <w:rPr>
                <w:b/>
                <w:kern w:val="0"/>
                <w:szCs w:val="21"/>
              </w:rPr>
              <w:t>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szCs w:val="21"/>
              </w:rPr>
            </w:pPr>
            <w:r>
              <w:rPr>
                <w:szCs w:val="21"/>
              </w:rPr>
              <w:t>3</w:t>
            </w:r>
          </w:p>
        </w:tc>
        <w:tc>
          <w:tcPr>
            <w:tcW w:w="1498" w:type="dxa"/>
            <w:noWrap w:val="0"/>
            <w:vAlign w:val="center"/>
          </w:tcPr>
          <w:p>
            <w:pPr>
              <w:rPr>
                <w:kern w:val="0"/>
                <w:szCs w:val="21"/>
              </w:rPr>
            </w:pPr>
            <w:r>
              <w:rPr>
                <w:b/>
                <w:kern w:val="0"/>
                <w:szCs w:val="21"/>
              </w:rPr>
              <w:t>有机化合物的同分异构现象：</w:t>
            </w:r>
            <w:r>
              <w:rPr>
                <w:kern w:val="0"/>
                <w:szCs w:val="21"/>
              </w:rPr>
              <w:t>构造异构现象；构象异构现象；几何异构现象；含手性碳化合物的异构现象；拓朴异构现象；化合物的旋光性与旋光性化合物的拆分和合成。</w:t>
            </w:r>
          </w:p>
        </w:tc>
        <w:tc>
          <w:tcPr>
            <w:tcW w:w="1019" w:type="dxa"/>
            <w:noWrap w:val="0"/>
            <w:vAlign w:val="center"/>
          </w:tcPr>
          <w:p>
            <w:pPr>
              <w:rPr>
                <w:szCs w:val="21"/>
              </w:rPr>
            </w:pPr>
            <w:r>
              <w:rPr>
                <w:szCs w:val="21"/>
              </w:rPr>
              <w:t>元素1</w:t>
            </w:r>
          </w:p>
        </w:tc>
        <w:tc>
          <w:tcPr>
            <w:tcW w:w="3383" w:type="dxa"/>
            <w:noWrap w:val="0"/>
            <w:vAlign w:val="center"/>
          </w:tcPr>
          <w:p>
            <w:pPr>
              <w:rPr>
                <w:kern w:val="0"/>
                <w:szCs w:val="21"/>
              </w:rPr>
            </w:pPr>
            <w:r>
              <w:rPr>
                <w:kern w:val="0"/>
                <w:szCs w:val="21"/>
              </w:rPr>
              <w:t>（1）掌握构造异构现象的几种形式和推导方式；</w:t>
            </w:r>
          </w:p>
          <w:p>
            <w:pPr>
              <w:rPr>
                <w:kern w:val="0"/>
                <w:szCs w:val="21"/>
              </w:rPr>
            </w:pPr>
            <w:r>
              <w:rPr>
                <w:kern w:val="0"/>
                <w:szCs w:val="21"/>
              </w:rPr>
              <w:t>（2）掌握构象异构现象的几种形式和推导方式；</w:t>
            </w:r>
          </w:p>
          <w:p>
            <w:pPr>
              <w:rPr>
                <w:kern w:val="0"/>
                <w:szCs w:val="21"/>
              </w:rPr>
            </w:pPr>
            <w:r>
              <w:rPr>
                <w:kern w:val="0"/>
                <w:szCs w:val="21"/>
              </w:rPr>
              <w:t>（3）掌握几何异构现象的几种形式和推导方式；</w:t>
            </w:r>
          </w:p>
          <w:p>
            <w:pPr>
              <w:rPr>
                <w:kern w:val="0"/>
                <w:szCs w:val="21"/>
              </w:rPr>
            </w:pPr>
            <w:r>
              <w:rPr>
                <w:kern w:val="0"/>
                <w:szCs w:val="21"/>
              </w:rPr>
              <w:t>（4）掌握手性碳化合物的异构现象的推导方式；</w:t>
            </w:r>
          </w:p>
          <w:p>
            <w:pPr>
              <w:rPr>
                <w:kern w:val="0"/>
                <w:szCs w:val="21"/>
              </w:rPr>
            </w:pPr>
            <w:r>
              <w:rPr>
                <w:kern w:val="0"/>
                <w:szCs w:val="21"/>
              </w:rPr>
              <w:t>（5）理解拓扑异构的基本形式；</w:t>
            </w:r>
          </w:p>
          <w:p>
            <w:pPr>
              <w:rPr>
                <w:szCs w:val="21"/>
              </w:rPr>
            </w:pPr>
            <w:r>
              <w:rPr>
                <w:kern w:val="0"/>
                <w:szCs w:val="21"/>
              </w:rPr>
              <w:t>（6）掌握化合物的旋光性与旋光性化合物的拆分方法和在合成化学当中的应用。</w:t>
            </w:r>
          </w:p>
        </w:tc>
        <w:tc>
          <w:tcPr>
            <w:tcW w:w="593" w:type="dxa"/>
            <w:noWrap w:val="0"/>
            <w:vAlign w:val="center"/>
          </w:tcPr>
          <w:p>
            <w:pPr>
              <w:jc w:val="center"/>
              <w:rPr>
                <w:szCs w:val="21"/>
              </w:rPr>
            </w:pPr>
            <w:r>
              <w:rPr>
                <w:color w:val="000000"/>
                <w:sz w:val="22"/>
                <w:szCs w:val="22"/>
              </w:rPr>
              <w:t>4</w:t>
            </w:r>
          </w:p>
        </w:tc>
        <w:tc>
          <w:tcPr>
            <w:tcW w:w="975" w:type="dxa"/>
            <w:noWrap w:val="0"/>
            <w:vAlign w:val="center"/>
          </w:tcPr>
          <w:p>
            <w:pPr>
              <w:rPr>
                <w:szCs w:val="21"/>
              </w:rPr>
            </w:pPr>
            <w:r>
              <w:rPr>
                <w:szCs w:val="21"/>
              </w:rPr>
              <w:t>讲授/讨论/等</w:t>
            </w:r>
          </w:p>
        </w:tc>
        <w:tc>
          <w:tcPr>
            <w:tcW w:w="925" w:type="dxa"/>
            <w:noWrap w:val="0"/>
            <w:vAlign w:val="center"/>
          </w:tcPr>
          <w:p>
            <w:pPr>
              <w:jc w:val="center"/>
              <w:rPr>
                <w:szCs w:val="21"/>
              </w:rPr>
            </w:pPr>
            <w:r>
              <w:rPr>
                <w:b/>
                <w:kern w:val="0"/>
                <w:szCs w:val="21"/>
              </w:rPr>
              <w:t>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szCs w:val="21"/>
              </w:rPr>
            </w:pPr>
            <w:r>
              <w:rPr>
                <w:szCs w:val="21"/>
              </w:rPr>
              <w:t>4</w:t>
            </w:r>
          </w:p>
        </w:tc>
        <w:tc>
          <w:tcPr>
            <w:tcW w:w="1498" w:type="dxa"/>
            <w:noWrap w:val="0"/>
            <w:vAlign w:val="center"/>
          </w:tcPr>
          <w:p>
            <w:pPr>
              <w:rPr>
                <w:kern w:val="0"/>
                <w:szCs w:val="21"/>
              </w:rPr>
            </w:pPr>
            <w:r>
              <w:rPr>
                <w:b/>
                <w:kern w:val="0"/>
                <w:szCs w:val="21"/>
              </w:rPr>
              <w:t>有机化合物的结构表征：</w:t>
            </w:r>
            <w:r>
              <w:rPr>
                <w:kern w:val="0"/>
                <w:szCs w:val="21"/>
              </w:rPr>
              <w:t>结构表征的基本程序；红外光谱；核磁共振谱；紫外光谱；质谱。</w:t>
            </w:r>
          </w:p>
        </w:tc>
        <w:tc>
          <w:tcPr>
            <w:tcW w:w="1019" w:type="dxa"/>
            <w:noWrap w:val="0"/>
            <w:vAlign w:val="center"/>
          </w:tcPr>
          <w:p>
            <w:pPr>
              <w:autoSpaceDE w:val="0"/>
              <w:autoSpaceDN w:val="0"/>
              <w:adjustRightInd w:val="0"/>
              <w:rPr>
                <w:szCs w:val="21"/>
              </w:rPr>
            </w:pPr>
            <w:r>
              <w:rPr>
                <w:szCs w:val="21"/>
              </w:rPr>
              <w:t>元素2</w:t>
            </w:r>
          </w:p>
        </w:tc>
        <w:tc>
          <w:tcPr>
            <w:tcW w:w="3383" w:type="dxa"/>
            <w:noWrap w:val="0"/>
            <w:vAlign w:val="center"/>
          </w:tcPr>
          <w:p>
            <w:pPr>
              <w:autoSpaceDE w:val="0"/>
              <w:autoSpaceDN w:val="0"/>
              <w:adjustRightInd w:val="0"/>
              <w:rPr>
                <w:kern w:val="0"/>
                <w:szCs w:val="21"/>
              </w:rPr>
            </w:pPr>
            <w:r>
              <w:rPr>
                <w:kern w:val="0"/>
                <w:szCs w:val="21"/>
              </w:rPr>
              <w:t>（1）掌握有机化合物结构表征的程序，理解有机化合物结构表征方法；</w:t>
            </w:r>
          </w:p>
          <w:p>
            <w:pPr>
              <w:autoSpaceDE w:val="0"/>
              <w:autoSpaceDN w:val="0"/>
              <w:adjustRightInd w:val="0"/>
              <w:rPr>
                <w:kern w:val="0"/>
                <w:szCs w:val="21"/>
              </w:rPr>
            </w:pPr>
            <w:r>
              <w:rPr>
                <w:kern w:val="0"/>
                <w:szCs w:val="21"/>
              </w:rPr>
              <w:t>（2）理解红外光谱的基本原理，理解并掌握重要官能团吸收区域，掌握红外吸收光谱图及其解析；</w:t>
            </w:r>
          </w:p>
          <w:p>
            <w:pPr>
              <w:autoSpaceDE w:val="0"/>
              <w:autoSpaceDN w:val="0"/>
              <w:adjustRightInd w:val="0"/>
              <w:rPr>
                <w:kern w:val="0"/>
                <w:szCs w:val="21"/>
              </w:rPr>
            </w:pPr>
            <w:r>
              <w:rPr>
                <w:kern w:val="0"/>
                <w:szCs w:val="21"/>
              </w:rPr>
              <w:t>（3）掌握</w:t>
            </w:r>
            <w:r>
              <w:rPr>
                <w:kern w:val="0"/>
                <w:szCs w:val="21"/>
                <w:vertAlign w:val="superscript"/>
              </w:rPr>
              <w:t>１</w:t>
            </w:r>
            <w:r>
              <w:rPr>
                <w:kern w:val="0"/>
                <w:szCs w:val="21"/>
              </w:rPr>
              <w:t>H-NMR的基本原理及其化学位移，理解自旋偶合与自旋裂分，学会</w:t>
            </w:r>
            <w:r>
              <w:rPr>
                <w:kern w:val="0"/>
                <w:szCs w:val="21"/>
                <w:vertAlign w:val="superscript"/>
              </w:rPr>
              <w:t>１</w:t>
            </w:r>
            <w:r>
              <w:rPr>
                <w:kern w:val="0"/>
                <w:szCs w:val="21"/>
              </w:rPr>
              <w:t>H-NMR谱图的分析，了解</w:t>
            </w:r>
            <w:r>
              <w:rPr>
                <w:kern w:val="0"/>
                <w:szCs w:val="21"/>
                <w:vertAlign w:val="superscript"/>
              </w:rPr>
              <w:t>13</w:t>
            </w:r>
            <w:r>
              <w:rPr>
                <w:kern w:val="0"/>
                <w:szCs w:val="21"/>
              </w:rPr>
              <w:t>C-NMR谱的基本知识；</w:t>
            </w:r>
          </w:p>
          <w:p>
            <w:pPr>
              <w:autoSpaceDE w:val="0"/>
              <w:autoSpaceDN w:val="0"/>
              <w:adjustRightInd w:val="0"/>
              <w:rPr>
                <w:kern w:val="0"/>
                <w:szCs w:val="21"/>
              </w:rPr>
            </w:pPr>
            <w:r>
              <w:rPr>
                <w:kern w:val="0"/>
                <w:szCs w:val="21"/>
              </w:rPr>
              <w:t>（4）掌握紫外光谱图的基本原理及吸收带的分类，学会谱图的分析方法；</w:t>
            </w:r>
          </w:p>
          <w:p>
            <w:pPr>
              <w:autoSpaceDE w:val="0"/>
              <w:autoSpaceDN w:val="0"/>
              <w:adjustRightInd w:val="0"/>
              <w:rPr>
                <w:szCs w:val="21"/>
              </w:rPr>
            </w:pPr>
            <w:r>
              <w:rPr>
                <w:kern w:val="0"/>
                <w:szCs w:val="21"/>
              </w:rPr>
              <w:t>（5）质谱的应用和基本原理，理解质谱仪和质谱图并学会谱图解析。</w:t>
            </w:r>
          </w:p>
        </w:tc>
        <w:tc>
          <w:tcPr>
            <w:tcW w:w="593" w:type="dxa"/>
            <w:noWrap w:val="0"/>
            <w:vAlign w:val="center"/>
          </w:tcPr>
          <w:p>
            <w:pPr>
              <w:jc w:val="center"/>
              <w:rPr>
                <w:szCs w:val="21"/>
              </w:rPr>
            </w:pPr>
            <w:r>
              <w:rPr>
                <w:color w:val="000000"/>
                <w:sz w:val="22"/>
                <w:szCs w:val="22"/>
              </w:rPr>
              <w:t>4</w:t>
            </w:r>
          </w:p>
        </w:tc>
        <w:tc>
          <w:tcPr>
            <w:tcW w:w="975" w:type="dxa"/>
            <w:noWrap w:val="0"/>
            <w:vAlign w:val="center"/>
          </w:tcPr>
          <w:p>
            <w:pPr>
              <w:rPr>
                <w:szCs w:val="21"/>
              </w:rPr>
            </w:pPr>
            <w:r>
              <w:rPr>
                <w:szCs w:val="21"/>
              </w:rPr>
              <w:t>讲授/讨论/等</w:t>
            </w:r>
          </w:p>
        </w:tc>
        <w:tc>
          <w:tcPr>
            <w:tcW w:w="925" w:type="dxa"/>
            <w:noWrap w:val="0"/>
            <w:vAlign w:val="center"/>
          </w:tcPr>
          <w:p>
            <w:pPr>
              <w:jc w:val="center"/>
              <w:rPr>
                <w:b/>
                <w:kern w:val="0"/>
                <w:szCs w:val="21"/>
              </w:rPr>
            </w:pPr>
            <w:r>
              <w:rPr>
                <w:b/>
                <w:kern w:val="0"/>
                <w:szCs w:val="21"/>
              </w:rPr>
              <w:t>目标1</w:t>
            </w:r>
          </w:p>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szCs w:val="21"/>
              </w:rPr>
            </w:pPr>
            <w:r>
              <w:rPr>
                <w:szCs w:val="21"/>
              </w:rPr>
              <w:t>5</w:t>
            </w:r>
          </w:p>
        </w:tc>
        <w:tc>
          <w:tcPr>
            <w:tcW w:w="1498" w:type="dxa"/>
            <w:noWrap w:val="0"/>
            <w:vAlign w:val="center"/>
          </w:tcPr>
          <w:p>
            <w:pPr>
              <w:rPr>
                <w:kern w:val="0"/>
                <w:szCs w:val="21"/>
              </w:rPr>
            </w:pPr>
            <w:r>
              <w:rPr>
                <w:b/>
                <w:kern w:val="0"/>
                <w:szCs w:val="21"/>
              </w:rPr>
              <w:t>饱和烃：</w:t>
            </w:r>
            <w:r>
              <w:rPr>
                <w:kern w:val="0"/>
                <w:szCs w:val="21"/>
              </w:rPr>
              <w:t>饱和烃的分类及结构；烷烃的物理性质；烷烃的化学性质；小环烷烃的特殊性质；多环烷烃；烷烃的来源与制备</w:t>
            </w:r>
          </w:p>
        </w:tc>
        <w:tc>
          <w:tcPr>
            <w:tcW w:w="1019" w:type="dxa"/>
            <w:noWrap w:val="0"/>
            <w:vAlign w:val="center"/>
          </w:tcPr>
          <w:p>
            <w:pPr>
              <w:rPr>
                <w:szCs w:val="21"/>
              </w:rPr>
            </w:pPr>
            <w:r>
              <w:rPr>
                <w:szCs w:val="21"/>
              </w:rPr>
              <w:t>元素2、5</w:t>
            </w:r>
          </w:p>
        </w:tc>
        <w:tc>
          <w:tcPr>
            <w:tcW w:w="3383" w:type="dxa"/>
            <w:noWrap w:val="0"/>
            <w:vAlign w:val="center"/>
          </w:tcPr>
          <w:p>
            <w:pPr>
              <w:rPr>
                <w:kern w:val="0"/>
                <w:szCs w:val="21"/>
              </w:rPr>
            </w:pPr>
            <w:r>
              <w:rPr>
                <w:kern w:val="0"/>
                <w:szCs w:val="21"/>
              </w:rPr>
              <w:t>（1）掌握饱和烃的分类方法及结构特征；</w:t>
            </w:r>
          </w:p>
          <w:p>
            <w:pPr>
              <w:rPr>
                <w:kern w:val="0"/>
                <w:szCs w:val="21"/>
              </w:rPr>
            </w:pPr>
            <w:r>
              <w:rPr>
                <w:kern w:val="0"/>
                <w:szCs w:val="21"/>
              </w:rPr>
              <w:t>（2）了解有机化合物物理性质、物理常数及其变化规律，理解溶解度的变化规律及光波谱的性质；</w:t>
            </w:r>
          </w:p>
          <w:p>
            <w:pPr>
              <w:rPr>
                <w:kern w:val="0"/>
                <w:szCs w:val="21"/>
              </w:rPr>
            </w:pPr>
            <w:r>
              <w:rPr>
                <w:kern w:val="0"/>
                <w:szCs w:val="21"/>
              </w:rPr>
              <w:t>（3）掌握烷烃的化学性质，重点掌握自由基取代反应的基本形式和机理；</w:t>
            </w:r>
          </w:p>
          <w:p>
            <w:pPr>
              <w:rPr>
                <w:kern w:val="0"/>
                <w:szCs w:val="21"/>
              </w:rPr>
            </w:pPr>
            <w:r>
              <w:rPr>
                <w:kern w:val="0"/>
                <w:szCs w:val="21"/>
              </w:rPr>
              <w:t>（4）掌握小环烷烃的化学性质，理解环的结构与稳定性；</w:t>
            </w:r>
          </w:p>
          <w:p>
            <w:pPr>
              <w:rPr>
                <w:kern w:val="0"/>
                <w:szCs w:val="21"/>
              </w:rPr>
            </w:pPr>
            <w:r>
              <w:rPr>
                <w:kern w:val="0"/>
                <w:szCs w:val="21"/>
              </w:rPr>
              <w:t>（5）理解多环烷烃的基本特点及部分实例</w:t>
            </w:r>
          </w:p>
          <w:p>
            <w:pPr>
              <w:rPr>
                <w:szCs w:val="21"/>
              </w:rPr>
            </w:pPr>
            <w:r>
              <w:rPr>
                <w:kern w:val="0"/>
                <w:szCs w:val="21"/>
              </w:rPr>
              <w:t>（6）掌握饱和烃的来源及加工方法。</w:t>
            </w:r>
          </w:p>
        </w:tc>
        <w:tc>
          <w:tcPr>
            <w:tcW w:w="593" w:type="dxa"/>
            <w:noWrap w:val="0"/>
            <w:vAlign w:val="center"/>
          </w:tcPr>
          <w:p>
            <w:pPr>
              <w:jc w:val="center"/>
              <w:rPr>
                <w:szCs w:val="21"/>
              </w:rPr>
            </w:pPr>
            <w:r>
              <w:rPr>
                <w:color w:val="000000"/>
                <w:sz w:val="22"/>
                <w:szCs w:val="22"/>
              </w:rPr>
              <w:t>6</w:t>
            </w:r>
          </w:p>
        </w:tc>
        <w:tc>
          <w:tcPr>
            <w:tcW w:w="975" w:type="dxa"/>
            <w:noWrap w:val="0"/>
            <w:vAlign w:val="center"/>
          </w:tcPr>
          <w:p>
            <w:pPr>
              <w:rPr>
                <w:szCs w:val="21"/>
              </w:rPr>
            </w:pPr>
            <w:r>
              <w:rPr>
                <w:szCs w:val="21"/>
              </w:rPr>
              <w:t>讲授/讨论/等</w:t>
            </w:r>
          </w:p>
        </w:tc>
        <w:tc>
          <w:tcPr>
            <w:tcW w:w="925" w:type="dxa"/>
            <w:noWrap w:val="0"/>
            <w:vAlign w:val="center"/>
          </w:tcPr>
          <w:p>
            <w:pPr>
              <w:jc w:val="center"/>
              <w:rPr>
                <w:b/>
                <w:kern w:val="0"/>
                <w:szCs w:val="21"/>
              </w:rPr>
            </w:pPr>
            <w:r>
              <w:rPr>
                <w:b/>
                <w:kern w:val="0"/>
                <w:szCs w:val="21"/>
              </w:rPr>
              <w:t>目标1</w:t>
            </w:r>
          </w:p>
          <w:p>
            <w:pPr>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szCs w:val="21"/>
              </w:rPr>
            </w:pPr>
            <w:r>
              <w:rPr>
                <w:szCs w:val="21"/>
              </w:rPr>
              <w:t>6</w:t>
            </w:r>
          </w:p>
        </w:tc>
        <w:tc>
          <w:tcPr>
            <w:tcW w:w="1498" w:type="dxa"/>
            <w:noWrap w:val="0"/>
            <w:vAlign w:val="center"/>
          </w:tcPr>
          <w:p>
            <w:pPr>
              <w:rPr>
                <w:bCs/>
                <w:kern w:val="0"/>
                <w:szCs w:val="21"/>
              </w:rPr>
            </w:pPr>
            <w:r>
              <w:rPr>
                <w:b/>
                <w:kern w:val="0"/>
                <w:szCs w:val="21"/>
              </w:rPr>
              <w:t>烯烃、炔烃及二烯烃：</w:t>
            </w:r>
            <w:r>
              <w:rPr>
                <w:bCs/>
                <w:kern w:val="0"/>
                <w:szCs w:val="21"/>
              </w:rPr>
              <w:t>烯烃、炔烃及二烯烃的结构、同分异构、命名及其性质；亲电加成反应历程；共轭二烯烃特性以及共振理论基础</w:t>
            </w:r>
          </w:p>
        </w:tc>
        <w:tc>
          <w:tcPr>
            <w:tcW w:w="1019" w:type="dxa"/>
            <w:noWrap w:val="0"/>
            <w:vAlign w:val="center"/>
          </w:tcPr>
          <w:p>
            <w:pPr>
              <w:rPr>
                <w:kern w:val="0"/>
                <w:szCs w:val="21"/>
              </w:rPr>
            </w:pPr>
            <w:r>
              <w:rPr>
                <w:kern w:val="0"/>
                <w:szCs w:val="21"/>
              </w:rPr>
              <w:t>元素2、4、5</w:t>
            </w:r>
          </w:p>
        </w:tc>
        <w:tc>
          <w:tcPr>
            <w:tcW w:w="3383" w:type="dxa"/>
            <w:noWrap w:val="0"/>
            <w:vAlign w:val="center"/>
          </w:tcPr>
          <w:p>
            <w:pPr>
              <w:rPr>
                <w:kern w:val="0"/>
                <w:szCs w:val="21"/>
              </w:rPr>
            </w:pPr>
            <w:r>
              <w:rPr>
                <w:kern w:val="0"/>
                <w:szCs w:val="21"/>
              </w:rPr>
              <w:t>（1）了解烯烃和炔烃的制备方法及共振论的基本知识；</w:t>
            </w:r>
          </w:p>
          <w:p>
            <w:pPr>
              <w:rPr>
                <w:kern w:val="0"/>
                <w:szCs w:val="21"/>
              </w:rPr>
            </w:pPr>
            <w:r>
              <w:rPr>
                <w:kern w:val="0"/>
                <w:szCs w:val="21"/>
              </w:rPr>
              <w:t>（2）掌握几种物质的结构、同分异构及其命名；</w:t>
            </w:r>
          </w:p>
          <w:p>
            <w:pPr>
              <w:rPr>
                <w:kern w:val="0"/>
                <w:szCs w:val="21"/>
              </w:rPr>
            </w:pPr>
            <w:r>
              <w:rPr>
                <w:kern w:val="0"/>
                <w:szCs w:val="21"/>
              </w:rPr>
              <w:t>（3）掌握亲电加成反应历程、机理，结合共振理论及D-A反应理解周环化反应的特点。</w:t>
            </w:r>
          </w:p>
        </w:tc>
        <w:tc>
          <w:tcPr>
            <w:tcW w:w="593" w:type="dxa"/>
            <w:noWrap w:val="0"/>
            <w:vAlign w:val="center"/>
          </w:tcPr>
          <w:p>
            <w:pPr>
              <w:jc w:val="center"/>
              <w:rPr>
                <w:szCs w:val="21"/>
              </w:rPr>
            </w:pPr>
            <w:r>
              <w:rPr>
                <w:color w:val="000000"/>
                <w:sz w:val="22"/>
                <w:szCs w:val="22"/>
              </w:rPr>
              <w:t>8</w:t>
            </w:r>
          </w:p>
        </w:tc>
        <w:tc>
          <w:tcPr>
            <w:tcW w:w="975" w:type="dxa"/>
            <w:noWrap w:val="0"/>
            <w:vAlign w:val="center"/>
          </w:tcPr>
          <w:p>
            <w:pPr>
              <w:rPr>
                <w:szCs w:val="21"/>
              </w:rPr>
            </w:pPr>
            <w:r>
              <w:rPr>
                <w:szCs w:val="21"/>
              </w:rPr>
              <w:t>讲授/讨论/等</w:t>
            </w:r>
          </w:p>
        </w:tc>
        <w:tc>
          <w:tcPr>
            <w:tcW w:w="925" w:type="dxa"/>
            <w:noWrap w:val="0"/>
            <w:vAlign w:val="center"/>
          </w:tcPr>
          <w:p>
            <w:pPr>
              <w:jc w:val="center"/>
              <w:rPr>
                <w:szCs w:val="21"/>
              </w:rPr>
            </w:pPr>
            <w:r>
              <w:rPr>
                <w:b/>
                <w:kern w:val="0"/>
                <w:szCs w:val="21"/>
              </w:rPr>
              <w:t>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szCs w:val="21"/>
              </w:rPr>
            </w:pPr>
            <w:r>
              <w:rPr>
                <w:szCs w:val="21"/>
              </w:rPr>
              <w:t>7</w:t>
            </w:r>
          </w:p>
        </w:tc>
        <w:tc>
          <w:tcPr>
            <w:tcW w:w="1498" w:type="dxa"/>
            <w:noWrap w:val="0"/>
            <w:vAlign w:val="center"/>
          </w:tcPr>
          <w:p>
            <w:pPr>
              <w:rPr>
                <w:kern w:val="0"/>
                <w:szCs w:val="21"/>
              </w:rPr>
            </w:pPr>
            <w:r>
              <w:rPr>
                <w:b/>
                <w:kern w:val="0"/>
                <w:szCs w:val="21"/>
              </w:rPr>
              <w:t>芳香烃：</w:t>
            </w:r>
            <w:r>
              <w:rPr>
                <w:kern w:val="0"/>
                <w:szCs w:val="21"/>
              </w:rPr>
              <w:t>芳烃的概念、来源、结构及命名；苯分子的结构及芳香性的判断；芳香烃的性质；亲电取代反应历程及定位规则。</w:t>
            </w:r>
          </w:p>
        </w:tc>
        <w:tc>
          <w:tcPr>
            <w:tcW w:w="1019" w:type="dxa"/>
            <w:noWrap w:val="0"/>
            <w:vAlign w:val="center"/>
          </w:tcPr>
          <w:p>
            <w:pPr>
              <w:rPr>
                <w:kern w:val="0"/>
                <w:szCs w:val="21"/>
              </w:rPr>
            </w:pPr>
            <w:r>
              <w:rPr>
                <w:kern w:val="0"/>
                <w:szCs w:val="21"/>
              </w:rPr>
              <w:t>元素2、4、5</w:t>
            </w:r>
          </w:p>
        </w:tc>
        <w:tc>
          <w:tcPr>
            <w:tcW w:w="3383" w:type="dxa"/>
            <w:noWrap w:val="0"/>
            <w:vAlign w:val="center"/>
          </w:tcPr>
          <w:p>
            <w:pPr>
              <w:rPr>
                <w:kern w:val="0"/>
                <w:szCs w:val="21"/>
              </w:rPr>
            </w:pPr>
            <w:r>
              <w:rPr>
                <w:kern w:val="0"/>
                <w:szCs w:val="21"/>
              </w:rPr>
              <w:t>（1）了解芳烃的概念及其来源；</w:t>
            </w:r>
          </w:p>
          <w:p>
            <w:pPr>
              <w:rPr>
                <w:kern w:val="0"/>
                <w:szCs w:val="21"/>
              </w:rPr>
            </w:pPr>
            <w:r>
              <w:rPr>
                <w:kern w:val="0"/>
                <w:szCs w:val="21"/>
              </w:rPr>
              <w:t>（2）理解苯分子结构以及芳香性的判断规则；</w:t>
            </w:r>
          </w:p>
          <w:p>
            <w:pPr>
              <w:rPr>
                <w:kern w:val="0"/>
                <w:szCs w:val="21"/>
              </w:rPr>
            </w:pPr>
            <w:r>
              <w:rPr>
                <w:kern w:val="0"/>
                <w:szCs w:val="21"/>
              </w:rPr>
              <w:t>（3）掌握芳香烃的相关性质并以苯环上的取代反应为例强化对亲电取代反应历程的理解；</w:t>
            </w:r>
          </w:p>
          <w:p>
            <w:pPr>
              <w:rPr>
                <w:kern w:val="0"/>
                <w:szCs w:val="21"/>
              </w:rPr>
            </w:pPr>
            <w:r>
              <w:rPr>
                <w:kern w:val="0"/>
                <w:szCs w:val="21"/>
              </w:rPr>
              <w:t>（4）根据苯的性质理解掌握苯环上取代基的定位效应及其形成原因。</w:t>
            </w:r>
          </w:p>
        </w:tc>
        <w:tc>
          <w:tcPr>
            <w:tcW w:w="593" w:type="dxa"/>
            <w:noWrap w:val="0"/>
            <w:vAlign w:val="center"/>
          </w:tcPr>
          <w:p>
            <w:pPr>
              <w:jc w:val="center"/>
              <w:rPr>
                <w:szCs w:val="21"/>
              </w:rPr>
            </w:pPr>
            <w:r>
              <w:rPr>
                <w:color w:val="000000"/>
                <w:sz w:val="22"/>
                <w:szCs w:val="22"/>
              </w:rPr>
              <w:t>6</w:t>
            </w:r>
          </w:p>
        </w:tc>
        <w:tc>
          <w:tcPr>
            <w:tcW w:w="975" w:type="dxa"/>
            <w:noWrap w:val="0"/>
            <w:vAlign w:val="center"/>
          </w:tcPr>
          <w:p>
            <w:pPr>
              <w:rPr>
                <w:szCs w:val="21"/>
              </w:rPr>
            </w:pPr>
            <w:r>
              <w:rPr>
                <w:szCs w:val="21"/>
              </w:rPr>
              <w:t>讲授/讨论/等</w:t>
            </w:r>
          </w:p>
        </w:tc>
        <w:tc>
          <w:tcPr>
            <w:tcW w:w="925" w:type="dxa"/>
            <w:noWrap w:val="0"/>
            <w:vAlign w:val="center"/>
          </w:tcPr>
          <w:p>
            <w:pPr>
              <w:jc w:val="center"/>
              <w:rPr>
                <w:b/>
                <w:kern w:val="0"/>
                <w:szCs w:val="21"/>
              </w:rPr>
            </w:pPr>
            <w:r>
              <w:rPr>
                <w:b/>
                <w:kern w:val="0"/>
                <w:szCs w:val="21"/>
              </w:rPr>
              <w:t>目标1</w:t>
            </w:r>
          </w:p>
          <w:p>
            <w:pPr>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szCs w:val="21"/>
              </w:rPr>
            </w:pPr>
            <w:r>
              <w:rPr>
                <w:szCs w:val="21"/>
              </w:rPr>
              <w:t>8</w:t>
            </w:r>
          </w:p>
        </w:tc>
        <w:tc>
          <w:tcPr>
            <w:tcW w:w="1498" w:type="dxa"/>
            <w:noWrap w:val="0"/>
            <w:vAlign w:val="center"/>
          </w:tcPr>
          <w:p>
            <w:pPr>
              <w:rPr>
                <w:kern w:val="0"/>
                <w:szCs w:val="21"/>
              </w:rPr>
            </w:pPr>
            <w:r>
              <w:rPr>
                <w:b/>
                <w:kern w:val="0"/>
                <w:szCs w:val="21"/>
              </w:rPr>
              <w:t>卤代烃：</w:t>
            </w:r>
            <w:r>
              <w:rPr>
                <w:kern w:val="0"/>
                <w:szCs w:val="21"/>
              </w:rPr>
              <w:t>卤代烃的分类、结构及命名；饱和碳原子的亲和取代反应历程；影响亲和取代反应速率的因素；卤代烃的制法，多卤代烃的性质及制法简介。</w:t>
            </w:r>
          </w:p>
        </w:tc>
        <w:tc>
          <w:tcPr>
            <w:tcW w:w="1019" w:type="dxa"/>
            <w:noWrap w:val="0"/>
            <w:vAlign w:val="center"/>
          </w:tcPr>
          <w:p>
            <w:pPr>
              <w:autoSpaceDE w:val="0"/>
              <w:autoSpaceDN w:val="0"/>
              <w:adjustRightInd w:val="0"/>
              <w:rPr>
                <w:kern w:val="0"/>
                <w:szCs w:val="21"/>
              </w:rPr>
            </w:pPr>
            <w:r>
              <w:rPr>
                <w:kern w:val="0"/>
                <w:szCs w:val="21"/>
              </w:rPr>
              <w:t>元素2、5</w:t>
            </w:r>
          </w:p>
        </w:tc>
        <w:tc>
          <w:tcPr>
            <w:tcW w:w="3383" w:type="dxa"/>
            <w:noWrap w:val="0"/>
            <w:vAlign w:val="center"/>
          </w:tcPr>
          <w:p>
            <w:pPr>
              <w:autoSpaceDE w:val="0"/>
              <w:autoSpaceDN w:val="0"/>
              <w:adjustRightInd w:val="0"/>
              <w:rPr>
                <w:kern w:val="0"/>
                <w:szCs w:val="21"/>
              </w:rPr>
            </w:pPr>
            <w:r>
              <w:rPr>
                <w:kern w:val="0"/>
                <w:szCs w:val="21"/>
              </w:rPr>
              <w:t>（1）理解卤代烃的分类、命名方法及结构特点，根据结构特点进一步了解此类化合物的基本性质及产生原因；</w:t>
            </w:r>
          </w:p>
          <w:p>
            <w:pPr>
              <w:autoSpaceDE w:val="0"/>
              <w:autoSpaceDN w:val="0"/>
              <w:adjustRightInd w:val="0"/>
              <w:rPr>
                <w:kern w:val="0"/>
                <w:szCs w:val="21"/>
              </w:rPr>
            </w:pPr>
            <w:r>
              <w:rPr>
                <w:kern w:val="0"/>
                <w:szCs w:val="21"/>
              </w:rPr>
              <w:t>（2）根据结构特性掌握亲核取代反应的反应历程及相关机理，掌握消除反应的反应历程，并掌握四中反应机理的竞争关系及影响因素；</w:t>
            </w:r>
          </w:p>
          <w:p>
            <w:pPr>
              <w:autoSpaceDE w:val="0"/>
              <w:autoSpaceDN w:val="0"/>
              <w:adjustRightInd w:val="0"/>
              <w:rPr>
                <w:kern w:val="0"/>
                <w:szCs w:val="21"/>
              </w:rPr>
            </w:pPr>
            <w:r>
              <w:rPr>
                <w:kern w:val="0"/>
                <w:szCs w:val="21"/>
              </w:rPr>
              <w:t>（3）掌握卤代烃及多卤代烃的制法以及多卤代烃的相关性质。</w:t>
            </w:r>
          </w:p>
        </w:tc>
        <w:tc>
          <w:tcPr>
            <w:tcW w:w="593" w:type="dxa"/>
            <w:noWrap w:val="0"/>
            <w:vAlign w:val="center"/>
          </w:tcPr>
          <w:p>
            <w:pPr>
              <w:jc w:val="center"/>
              <w:rPr>
                <w:szCs w:val="21"/>
              </w:rPr>
            </w:pPr>
            <w:r>
              <w:rPr>
                <w:color w:val="000000"/>
                <w:sz w:val="22"/>
                <w:szCs w:val="22"/>
              </w:rPr>
              <w:t>8</w:t>
            </w:r>
          </w:p>
        </w:tc>
        <w:tc>
          <w:tcPr>
            <w:tcW w:w="975" w:type="dxa"/>
            <w:noWrap w:val="0"/>
            <w:vAlign w:val="center"/>
          </w:tcPr>
          <w:p>
            <w:pPr>
              <w:rPr>
                <w:szCs w:val="21"/>
              </w:rPr>
            </w:pPr>
            <w:r>
              <w:rPr>
                <w:szCs w:val="21"/>
              </w:rPr>
              <w:t>讲授/讨论/等</w:t>
            </w:r>
          </w:p>
        </w:tc>
        <w:tc>
          <w:tcPr>
            <w:tcW w:w="925" w:type="dxa"/>
            <w:noWrap w:val="0"/>
            <w:vAlign w:val="center"/>
          </w:tcPr>
          <w:p>
            <w:pPr>
              <w:jc w:val="center"/>
              <w:rPr>
                <w:b/>
                <w:kern w:val="0"/>
                <w:szCs w:val="21"/>
              </w:rPr>
            </w:pPr>
            <w:r>
              <w:rPr>
                <w:b/>
                <w:kern w:val="0"/>
                <w:szCs w:val="21"/>
              </w:rPr>
              <w:t>目标1</w:t>
            </w:r>
          </w:p>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szCs w:val="21"/>
              </w:rPr>
            </w:pPr>
            <w:r>
              <w:rPr>
                <w:szCs w:val="21"/>
              </w:rPr>
              <w:t>9</w:t>
            </w:r>
          </w:p>
        </w:tc>
        <w:tc>
          <w:tcPr>
            <w:tcW w:w="1498" w:type="dxa"/>
            <w:noWrap w:val="0"/>
            <w:vAlign w:val="center"/>
          </w:tcPr>
          <w:p>
            <w:pPr>
              <w:rPr>
                <w:kern w:val="0"/>
                <w:szCs w:val="21"/>
              </w:rPr>
            </w:pPr>
            <w:r>
              <w:rPr>
                <w:b/>
                <w:kern w:val="0"/>
                <w:szCs w:val="21"/>
              </w:rPr>
              <w:t>醇、酚、醚：</w:t>
            </w:r>
            <w:r>
              <w:rPr>
                <w:kern w:val="0"/>
                <w:szCs w:val="21"/>
              </w:rPr>
              <w:t>醇的分类及结构；醇的物理性质；醇的化学性质；酚的分类、结构和物理性质；酚的化学性质；醚的分类、结构和物理性质；醚的化学性质；环醚；硫醇、硫酚、硫醚</w:t>
            </w:r>
          </w:p>
        </w:tc>
        <w:tc>
          <w:tcPr>
            <w:tcW w:w="1019" w:type="dxa"/>
            <w:noWrap w:val="0"/>
            <w:vAlign w:val="center"/>
          </w:tcPr>
          <w:p>
            <w:pPr>
              <w:autoSpaceDE w:val="0"/>
              <w:autoSpaceDN w:val="0"/>
              <w:adjustRightInd w:val="0"/>
              <w:rPr>
                <w:kern w:val="0"/>
                <w:szCs w:val="21"/>
              </w:rPr>
            </w:pPr>
            <w:r>
              <w:rPr>
                <w:kern w:val="0"/>
                <w:szCs w:val="21"/>
              </w:rPr>
              <w:t>元素2、5</w:t>
            </w:r>
          </w:p>
        </w:tc>
        <w:tc>
          <w:tcPr>
            <w:tcW w:w="3383" w:type="dxa"/>
            <w:noWrap w:val="0"/>
            <w:vAlign w:val="center"/>
          </w:tcPr>
          <w:p>
            <w:pPr>
              <w:autoSpaceDE w:val="0"/>
              <w:autoSpaceDN w:val="0"/>
              <w:adjustRightInd w:val="0"/>
              <w:rPr>
                <w:kern w:val="0"/>
                <w:szCs w:val="21"/>
              </w:rPr>
            </w:pPr>
            <w:r>
              <w:rPr>
                <w:kern w:val="0"/>
                <w:szCs w:val="21"/>
              </w:rPr>
              <w:t>（1）掌握醇、酚、醚类化合物的分类和结构；</w:t>
            </w:r>
          </w:p>
          <w:p>
            <w:pPr>
              <w:autoSpaceDE w:val="0"/>
              <w:autoSpaceDN w:val="0"/>
              <w:adjustRightInd w:val="0"/>
              <w:rPr>
                <w:kern w:val="0"/>
                <w:szCs w:val="21"/>
              </w:rPr>
            </w:pPr>
            <w:r>
              <w:rPr>
                <w:kern w:val="0"/>
                <w:szCs w:val="21"/>
              </w:rPr>
              <w:t>（2）理解三类物质的物理性质及变化规律；</w:t>
            </w:r>
          </w:p>
          <w:p>
            <w:pPr>
              <w:autoSpaceDE w:val="0"/>
              <w:autoSpaceDN w:val="0"/>
              <w:adjustRightInd w:val="0"/>
              <w:rPr>
                <w:kern w:val="0"/>
                <w:szCs w:val="21"/>
              </w:rPr>
            </w:pPr>
            <w:r>
              <w:rPr>
                <w:kern w:val="0"/>
                <w:szCs w:val="21"/>
              </w:rPr>
              <w:t>（3）重点掌握三类化合物的化学性质及典型反应机理；</w:t>
            </w:r>
          </w:p>
          <w:p>
            <w:pPr>
              <w:autoSpaceDE w:val="0"/>
              <w:autoSpaceDN w:val="0"/>
              <w:adjustRightInd w:val="0"/>
              <w:rPr>
                <w:kern w:val="0"/>
                <w:szCs w:val="21"/>
              </w:rPr>
            </w:pPr>
            <w:r>
              <w:rPr>
                <w:kern w:val="0"/>
                <w:szCs w:val="21"/>
              </w:rPr>
              <w:t>（4）掌握三类化合物的应用及几类特殊化合物。</w:t>
            </w:r>
          </w:p>
        </w:tc>
        <w:tc>
          <w:tcPr>
            <w:tcW w:w="593" w:type="dxa"/>
            <w:noWrap w:val="0"/>
            <w:vAlign w:val="center"/>
          </w:tcPr>
          <w:p>
            <w:pPr>
              <w:jc w:val="center"/>
              <w:rPr>
                <w:szCs w:val="21"/>
              </w:rPr>
            </w:pPr>
            <w:r>
              <w:rPr>
                <w:color w:val="000000"/>
                <w:sz w:val="22"/>
                <w:szCs w:val="22"/>
              </w:rPr>
              <w:t>8</w:t>
            </w:r>
          </w:p>
        </w:tc>
        <w:tc>
          <w:tcPr>
            <w:tcW w:w="975" w:type="dxa"/>
            <w:noWrap w:val="0"/>
            <w:vAlign w:val="center"/>
          </w:tcPr>
          <w:p>
            <w:pPr>
              <w:rPr>
                <w:szCs w:val="21"/>
              </w:rPr>
            </w:pPr>
            <w:r>
              <w:rPr>
                <w:szCs w:val="21"/>
              </w:rPr>
              <w:t>讲授/讨论/等</w:t>
            </w:r>
          </w:p>
        </w:tc>
        <w:tc>
          <w:tcPr>
            <w:tcW w:w="925" w:type="dxa"/>
            <w:noWrap w:val="0"/>
            <w:vAlign w:val="center"/>
          </w:tcPr>
          <w:p>
            <w:pPr>
              <w:jc w:val="center"/>
              <w:rPr>
                <w:b/>
                <w:kern w:val="0"/>
                <w:szCs w:val="21"/>
              </w:rPr>
            </w:pPr>
            <w:r>
              <w:rPr>
                <w:b/>
                <w:kern w:val="0"/>
                <w:szCs w:val="21"/>
              </w:rPr>
              <w:t>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szCs w:val="21"/>
              </w:rPr>
            </w:pPr>
            <w:r>
              <w:rPr>
                <w:szCs w:val="21"/>
              </w:rPr>
              <w:t>10</w:t>
            </w:r>
          </w:p>
        </w:tc>
        <w:tc>
          <w:tcPr>
            <w:tcW w:w="1498" w:type="dxa"/>
            <w:noWrap w:val="0"/>
            <w:vAlign w:val="center"/>
          </w:tcPr>
          <w:p>
            <w:pPr>
              <w:rPr>
                <w:b/>
                <w:kern w:val="0"/>
                <w:szCs w:val="21"/>
              </w:rPr>
            </w:pPr>
            <w:r>
              <w:rPr>
                <w:b/>
                <w:kern w:val="0"/>
                <w:szCs w:val="21"/>
              </w:rPr>
              <w:t>醛、酮、醌：</w:t>
            </w:r>
            <w:r>
              <w:rPr>
                <w:bCs/>
                <w:kern w:val="0"/>
                <w:szCs w:val="21"/>
              </w:rPr>
              <w:t xml:space="preserve">醛酮类化合物的结构和波谱性质；醛和酮的亲核加成反应；醛和酮的α-H反应；醛和酮的氧化和还原反应；α、β-不饱和醛酮；二羰基化合物；醌 </w:t>
            </w:r>
          </w:p>
        </w:tc>
        <w:tc>
          <w:tcPr>
            <w:tcW w:w="1019" w:type="dxa"/>
            <w:noWrap w:val="0"/>
            <w:vAlign w:val="center"/>
          </w:tcPr>
          <w:p>
            <w:pPr>
              <w:autoSpaceDE w:val="0"/>
              <w:autoSpaceDN w:val="0"/>
              <w:adjustRightInd w:val="0"/>
              <w:rPr>
                <w:kern w:val="0"/>
                <w:szCs w:val="21"/>
              </w:rPr>
            </w:pPr>
            <w:r>
              <w:rPr>
                <w:kern w:val="0"/>
                <w:szCs w:val="21"/>
              </w:rPr>
              <w:t>元素1、5</w:t>
            </w:r>
          </w:p>
        </w:tc>
        <w:tc>
          <w:tcPr>
            <w:tcW w:w="3383" w:type="dxa"/>
            <w:noWrap w:val="0"/>
            <w:vAlign w:val="center"/>
          </w:tcPr>
          <w:p>
            <w:pPr>
              <w:autoSpaceDE w:val="0"/>
              <w:autoSpaceDN w:val="0"/>
              <w:adjustRightInd w:val="0"/>
              <w:rPr>
                <w:kern w:val="0"/>
                <w:szCs w:val="21"/>
              </w:rPr>
            </w:pPr>
            <w:r>
              <w:rPr>
                <w:kern w:val="0"/>
                <w:szCs w:val="21"/>
              </w:rPr>
              <w:t>（1）掌握醛酮类化合物的基本结构和波谱性质；</w:t>
            </w:r>
          </w:p>
          <w:p>
            <w:pPr>
              <w:autoSpaceDE w:val="0"/>
              <w:autoSpaceDN w:val="0"/>
              <w:adjustRightInd w:val="0"/>
              <w:rPr>
                <w:kern w:val="0"/>
                <w:szCs w:val="21"/>
              </w:rPr>
            </w:pPr>
            <w:r>
              <w:rPr>
                <w:kern w:val="0"/>
                <w:szCs w:val="21"/>
              </w:rPr>
              <w:t>（2）掌握醛酮类化合物典型反应-亲核加成反应的基本形式及机理；</w:t>
            </w:r>
          </w:p>
          <w:p>
            <w:pPr>
              <w:autoSpaceDE w:val="0"/>
              <w:autoSpaceDN w:val="0"/>
              <w:adjustRightInd w:val="0"/>
              <w:rPr>
                <w:kern w:val="0"/>
                <w:szCs w:val="21"/>
              </w:rPr>
            </w:pPr>
            <w:r>
              <w:rPr>
                <w:kern w:val="0"/>
                <w:szCs w:val="21"/>
              </w:rPr>
              <w:t>（3）掌握醛和酮的α-H反应、α、β-不饱和醛酮及二羰基化合物的基本性质，理解醌类化合物的基本知识；</w:t>
            </w:r>
          </w:p>
        </w:tc>
        <w:tc>
          <w:tcPr>
            <w:tcW w:w="593" w:type="dxa"/>
            <w:noWrap w:val="0"/>
            <w:vAlign w:val="center"/>
          </w:tcPr>
          <w:p>
            <w:pPr>
              <w:jc w:val="center"/>
              <w:rPr>
                <w:szCs w:val="21"/>
              </w:rPr>
            </w:pPr>
            <w:r>
              <w:rPr>
                <w:color w:val="000000"/>
                <w:sz w:val="22"/>
                <w:szCs w:val="22"/>
              </w:rPr>
              <w:t>8</w:t>
            </w:r>
          </w:p>
        </w:tc>
        <w:tc>
          <w:tcPr>
            <w:tcW w:w="975" w:type="dxa"/>
            <w:noWrap w:val="0"/>
            <w:vAlign w:val="center"/>
          </w:tcPr>
          <w:p>
            <w:pPr>
              <w:rPr>
                <w:szCs w:val="21"/>
              </w:rPr>
            </w:pPr>
            <w:r>
              <w:rPr>
                <w:szCs w:val="21"/>
              </w:rPr>
              <w:t>讲授/讨论/等</w:t>
            </w:r>
          </w:p>
        </w:tc>
        <w:tc>
          <w:tcPr>
            <w:tcW w:w="925" w:type="dxa"/>
            <w:noWrap w:val="0"/>
            <w:vAlign w:val="center"/>
          </w:tcPr>
          <w:p>
            <w:pPr>
              <w:jc w:val="center"/>
              <w:rPr>
                <w:b/>
                <w:kern w:val="0"/>
                <w:szCs w:val="21"/>
              </w:rPr>
            </w:pPr>
            <w:r>
              <w:rPr>
                <w:b/>
                <w:kern w:val="0"/>
                <w:szCs w:val="21"/>
              </w:rPr>
              <w:t>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szCs w:val="21"/>
              </w:rPr>
            </w:pPr>
            <w:r>
              <w:rPr>
                <w:szCs w:val="21"/>
              </w:rPr>
              <w:t>11</w:t>
            </w:r>
          </w:p>
        </w:tc>
        <w:tc>
          <w:tcPr>
            <w:tcW w:w="1498" w:type="dxa"/>
            <w:noWrap w:val="0"/>
            <w:vAlign w:val="center"/>
          </w:tcPr>
          <w:p>
            <w:pPr>
              <w:rPr>
                <w:b/>
                <w:kern w:val="0"/>
                <w:szCs w:val="21"/>
              </w:rPr>
            </w:pPr>
            <w:r>
              <w:rPr>
                <w:b/>
                <w:kern w:val="0"/>
                <w:szCs w:val="21"/>
              </w:rPr>
              <w:t>羧酸及其衍生物：</w:t>
            </w:r>
            <w:r>
              <w:rPr>
                <w:bCs/>
                <w:kern w:val="0"/>
                <w:szCs w:val="21"/>
              </w:rPr>
              <w:t xml:space="preserve">羧酸及其衍生物的结构及分类；羧酸及其衍生物的物理性质；羧酸的化学性质；羧酸衍生物的化学性质；羟基酸和羰基酸；碳酸及其衍生物 </w:t>
            </w:r>
          </w:p>
        </w:tc>
        <w:tc>
          <w:tcPr>
            <w:tcW w:w="1019" w:type="dxa"/>
            <w:noWrap w:val="0"/>
            <w:vAlign w:val="center"/>
          </w:tcPr>
          <w:p>
            <w:pPr>
              <w:autoSpaceDE w:val="0"/>
              <w:autoSpaceDN w:val="0"/>
              <w:adjustRightInd w:val="0"/>
              <w:rPr>
                <w:kern w:val="0"/>
                <w:szCs w:val="21"/>
              </w:rPr>
            </w:pPr>
            <w:r>
              <w:rPr>
                <w:kern w:val="0"/>
                <w:szCs w:val="21"/>
              </w:rPr>
              <w:t>元素2、5</w:t>
            </w:r>
          </w:p>
        </w:tc>
        <w:tc>
          <w:tcPr>
            <w:tcW w:w="3383" w:type="dxa"/>
            <w:noWrap w:val="0"/>
            <w:vAlign w:val="center"/>
          </w:tcPr>
          <w:p>
            <w:pPr>
              <w:autoSpaceDE w:val="0"/>
              <w:autoSpaceDN w:val="0"/>
              <w:adjustRightInd w:val="0"/>
              <w:rPr>
                <w:kern w:val="0"/>
                <w:szCs w:val="21"/>
              </w:rPr>
            </w:pPr>
            <w:r>
              <w:rPr>
                <w:kern w:val="0"/>
                <w:szCs w:val="21"/>
              </w:rPr>
              <w:t>（1）掌握羧酸及其衍生物分类和结构；</w:t>
            </w:r>
          </w:p>
          <w:p>
            <w:pPr>
              <w:autoSpaceDE w:val="0"/>
              <w:autoSpaceDN w:val="0"/>
              <w:adjustRightInd w:val="0"/>
              <w:rPr>
                <w:kern w:val="0"/>
                <w:szCs w:val="21"/>
              </w:rPr>
            </w:pPr>
            <w:r>
              <w:rPr>
                <w:kern w:val="0"/>
                <w:szCs w:val="21"/>
              </w:rPr>
              <w:t>（2）理解羧酸及其衍生物的物理性质及变化规律；</w:t>
            </w:r>
          </w:p>
          <w:p>
            <w:pPr>
              <w:autoSpaceDE w:val="0"/>
              <w:autoSpaceDN w:val="0"/>
              <w:adjustRightInd w:val="0"/>
              <w:rPr>
                <w:kern w:val="0"/>
                <w:szCs w:val="21"/>
              </w:rPr>
            </w:pPr>
            <w:r>
              <w:rPr>
                <w:kern w:val="0"/>
                <w:szCs w:val="21"/>
              </w:rPr>
              <w:t>（3）重点掌握羧酸及其衍生物的化学性质及相互转化；</w:t>
            </w:r>
          </w:p>
          <w:p>
            <w:pPr>
              <w:autoSpaceDE w:val="0"/>
              <w:autoSpaceDN w:val="0"/>
              <w:adjustRightInd w:val="0"/>
              <w:rPr>
                <w:kern w:val="0"/>
                <w:szCs w:val="21"/>
              </w:rPr>
            </w:pPr>
            <w:r>
              <w:rPr>
                <w:kern w:val="0"/>
                <w:szCs w:val="21"/>
              </w:rPr>
              <w:t>（4）理解羟基酸、羰基酸及其衍生物的基本性质。</w:t>
            </w:r>
          </w:p>
        </w:tc>
        <w:tc>
          <w:tcPr>
            <w:tcW w:w="593" w:type="dxa"/>
            <w:noWrap w:val="0"/>
            <w:vAlign w:val="center"/>
          </w:tcPr>
          <w:p>
            <w:pPr>
              <w:jc w:val="center"/>
              <w:rPr>
                <w:szCs w:val="21"/>
              </w:rPr>
            </w:pPr>
            <w:r>
              <w:rPr>
                <w:color w:val="000000"/>
                <w:sz w:val="22"/>
                <w:szCs w:val="22"/>
              </w:rPr>
              <w:t>8</w:t>
            </w:r>
          </w:p>
        </w:tc>
        <w:tc>
          <w:tcPr>
            <w:tcW w:w="975" w:type="dxa"/>
            <w:noWrap w:val="0"/>
            <w:vAlign w:val="center"/>
          </w:tcPr>
          <w:p>
            <w:pPr>
              <w:rPr>
                <w:szCs w:val="21"/>
              </w:rPr>
            </w:pPr>
            <w:r>
              <w:rPr>
                <w:szCs w:val="21"/>
              </w:rPr>
              <w:t>讲授/讨论/等</w:t>
            </w:r>
          </w:p>
        </w:tc>
        <w:tc>
          <w:tcPr>
            <w:tcW w:w="925" w:type="dxa"/>
            <w:noWrap w:val="0"/>
            <w:vAlign w:val="center"/>
          </w:tcPr>
          <w:p>
            <w:pPr>
              <w:jc w:val="center"/>
              <w:rPr>
                <w:b/>
                <w:kern w:val="0"/>
                <w:szCs w:val="21"/>
              </w:rPr>
            </w:pPr>
            <w:r>
              <w:rPr>
                <w:b/>
                <w:kern w:val="0"/>
                <w:szCs w:val="21"/>
              </w:rPr>
              <w:t>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szCs w:val="21"/>
              </w:rPr>
            </w:pPr>
            <w:r>
              <w:rPr>
                <w:szCs w:val="21"/>
              </w:rPr>
              <w:t>12</w:t>
            </w:r>
          </w:p>
        </w:tc>
        <w:tc>
          <w:tcPr>
            <w:tcW w:w="1498" w:type="dxa"/>
            <w:noWrap w:val="0"/>
            <w:vAlign w:val="center"/>
          </w:tcPr>
          <w:p>
            <w:pPr>
              <w:rPr>
                <w:b/>
                <w:kern w:val="0"/>
                <w:szCs w:val="21"/>
              </w:rPr>
            </w:pPr>
            <w:r>
              <w:rPr>
                <w:b/>
                <w:kern w:val="0"/>
                <w:szCs w:val="21"/>
              </w:rPr>
              <w:t>有机含氮化合物：</w:t>
            </w:r>
            <w:r>
              <w:rPr>
                <w:bCs/>
                <w:kern w:val="0"/>
                <w:szCs w:val="21"/>
              </w:rPr>
              <w:t>硝基化合物的结构与谱学性质；硝基化合物的化学性质；胺的结构与立体异构；胺的物理性质与谱学性质；胺的化学性质；烯胺；腈、异腈及异氰酸酯；重氮及偶氮化合物</w:t>
            </w:r>
          </w:p>
        </w:tc>
        <w:tc>
          <w:tcPr>
            <w:tcW w:w="1019" w:type="dxa"/>
            <w:noWrap w:val="0"/>
            <w:vAlign w:val="center"/>
          </w:tcPr>
          <w:p>
            <w:pPr>
              <w:autoSpaceDE w:val="0"/>
              <w:autoSpaceDN w:val="0"/>
              <w:adjustRightInd w:val="0"/>
              <w:rPr>
                <w:kern w:val="0"/>
                <w:szCs w:val="21"/>
              </w:rPr>
            </w:pPr>
            <w:r>
              <w:rPr>
                <w:kern w:val="0"/>
                <w:szCs w:val="21"/>
              </w:rPr>
              <w:t>元素1、5</w:t>
            </w:r>
          </w:p>
        </w:tc>
        <w:tc>
          <w:tcPr>
            <w:tcW w:w="3383" w:type="dxa"/>
            <w:noWrap w:val="0"/>
            <w:vAlign w:val="center"/>
          </w:tcPr>
          <w:p>
            <w:pPr>
              <w:autoSpaceDE w:val="0"/>
              <w:autoSpaceDN w:val="0"/>
              <w:adjustRightInd w:val="0"/>
              <w:rPr>
                <w:kern w:val="0"/>
                <w:szCs w:val="21"/>
              </w:rPr>
            </w:pPr>
            <w:r>
              <w:rPr>
                <w:kern w:val="0"/>
                <w:szCs w:val="21"/>
              </w:rPr>
              <w:t>（1）掌握胺类及硝基化合物的分类和结构；</w:t>
            </w:r>
          </w:p>
          <w:p>
            <w:pPr>
              <w:autoSpaceDE w:val="0"/>
              <w:autoSpaceDN w:val="0"/>
              <w:adjustRightInd w:val="0"/>
              <w:rPr>
                <w:kern w:val="0"/>
                <w:szCs w:val="21"/>
              </w:rPr>
            </w:pPr>
            <w:r>
              <w:rPr>
                <w:kern w:val="0"/>
                <w:szCs w:val="21"/>
              </w:rPr>
              <w:t>（2）理解含氮化合物的物理性质及变化规律；</w:t>
            </w:r>
          </w:p>
          <w:p>
            <w:pPr>
              <w:autoSpaceDE w:val="0"/>
              <w:autoSpaceDN w:val="0"/>
              <w:adjustRightInd w:val="0"/>
              <w:rPr>
                <w:kern w:val="0"/>
                <w:szCs w:val="21"/>
              </w:rPr>
            </w:pPr>
            <w:r>
              <w:rPr>
                <w:kern w:val="0"/>
                <w:szCs w:val="21"/>
              </w:rPr>
              <w:t>（3）重点掌握有机含氮化合物的化学性质及相互转化；</w:t>
            </w:r>
          </w:p>
          <w:p>
            <w:pPr>
              <w:autoSpaceDE w:val="0"/>
              <w:autoSpaceDN w:val="0"/>
              <w:adjustRightInd w:val="0"/>
              <w:rPr>
                <w:kern w:val="0"/>
                <w:szCs w:val="21"/>
              </w:rPr>
            </w:pPr>
            <w:r>
              <w:rPr>
                <w:kern w:val="0"/>
                <w:szCs w:val="21"/>
              </w:rPr>
              <w:t>（4）理解烯胺、腈、异腈、异氰酸酯、重氮及偶氮化合物的基本性质。</w:t>
            </w:r>
          </w:p>
        </w:tc>
        <w:tc>
          <w:tcPr>
            <w:tcW w:w="593" w:type="dxa"/>
            <w:noWrap w:val="0"/>
            <w:vAlign w:val="center"/>
          </w:tcPr>
          <w:p>
            <w:pPr>
              <w:jc w:val="center"/>
              <w:rPr>
                <w:szCs w:val="21"/>
              </w:rPr>
            </w:pPr>
            <w:r>
              <w:rPr>
                <w:color w:val="000000"/>
                <w:sz w:val="22"/>
                <w:szCs w:val="22"/>
              </w:rPr>
              <w:t>6</w:t>
            </w:r>
          </w:p>
        </w:tc>
        <w:tc>
          <w:tcPr>
            <w:tcW w:w="975" w:type="dxa"/>
            <w:noWrap w:val="0"/>
            <w:vAlign w:val="center"/>
          </w:tcPr>
          <w:p>
            <w:pPr>
              <w:rPr>
                <w:szCs w:val="21"/>
              </w:rPr>
            </w:pPr>
            <w:r>
              <w:rPr>
                <w:szCs w:val="21"/>
              </w:rPr>
              <w:t>讲授/讨论/等</w:t>
            </w:r>
          </w:p>
        </w:tc>
        <w:tc>
          <w:tcPr>
            <w:tcW w:w="925" w:type="dxa"/>
            <w:noWrap w:val="0"/>
            <w:vAlign w:val="center"/>
          </w:tcPr>
          <w:p>
            <w:pPr>
              <w:jc w:val="center"/>
              <w:rPr>
                <w:b/>
                <w:kern w:val="0"/>
                <w:szCs w:val="21"/>
              </w:rPr>
            </w:pPr>
            <w:r>
              <w:rPr>
                <w:b/>
                <w:kern w:val="0"/>
                <w:szCs w:val="21"/>
              </w:rPr>
              <w:t>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szCs w:val="21"/>
              </w:rPr>
            </w:pPr>
            <w:r>
              <w:rPr>
                <w:szCs w:val="21"/>
              </w:rPr>
              <w:t>13</w:t>
            </w:r>
          </w:p>
        </w:tc>
        <w:tc>
          <w:tcPr>
            <w:tcW w:w="1498" w:type="dxa"/>
            <w:noWrap w:val="0"/>
            <w:vAlign w:val="center"/>
          </w:tcPr>
          <w:p>
            <w:pPr>
              <w:rPr>
                <w:b/>
                <w:kern w:val="0"/>
                <w:szCs w:val="21"/>
              </w:rPr>
            </w:pPr>
            <w:r>
              <w:rPr>
                <w:b/>
                <w:kern w:val="0"/>
                <w:szCs w:val="21"/>
              </w:rPr>
              <w:t>杂环化合物：</w:t>
            </w:r>
            <w:r>
              <w:rPr>
                <w:bCs/>
                <w:kern w:val="0"/>
                <w:szCs w:val="21"/>
              </w:rPr>
              <w:t xml:space="preserve">杂环化合物的分类与命名；杂环化合物的结构与芳香性；重要的五元杂环化合物 </w:t>
            </w:r>
          </w:p>
        </w:tc>
        <w:tc>
          <w:tcPr>
            <w:tcW w:w="1019" w:type="dxa"/>
            <w:noWrap w:val="0"/>
            <w:vAlign w:val="center"/>
          </w:tcPr>
          <w:p>
            <w:pPr>
              <w:autoSpaceDE w:val="0"/>
              <w:autoSpaceDN w:val="0"/>
              <w:adjustRightInd w:val="0"/>
              <w:rPr>
                <w:kern w:val="0"/>
                <w:szCs w:val="21"/>
              </w:rPr>
            </w:pPr>
            <w:r>
              <w:rPr>
                <w:kern w:val="0"/>
                <w:szCs w:val="21"/>
              </w:rPr>
              <w:t>元素1、4、5</w:t>
            </w:r>
          </w:p>
        </w:tc>
        <w:tc>
          <w:tcPr>
            <w:tcW w:w="3383" w:type="dxa"/>
            <w:noWrap w:val="0"/>
            <w:vAlign w:val="center"/>
          </w:tcPr>
          <w:p>
            <w:pPr>
              <w:autoSpaceDE w:val="0"/>
              <w:autoSpaceDN w:val="0"/>
              <w:adjustRightInd w:val="0"/>
              <w:rPr>
                <w:kern w:val="0"/>
                <w:szCs w:val="21"/>
              </w:rPr>
            </w:pPr>
            <w:r>
              <w:rPr>
                <w:kern w:val="0"/>
                <w:szCs w:val="21"/>
              </w:rPr>
              <w:t>（1）重点掌握杂环化合物的分类、结构和命名；</w:t>
            </w:r>
          </w:p>
          <w:p>
            <w:pPr>
              <w:autoSpaceDE w:val="0"/>
              <w:autoSpaceDN w:val="0"/>
              <w:adjustRightInd w:val="0"/>
              <w:rPr>
                <w:kern w:val="0"/>
                <w:szCs w:val="21"/>
              </w:rPr>
            </w:pPr>
            <w:r>
              <w:rPr>
                <w:kern w:val="0"/>
                <w:szCs w:val="21"/>
              </w:rPr>
              <w:t>（2）理解杂环化合物的结构特点、化学性质及芳香性；</w:t>
            </w:r>
          </w:p>
          <w:p>
            <w:pPr>
              <w:autoSpaceDE w:val="0"/>
              <w:autoSpaceDN w:val="0"/>
              <w:adjustRightInd w:val="0"/>
              <w:rPr>
                <w:kern w:val="0"/>
                <w:szCs w:val="21"/>
              </w:rPr>
            </w:pPr>
            <w:r>
              <w:rPr>
                <w:kern w:val="0"/>
                <w:szCs w:val="21"/>
              </w:rPr>
              <w:t>（3）掌握重要的五元杂环化合物的结构特点和性质；</w:t>
            </w:r>
          </w:p>
        </w:tc>
        <w:tc>
          <w:tcPr>
            <w:tcW w:w="593" w:type="dxa"/>
            <w:noWrap w:val="0"/>
            <w:vAlign w:val="center"/>
          </w:tcPr>
          <w:p>
            <w:pPr>
              <w:jc w:val="center"/>
              <w:rPr>
                <w:szCs w:val="21"/>
              </w:rPr>
            </w:pPr>
            <w:r>
              <w:rPr>
                <w:color w:val="000000"/>
                <w:sz w:val="22"/>
                <w:szCs w:val="22"/>
              </w:rPr>
              <w:t>4</w:t>
            </w:r>
          </w:p>
        </w:tc>
        <w:tc>
          <w:tcPr>
            <w:tcW w:w="975" w:type="dxa"/>
            <w:noWrap w:val="0"/>
            <w:vAlign w:val="center"/>
          </w:tcPr>
          <w:p>
            <w:pPr>
              <w:rPr>
                <w:szCs w:val="21"/>
              </w:rPr>
            </w:pPr>
            <w:r>
              <w:rPr>
                <w:szCs w:val="21"/>
              </w:rPr>
              <w:t>讲授/讨论/等</w:t>
            </w:r>
          </w:p>
        </w:tc>
        <w:tc>
          <w:tcPr>
            <w:tcW w:w="925" w:type="dxa"/>
            <w:noWrap w:val="0"/>
            <w:vAlign w:val="center"/>
          </w:tcPr>
          <w:p>
            <w:pPr>
              <w:jc w:val="center"/>
              <w:rPr>
                <w:b/>
                <w:kern w:val="0"/>
                <w:szCs w:val="21"/>
              </w:rPr>
            </w:pPr>
            <w:r>
              <w:rPr>
                <w:b/>
                <w:kern w:val="0"/>
                <w:szCs w:val="21"/>
              </w:rPr>
              <w:t>目标1</w:t>
            </w:r>
          </w:p>
        </w:tc>
      </w:tr>
    </w:tbl>
    <w:p>
      <w:pPr>
        <w:spacing w:line="360" w:lineRule="auto"/>
        <w:ind w:firstLine="482" w:firstLineChars="200"/>
        <w:rPr>
          <w:b/>
          <w:bCs/>
          <w:sz w:val="24"/>
        </w:rPr>
      </w:pPr>
      <w:r>
        <w:rPr>
          <w:b/>
          <w:bCs/>
          <w:sz w:val="24"/>
        </w:rPr>
        <w:t>（</w:t>
      </w:r>
      <w:r>
        <w:rPr>
          <w:rFonts w:hint="eastAsia"/>
          <w:b/>
          <w:bCs/>
          <w:sz w:val="24"/>
        </w:rPr>
        <w:t>二</w:t>
      </w:r>
      <w:r>
        <w:rPr>
          <w:b/>
          <w:bCs/>
          <w:sz w:val="24"/>
        </w:rPr>
        <w:t>）思政元素及案例</w:t>
      </w:r>
    </w:p>
    <w:p>
      <w:pPr>
        <w:spacing w:line="360" w:lineRule="auto"/>
        <w:ind w:firstLine="482" w:firstLineChars="200"/>
        <w:rPr>
          <w:sz w:val="24"/>
        </w:rPr>
      </w:pPr>
      <w:r>
        <w:rPr>
          <w:b/>
          <w:bCs/>
          <w:sz w:val="24"/>
        </w:rPr>
        <w:t>元素1、理想信念教育—</w:t>
      </w:r>
      <w:r>
        <w:rPr>
          <w:sz w:val="24"/>
        </w:rPr>
        <w:t>有机化学发展历程以及突出贡献的人物事迹，再配合现阶段有机化学的发展前沿（医药中间体、OLED等领域的发展），增强学生“对国家自信、对学校自信和对专业自信”的“三信”情怀。</w:t>
      </w:r>
    </w:p>
    <w:p>
      <w:pPr>
        <w:spacing w:line="360" w:lineRule="auto"/>
        <w:ind w:firstLine="482" w:firstLineChars="200"/>
        <w:rPr>
          <w:sz w:val="24"/>
        </w:rPr>
      </w:pPr>
      <w:r>
        <w:rPr>
          <w:b/>
          <w:bCs/>
          <w:sz w:val="24"/>
        </w:rPr>
        <w:t>元素2、社会主义核心价值观教育</w:t>
      </w:r>
      <w:r>
        <w:rPr>
          <w:sz w:val="24"/>
        </w:rPr>
        <w:t>—借助有机化学发展成就的主线，引导学生认识到“自由、平等、公正、法治”体系建立的普遍性、广泛性和优越性，教学过程中利用典型的人物事迹，教育学生如何凭借专业知识和实际行动践行“富强、民主、文明、和谐、自由、平等、公正、法治、爱国、敬业、诚信、友善。“富强、民主、文明、和谐”的社会主义核心价值观。</w:t>
      </w:r>
    </w:p>
    <w:p>
      <w:pPr>
        <w:spacing w:line="360" w:lineRule="auto"/>
        <w:ind w:firstLine="482" w:firstLineChars="200"/>
        <w:rPr>
          <w:sz w:val="24"/>
        </w:rPr>
      </w:pPr>
      <w:r>
        <w:rPr>
          <w:b/>
          <w:bCs/>
          <w:sz w:val="24"/>
        </w:rPr>
        <w:t>元素3、中华优秀传统文化教育</w:t>
      </w:r>
      <w:r>
        <w:rPr>
          <w:sz w:val="24"/>
        </w:rPr>
        <w:t>—通过侯德榜、黄鸣龙等化学家的典型事迹，将中华优秀传统文化融入到课程教学中，引导学生培养自身“爱国、爱校、爱专业”的内在气质，厚植爱国主义情怀，传承中华优秀传统文化，弘扬以爱国主义精神。</w:t>
      </w:r>
    </w:p>
    <w:p>
      <w:pPr>
        <w:spacing w:line="360" w:lineRule="auto"/>
        <w:ind w:firstLine="482" w:firstLineChars="200"/>
        <w:rPr>
          <w:sz w:val="24"/>
        </w:rPr>
      </w:pPr>
      <w:r>
        <w:rPr>
          <w:b/>
          <w:bCs/>
          <w:sz w:val="24"/>
        </w:rPr>
        <w:t>元素4、中华优秀传统文化教育</w:t>
      </w:r>
      <w:r>
        <w:rPr>
          <w:sz w:val="24"/>
        </w:rPr>
        <w:t>—借助屠呦呦、施一公等化学家的典型案例，再结合当下少数学者存在的“学术不端”、“成果造假”等问题的反面实例，从职业道德和职业伦理等方面加强对学生的科学精神教育，培养学生以工匠精神助力国家、专业和学校的发展与振兴。</w:t>
      </w:r>
    </w:p>
    <w:p>
      <w:pPr>
        <w:spacing w:line="360" w:lineRule="auto"/>
        <w:ind w:firstLine="482" w:firstLineChars="200"/>
        <w:rPr>
          <w:sz w:val="24"/>
        </w:rPr>
      </w:pPr>
      <w:r>
        <w:rPr>
          <w:b/>
          <w:bCs/>
          <w:sz w:val="24"/>
        </w:rPr>
        <w:t>元素5、生态文明教育</w:t>
      </w:r>
      <w:r>
        <w:rPr>
          <w:sz w:val="24"/>
        </w:rPr>
        <w:t>—根据绿色化学理念，教育和引导学生在今后从事本专业学习、科研和工作中应时刻把环保要求放在首位，将“绿水青山就是金山银山”的理念根植学生心中。</w:t>
      </w:r>
    </w:p>
    <w:p>
      <w:pPr>
        <w:spacing w:line="360" w:lineRule="auto"/>
        <w:ind w:firstLine="562" w:firstLineChars="200"/>
        <w:rPr>
          <w:b/>
          <w:sz w:val="28"/>
          <w:szCs w:val="28"/>
        </w:rPr>
      </w:pPr>
      <w:r>
        <w:rPr>
          <w:b/>
          <w:sz w:val="28"/>
          <w:szCs w:val="28"/>
        </w:rPr>
        <w:t>四、课程实施</w:t>
      </w:r>
    </w:p>
    <w:p>
      <w:pPr>
        <w:spacing w:line="360" w:lineRule="auto"/>
        <w:ind w:firstLine="482" w:firstLineChars="200"/>
        <w:rPr>
          <w:b/>
          <w:sz w:val="24"/>
        </w:rPr>
      </w:pPr>
      <w:r>
        <w:rPr>
          <w:b/>
          <w:sz w:val="24"/>
        </w:rPr>
        <w:t>（一）教学方法与教学手段</w:t>
      </w:r>
    </w:p>
    <w:p>
      <w:pPr>
        <w:spacing w:line="360" w:lineRule="auto"/>
        <w:ind w:firstLine="480" w:firstLineChars="200"/>
        <w:rPr>
          <w:sz w:val="24"/>
        </w:rPr>
      </w:pPr>
      <w:r>
        <w:rPr>
          <w:sz w:val="24"/>
        </w:rPr>
        <w:t>1.把握主线，采用问题教学法，创设最合适的问题情境，引导学生掌握有机化合物的分类、结构及性质，帮助学生理解结构决定性质这一基本原理，培养学生能够从结构来分析化合物性质，最终在合成路线设计及反应开发方面得到应用。</w:t>
      </w:r>
    </w:p>
    <w:p>
      <w:pPr>
        <w:spacing w:line="360" w:lineRule="auto"/>
        <w:ind w:firstLine="480" w:firstLineChars="200"/>
        <w:rPr>
          <w:sz w:val="24"/>
        </w:rPr>
      </w:pPr>
      <w:r>
        <w:rPr>
          <w:sz w:val="24"/>
        </w:rPr>
        <w:t>2.采用多媒体教学手段，配合例题的讲解及课堂讨论以及适当的思考题，保证讲课进度的同时，注意学生的掌握程度和课堂的气氛。</w:t>
      </w:r>
    </w:p>
    <w:p>
      <w:pPr>
        <w:spacing w:line="360" w:lineRule="auto"/>
        <w:ind w:firstLine="480" w:firstLineChars="200"/>
        <w:rPr>
          <w:sz w:val="24"/>
        </w:rPr>
      </w:pPr>
      <w:r>
        <w:rPr>
          <w:sz w:val="24"/>
        </w:rPr>
        <w:t>3.采用案例式教学，引进现代有机合成中的实际例子，让学生真正了解并掌握有机化学及有机化合物的合成及相关分析方法，从而具备相关知识和方法的实际应用能力。</w:t>
      </w:r>
    </w:p>
    <w:p>
      <w:pPr>
        <w:spacing w:line="360" w:lineRule="auto"/>
        <w:ind w:firstLine="480" w:firstLineChars="200"/>
        <w:rPr>
          <w:sz w:val="24"/>
        </w:rPr>
      </w:pPr>
      <w:r>
        <w:rPr>
          <w:sz w:val="24"/>
        </w:rPr>
        <w:t>4.通过案例和现状将”课程思政元素”引入教学内容，实现两者有机融合相辅相成，构建立体多元的课程架构。</w:t>
      </w:r>
    </w:p>
    <w:p>
      <w:pPr>
        <w:spacing w:line="360" w:lineRule="auto"/>
        <w:ind w:firstLine="482" w:firstLineChars="200"/>
        <w:rPr>
          <w:b/>
          <w:sz w:val="24"/>
        </w:rPr>
      </w:pPr>
      <w:r>
        <w:rPr>
          <w:b/>
          <w:sz w:val="24"/>
        </w:rPr>
        <w:t>（二）课程实施与保障</w:t>
      </w:r>
    </w:p>
    <w:tbl>
      <w:tblPr>
        <w:tblStyle w:val="10"/>
        <w:tblW w:w="9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2"/>
        <w:gridCol w:w="1060"/>
        <w:gridCol w:w="7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gridSpan w:val="2"/>
            <w:tcBorders>
              <w:top w:val="single" w:color="auto" w:sz="8" w:space="0"/>
              <w:left w:val="single" w:color="auto" w:sz="8" w:space="0"/>
              <w:right w:val="single" w:color="auto" w:sz="8" w:space="0"/>
            </w:tcBorders>
            <w:noWrap w:val="0"/>
            <w:tcMar>
              <w:left w:w="28" w:type="dxa"/>
              <w:right w:w="28" w:type="dxa"/>
            </w:tcMar>
            <w:vAlign w:val="center"/>
          </w:tcPr>
          <w:p>
            <w:pPr>
              <w:spacing w:line="276" w:lineRule="auto"/>
              <w:jc w:val="center"/>
              <w:rPr>
                <w:szCs w:val="21"/>
              </w:rPr>
            </w:pPr>
            <w:r>
              <w:rPr>
                <w:bCs/>
                <w:szCs w:val="21"/>
              </w:rPr>
              <w:t>主要教学环节</w:t>
            </w:r>
          </w:p>
        </w:tc>
        <w:tc>
          <w:tcPr>
            <w:tcW w:w="7458" w:type="dxa"/>
            <w:tcBorders>
              <w:top w:val="single" w:color="auto" w:sz="8" w:space="0"/>
              <w:left w:val="single" w:color="auto" w:sz="8" w:space="0"/>
              <w:right w:val="single" w:color="auto" w:sz="8" w:space="0"/>
            </w:tcBorders>
            <w:noWrap w:val="0"/>
            <w:vAlign w:val="center"/>
          </w:tcPr>
          <w:p>
            <w:pPr>
              <w:spacing w:line="276" w:lineRule="auto"/>
              <w:jc w:val="center"/>
              <w:rPr>
                <w:szCs w:val="21"/>
              </w:rPr>
            </w:pPr>
            <w:r>
              <w:rPr>
                <w:bCs/>
                <w:szCs w:val="21"/>
              </w:rPr>
              <w:t>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6" w:hRule="atLeast"/>
          <w:jc w:val="center"/>
        </w:trPr>
        <w:tc>
          <w:tcPr>
            <w:tcW w:w="582" w:type="dxa"/>
            <w:tcBorders>
              <w:left w:val="single" w:color="auto" w:sz="8" w:space="0"/>
            </w:tcBorders>
            <w:noWrap w:val="0"/>
            <w:vAlign w:val="center"/>
          </w:tcPr>
          <w:p>
            <w:pPr>
              <w:spacing w:line="276" w:lineRule="auto"/>
              <w:jc w:val="center"/>
              <w:rPr>
                <w:szCs w:val="21"/>
              </w:rPr>
            </w:pPr>
            <w:r>
              <w:rPr>
                <w:szCs w:val="21"/>
              </w:rPr>
              <w:t>1</w:t>
            </w:r>
          </w:p>
        </w:tc>
        <w:tc>
          <w:tcPr>
            <w:tcW w:w="1060" w:type="dxa"/>
            <w:noWrap w:val="0"/>
            <w:tcMar>
              <w:left w:w="28" w:type="dxa"/>
              <w:right w:w="28" w:type="dxa"/>
            </w:tcMar>
            <w:vAlign w:val="center"/>
          </w:tcPr>
          <w:p>
            <w:pPr>
              <w:spacing w:line="276" w:lineRule="auto"/>
              <w:jc w:val="center"/>
              <w:rPr>
                <w:szCs w:val="21"/>
              </w:rPr>
            </w:pPr>
            <w:r>
              <w:rPr>
                <w:szCs w:val="21"/>
              </w:rPr>
              <w:t>备课</w:t>
            </w:r>
          </w:p>
        </w:tc>
        <w:tc>
          <w:tcPr>
            <w:tcW w:w="7458" w:type="dxa"/>
            <w:tcBorders>
              <w:right w:val="single" w:color="auto" w:sz="8" w:space="0"/>
            </w:tcBorders>
            <w:noWrap w:val="0"/>
            <w:vAlign w:val="center"/>
          </w:tcPr>
          <w:p>
            <w:pPr>
              <w:spacing w:line="276" w:lineRule="auto"/>
              <w:rPr>
                <w:szCs w:val="21"/>
              </w:rPr>
            </w:pPr>
            <w:r>
              <w:rPr>
                <w:szCs w:val="21"/>
              </w:rPr>
              <w:t>（1）掌握本课程教学大纲内容，严格按照教学大纲要求进行课程教学内容的组织。</w:t>
            </w:r>
          </w:p>
          <w:p>
            <w:pPr>
              <w:spacing w:line="276" w:lineRule="auto"/>
              <w:rPr>
                <w:szCs w:val="21"/>
              </w:rPr>
            </w:pPr>
            <w:r>
              <w:rPr>
                <w:szCs w:val="21"/>
              </w:rPr>
              <w:t>（2）熟悉教材各章节，借助专业书籍资料，并依据教学大纲编写授课计划，编写每次授课的教案。教案内容包括章节标题、教学目的、教法设计、课堂类型、时间分配、授课内容、课后作业、教学效果分析等方面。</w:t>
            </w:r>
          </w:p>
          <w:p>
            <w:pPr>
              <w:spacing w:line="276" w:lineRule="auto"/>
              <w:rPr>
                <w:szCs w:val="21"/>
              </w:rPr>
            </w:pPr>
            <w:r>
              <w:rPr>
                <w:szCs w:val="21"/>
              </w:rPr>
              <w:t>（3）根据各部分教学内容，构思授课思路、技巧，选择合适的教学方法。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tcBorders>
              <w:left w:val="single" w:color="auto" w:sz="8" w:space="0"/>
            </w:tcBorders>
            <w:noWrap w:val="0"/>
            <w:vAlign w:val="center"/>
          </w:tcPr>
          <w:p>
            <w:pPr>
              <w:spacing w:line="276" w:lineRule="auto"/>
              <w:jc w:val="center"/>
              <w:rPr>
                <w:szCs w:val="21"/>
              </w:rPr>
            </w:pPr>
            <w:r>
              <w:rPr>
                <w:szCs w:val="21"/>
              </w:rPr>
              <w:t>2</w:t>
            </w:r>
          </w:p>
        </w:tc>
        <w:tc>
          <w:tcPr>
            <w:tcW w:w="1060" w:type="dxa"/>
            <w:noWrap w:val="0"/>
            <w:tcMar>
              <w:left w:w="28" w:type="dxa"/>
              <w:right w:w="28" w:type="dxa"/>
            </w:tcMar>
            <w:vAlign w:val="center"/>
          </w:tcPr>
          <w:p>
            <w:pPr>
              <w:spacing w:line="276" w:lineRule="auto"/>
              <w:jc w:val="center"/>
              <w:rPr>
                <w:szCs w:val="21"/>
              </w:rPr>
            </w:pPr>
            <w:r>
              <w:rPr>
                <w:szCs w:val="21"/>
              </w:rPr>
              <w:t>讲授</w:t>
            </w:r>
          </w:p>
        </w:tc>
        <w:tc>
          <w:tcPr>
            <w:tcW w:w="7458" w:type="dxa"/>
            <w:tcBorders>
              <w:right w:val="single" w:color="auto" w:sz="8" w:space="0"/>
            </w:tcBorders>
            <w:noWrap w:val="0"/>
            <w:vAlign w:val="center"/>
          </w:tcPr>
          <w:p>
            <w:pPr>
              <w:spacing w:line="276" w:lineRule="auto"/>
              <w:rPr>
                <w:szCs w:val="21"/>
              </w:rPr>
            </w:pPr>
            <w:r>
              <w:rPr>
                <w:szCs w:val="21"/>
              </w:rPr>
              <w:t>（1）要点准确、推理正确、条理清晰、重点突出，能够理论联系实际，熟练地解答和讲解例题。</w:t>
            </w:r>
          </w:p>
          <w:p>
            <w:pPr>
              <w:spacing w:line="276" w:lineRule="auto"/>
              <w:rPr>
                <w:szCs w:val="21"/>
              </w:rPr>
            </w:pPr>
            <w:r>
              <w:rPr>
                <w:szCs w:val="21"/>
              </w:rPr>
              <w:t>（2）采用多种教学方式（如启发式教学、案例分析教学、讨论式教学、多媒体示范教学等），注重培养学生发现、分析和解决问题的能力。</w:t>
            </w:r>
          </w:p>
          <w:p>
            <w:pPr>
              <w:spacing w:line="276" w:lineRule="auto"/>
              <w:rPr>
                <w:szCs w:val="21"/>
              </w:rPr>
            </w:pPr>
            <w:r>
              <w:rPr>
                <w:szCs w:val="21"/>
              </w:rPr>
              <w:t>（3）能够采用现代信息技术辅助教学。</w:t>
            </w:r>
          </w:p>
          <w:p>
            <w:pPr>
              <w:spacing w:line="276" w:lineRule="auto"/>
              <w:rPr>
                <w:szCs w:val="21"/>
              </w:rPr>
            </w:pPr>
            <w:r>
              <w:rPr>
                <w:szCs w:val="21"/>
              </w:rPr>
              <w:t>（4）表达方式应能便于学生理解、接受，力求形象生动，使学生在掌握知识的过程中，保持较为浓厚的学习兴趣。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jc w:val="center"/>
        </w:trPr>
        <w:tc>
          <w:tcPr>
            <w:tcW w:w="582" w:type="dxa"/>
            <w:tcBorders>
              <w:left w:val="single" w:color="auto" w:sz="8" w:space="0"/>
            </w:tcBorders>
            <w:noWrap w:val="0"/>
            <w:vAlign w:val="center"/>
          </w:tcPr>
          <w:p>
            <w:pPr>
              <w:spacing w:line="276" w:lineRule="auto"/>
              <w:jc w:val="center"/>
              <w:rPr>
                <w:szCs w:val="21"/>
              </w:rPr>
            </w:pPr>
            <w:r>
              <w:rPr>
                <w:szCs w:val="21"/>
              </w:rPr>
              <w:t>3</w:t>
            </w:r>
          </w:p>
        </w:tc>
        <w:tc>
          <w:tcPr>
            <w:tcW w:w="1060" w:type="dxa"/>
            <w:noWrap w:val="0"/>
            <w:tcMar>
              <w:left w:w="28" w:type="dxa"/>
              <w:right w:w="28" w:type="dxa"/>
            </w:tcMar>
            <w:vAlign w:val="center"/>
          </w:tcPr>
          <w:p>
            <w:pPr>
              <w:spacing w:line="276" w:lineRule="auto"/>
              <w:jc w:val="center"/>
              <w:rPr>
                <w:szCs w:val="21"/>
              </w:rPr>
            </w:pPr>
            <w:r>
              <w:rPr>
                <w:szCs w:val="21"/>
              </w:rPr>
              <w:t>作业布置与批改</w:t>
            </w:r>
          </w:p>
        </w:tc>
        <w:tc>
          <w:tcPr>
            <w:tcW w:w="7458" w:type="dxa"/>
            <w:tcBorders>
              <w:right w:val="single" w:color="auto" w:sz="8" w:space="0"/>
            </w:tcBorders>
            <w:noWrap w:val="0"/>
            <w:vAlign w:val="center"/>
          </w:tcPr>
          <w:p>
            <w:pPr>
              <w:spacing w:line="276" w:lineRule="auto"/>
              <w:rPr>
                <w:szCs w:val="21"/>
              </w:rPr>
            </w:pPr>
            <w:r>
              <w:rPr>
                <w:szCs w:val="21"/>
              </w:rPr>
              <w:t>学生必须完成规定数量的作业，作业必须达到以下基本要求：</w:t>
            </w:r>
          </w:p>
          <w:p>
            <w:pPr>
              <w:spacing w:line="276" w:lineRule="auto"/>
              <w:rPr>
                <w:szCs w:val="21"/>
              </w:rPr>
            </w:pPr>
            <w:r>
              <w:rPr>
                <w:szCs w:val="21"/>
              </w:rPr>
              <w:t>（1）按时按量完成作业，不缺交，不抄袭。</w:t>
            </w:r>
          </w:p>
          <w:p>
            <w:pPr>
              <w:spacing w:line="276" w:lineRule="auto"/>
              <w:rPr>
                <w:szCs w:val="21"/>
              </w:rPr>
            </w:pPr>
            <w:r>
              <w:rPr>
                <w:szCs w:val="21"/>
              </w:rPr>
              <w:t>（2）书写规范、清晰。</w:t>
            </w:r>
          </w:p>
          <w:p>
            <w:pPr>
              <w:spacing w:line="276" w:lineRule="auto"/>
              <w:rPr>
                <w:szCs w:val="21"/>
              </w:rPr>
            </w:pPr>
            <w:r>
              <w:rPr>
                <w:szCs w:val="21"/>
              </w:rPr>
              <w:t>（3）解题方法和步骤正确。</w:t>
            </w:r>
          </w:p>
          <w:p>
            <w:pPr>
              <w:spacing w:line="276" w:lineRule="auto"/>
              <w:rPr>
                <w:szCs w:val="21"/>
              </w:rPr>
            </w:pPr>
            <w:r>
              <w:rPr>
                <w:szCs w:val="21"/>
              </w:rPr>
              <w:t>教师批改和讲评作业要求如下：</w:t>
            </w:r>
          </w:p>
          <w:p>
            <w:pPr>
              <w:spacing w:line="276" w:lineRule="auto"/>
              <w:rPr>
                <w:szCs w:val="21"/>
              </w:rPr>
            </w:pPr>
            <w:r>
              <w:rPr>
                <w:szCs w:val="21"/>
              </w:rPr>
              <w:t>（1）学生的作业要按时全部批改，并及时进行讲评。</w:t>
            </w:r>
          </w:p>
          <w:p>
            <w:pPr>
              <w:spacing w:line="276" w:lineRule="auto"/>
              <w:rPr>
                <w:szCs w:val="21"/>
              </w:rPr>
            </w:pPr>
            <w:r>
              <w:rPr>
                <w:szCs w:val="21"/>
              </w:rPr>
              <w:t>（2）教师批改和讲评作业要认真、细致，按百分制评定成绩并写明日期。</w:t>
            </w:r>
          </w:p>
          <w:p>
            <w:pPr>
              <w:spacing w:line="276" w:lineRule="auto"/>
              <w:rPr>
                <w:szCs w:val="21"/>
              </w:rPr>
            </w:pPr>
            <w:r>
              <w:rPr>
                <w:szCs w:val="21"/>
              </w:rPr>
              <w:t>（3）学生作业的平均成绩应作为本课程总评成绩中平时成绩的重要组成部分。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582" w:type="dxa"/>
            <w:tcBorders>
              <w:left w:val="single" w:color="auto" w:sz="8" w:space="0"/>
            </w:tcBorders>
            <w:noWrap w:val="0"/>
            <w:vAlign w:val="center"/>
          </w:tcPr>
          <w:p>
            <w:pPr>
              <w:spacing w:line="276" w:lineRule="auto"/>
              <w:jc w:val="center"/>
              <w:rPr>
                <w:szCs w:val="21"/>
              </w:rPr>
            </w:pPr>
            <w:r>
              <w:rPr>
                <w:szCs w:val="21"/>
              </w:rPr>
              <w:t>4</w:t>
            </w:r>
          </w:p>
        </w:tc>
        <w:tc>
          <w:tcPr>
            <w:tcW w:w="1060" w:type="dxa"/>
            <w:noWrap w:val="0"/>
            <w:tcMar>
              <w:left w:w="28" w:type="dxa"/>
              <w:right w:w="28" w:type="dxa"/>
            </w:tcMar>
            <w:vAlign w:val="center"/>
          </w:tcPr>
          <w:p>
            <w:pPr>
              <w:spacing w:line="276" w:lineRule="auto"/>
              <w:jc w:val="center"/>
              <w:rPr>
                <w:szCs w:val="21"/>
              </w:rPr>
            </w:pPr>
            <w:r>
              <w:rPr>
                <w:szCs w:val="21"/>
              </w:rPr>
              <w:t>课外答疑</w:t>
            </w:r>
          </w:p>
        </w:tc>
        <w:tc>
          <w:tcPr>
            <w:tcW w:w="7458" w:type="dxa"/>
            <w:tcBorders>
              <w:right w:val="single" w:color="auto" w:sz="8" w:space="0"/>
            </w:tcBorders>
            <w:noWrap w:val="0"/>
            <w:vAlign w:val="center"/>
          </w:tcPr>
          <w:p>
            <w:pPr>
              <w:spacing w:line="276" w:lineRule="auto"/>
              <w:rPr>
                <w:szCs w:val="21"/>
              </w:rPr>
            </w:pPr>
            <w:r>
              <w:rPr>
                <w:szCs w:val="21"/>
              </w:rPr>
              <w:t>为了解学生的学习情况，帮助学生更好地理解和消化所学知识、改进学习方法和思维方式，培养其独立思考问题的能力，任课教师需每周安排一定时间进行课外答疑与辅导。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582" w:type="dxa"/>
            <w:tcBorders>
              <w:left w:val="single" w:color="auto" w:sz="8" w:space="0"/>
            </w:tcBorders>
            <w:noWrap w:val="0"/>
            <w:vAlign w:val="center"/>
          </w:tcPr>
          <w:p>
            <w:pPr>
              <w:spacing w:line="276" w:lineRule="auto"/>
              <w:jc w:val="center"/>
              <w:rPr>
                <w:szCs w:val="21"/>
              </w:rPr>
            </w:pPr>
            <w:r>
              <w:rPr>
                <w:szCs w:val="21"/>
              </w:rPr>
              <w:t>5</w:t>
            </w:r>
          </w:p>
        </w:tc>
        <w:tc>
          <w:tcPr>
            <w:tcW w:w="1060" w:type="dxa"/>
            <w:noWrap w:val="0"/>
            <w:tcMar>
              <w:left w:w="28" w:type="dxa"/>
              <w:right w:w="28" w:type="dxa"/>
            </w:tcMar>
            <w:vAlign w:val="center"/>
          </w:tcPr>
          <w:p>
            <w:pPr>
              <w:spacing w:line="276" w:lineRule="auto"/>
              <w:jc w:val="center"/>
              <w:rPr>
                <w:szCs w:val="21"/>
              </w:rPr>
            </w:pPr>
            <w:r>
              <w:rPr>
                <w:szCs w:val="21"/>
              </w:rPr>
              <w:t>成绩考核</w:t>
            </w:r>
          </w:p>
        </w:tc>
        <w:tc>
          <w:tcPr>
            <w:tcW w:w="7458" w:type="dxa"/>
            <w:tcBorders>
              <w:right w:val="single" w:color="auto" w:sz="8" w:space="0"/>
            </w:tcBorders>
            <w:noWrap w:val="0"/>
            <w:vAlign w:val="center"/>
          </w:tcPr>
          <w:p>
            <w:pPr>
              <w:spacing w:line="276" w:lineRule="auto"/>
              <w:rPr>
                <w:szCs w:val="21"/>
              </w:rPr>
            </w:pPr>
            <w:r>
              <w:rPr>
                <w:szCs w:val="21"/>
              </w:rPr>
              <w:t>本课程考核的方式为闭卷笔试。考试采取教考分离，监考由学院统一安排。有下列情况之一者，总评成绩为不及格：</w:t>
            </w:r>
          </w:p>
          <w:p>
            <w:pPr>
              <w:spacing w:line="276" w:lineRule="auto"/>
              <w:rPr>
                <w:szCs w:val="21"/>
              </w:rPr>
            </w:pPr>
            <w:r>
              <w:rPr>
                <w:szCs w:val="21"/>
              </w:rPr>
              <w:t>（1）缺交作业次数达1/3以上者。</w:t>
            </w:r>
          </w:p>
          <w:p>
            <w:pPr>
              <w:spacing w:line="276" w:lineRule="auto"/>
              <w:rPr>
                <w:szCs w:val="21"/>
              </w:rPr>
            </w:pPr>
            <w:r>
              <w:rPr>
                <w:szCs w:val="21"/>
              </w:rPr>
              <w:t>（2）缺课次数达本学期总授课学时的1/3以上者。</w:t>
            </w:r>
          </w:p>
          <w:p>
            <w:pPr>
              <w:spacing w:line="276" w:lineRule="auto"/>
              <w:rPr>
                <w:szCs w:val="21"/>
              </w:rPr>
            </w:pPr>
            <w:r>
              <w:rPr>
                <w:szCs w:val="21"/>
              </w:rPr>
              <w:t>（3）课程目标小于0.6。</w:t>
            </w:r>
          </w:p>
        </w:tc>
      </w:tr>
    </w:tbl>
    <w:p>
      <w:pPr>
        <w:spacing w:line="360" w:lineRule="auto"/>
        <w:rPr>
          <w:b/>
          <w:sz w:val="28"/>
          <w:szCs w:val="28"/>
        </w:rPr>
      </w:pPr>
      <w:r>
        <w:rPr>
          <w:b/>
          <w:sz w:val="28"/>
          <w:szCs w:val="28"/>
        </w:rPr>
        <w:t>五、课程考核</w:t>
      </w:r>
    </w:p>
    <w:p>
      <w:pPr>
        <w:spacing w:line="360" w:lineRule="auto"/>
        <w:ind w:firstLine="480" w:firstLineChars="200"/>
        <w:rPr>
          <w:sz w:val="24"/>
        </w:rPr>
      </w:pPr>
      <w:r>
        <w:rPr>
          <w:sz w:val="24"/>
        </w:rPr>
        <w:t>（一）</w:t>
      </w:r>
      <w:r>
        <w:rPr>
          <w:rFonts w:hint="eastAsia"/>
          <w:sz w:val="24"/>
        </w:rPr>
        <w:t>本课程采用“N</w:t>
      </w:r>
      <w:r>
        <w:rPr>
          <w:sz w:val="24"/>
        </w:rPr>
        <w:t>+1</w:t>
      </w:r>
      <w:r>
        <w:rPr>
          <w:rFonts w:hint="eastAsia"/>
          <w:sz w:val="24"/>
        </w:rPr>
        <w:t>”考核方式，</w:t>
      </w:r>
      <w:r>
        <w:rPr>
          <w:sz w:val="24"/>
        </w:rPr>
        <w:t>课程考核包括期末考试、平时</w:t>
      </w:r>
      <w:r>
        <w:rPr>
          <w:rFonts w:hint="eastAsia"/>
          <w:sz w:val="24"/>
        </w:rPr>
        <w:t>表现、作业、阶段性测验、期中测验以及综述报告</w:t>
      </w:r>
      <w:r>
        <w:rPr>
          <w:sz w:val="24"/>
        </w:rPr>
        <w:t>等，期末考试采用闭卷考试方式。</w:t>
      </w:r>
    </w:p>
    <w:p>
      <w:pPr>
        <w:spacing w:line="360" w:lineRule="auto"/>
        <w:ind w:firstLine="480" w:firstLineChars="200"/>
        <w:rPr>
          <w:sz w:val="24"/>
        </w:rPr>
      </w:pPr>
      <w:r>
        <w:rPr>
          <w:sz w:val="24"/>
        </w:rPr>
        <w:t>（二）课程总评成绩=平时</w:t>
      </w:r>
      <w:r>
        <w:rPr>
          <w:rFonts w:hint="eastAsia"/>
          <w:sz w:val="24"/>
        </w:rPr>
        <w:t>表现</w:t>
      </w:r>
      <w:r>
        <w:rPr>
          <w:sz w:val="24"/>
        </w:rPr>
        <w:t>×10% +作业×</w:t>
      </w:r>
      <w:r>
        <w:rPr>
          <w:rFonts w:hint="eastAsia"/>
          <w:sz w:val="24"/>
        </w:rPr>
        <w:t>1</w:t>
      </w:r>
      <w:r>
        <w:rPr>
          <w:sz w:val="24"/>
        </w:rPr>
        <w:t>0% +</w:t>
      </w:r>
      <w:r>
        <w:rPr>
          <w:rFonts w:hint="eastAsia"/>
          <w:sz w:val="24"/>
        </w:rPr>
        <w:t>测验</w:t>
      </w:r>
      <w:r>
        <w:rPr>
          <w:sz w:val="24"/>
        </w:rPr>
        <w:t>×</w:t>
      </w:r>
      <w:r>
        <w:rPr>
          <w:rFonts w:hint="eastAsia"/>
          <w:sz w:val="24"/>
        </w:rPr>
        <w:t>1</w:t>
      </w:r>
      <w:r>
        <w:rPr>
          <w:sz w:val="24"/>
        </w:rPr>
        <w:t>0%+</w:t>
      </w:r>
      <w:r>
        <w:rPr>
          <w:rFonts w:hint="eastAsia"/>
          <w:sz w:val="24"/>
        </w:rPr>
        <w:t>综述或报告</w:t>
      </w:r>
      <w:r>
        <w:rPr>
          <w:sz w:val="24"/>
        </w:rPr>
        <w:t>×</w:t>
      </w:r>
      <w:r>
        <w:rPr>
          <w:rFonts w:hint="eastAsia"/>
          <w:sz w:val="24"/>
        </w:rPr>
        <w:t>1</w:t>
      </w:r>
      <w:r>
        <w:rPr>
          <w:sz w:val="24"/>
        </w:rPr>
        <w:t>0%+期</w:t>
      </w:r>
      <w:r>
        <w:rPr>
          <w:rFonts w:hint="eastAsia"/>
          <w:sz w:val="24"/>
        </w:rPr>
        <w:t>中</w:t>
      </w:r>
      <w:r>
        <w:rPr>
          <w:sz w:val="24"/>
        </w:rPr>
        <w:t>考试成绩×</w:t>
      </w:r>
      <w:r>
        <w:rPr>
          <w:rFonts w:hint="eastAsia"/>
          <w:sz w:val="24"/>
        </w:rPr>
        <w:t>1</w:t>
      </w:r>
      <w:r>
        <w:rPr>
          <w:sz w:val="24"/>
        </w:rPr>
        <w:t>0%+期末考试成绩×50%。具体内容和比例如表所示。</w:t>
      </w:r>
    </w:p>
    <w:tbl>
      <w:tblPr>
        <w:tblStyle w:val="10"/>
        <w:tblpPr w:leftFromText="180" w:rightFromText="180" w:vertAnchor="text" w:horzAnchor="margin" w:tblpXSpec="center" w:tblpY="244"/>
        <w:tblW w:w="91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715"/>
        <w:gridCol w:w="1560"/>
        <w:gridCol w:w="3260"/>
        <w:gridCol w:w="912"/>
        <w:gridCol w:w="364"/>
        <w:gridCol w:w="638"/>
        <w:gridCol w:w="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vMerge w:val="restart"/>
            <w:shd w:val="clear" w:color="auto" w:fill="FFFFFF"/>
            <w:noWrap w:val="0"/>
            <w:tcMar>
              <w:left w:w="57" w:type="dxa"/>
              <w:right w:w="57" w:type="dxa"/>
            </w:tcMar>
            <w:vAlign w:val="center"/>
          </w:tcPr>
          <w:p>
            <w:pPr>
              <w:pStyle w:val="14"/>
              <w:jc w:val="center"/>
              <w:rPr>
                <w:rFonts w:eastAsia="宋体"/>
              </w:rPr>
            </w:pPr>
            <w:r>
              <w:rPr>
                <w:rFonts w:eastAsia="宋体"/>
              </w:rPr>
              <w:t>考核环节</w:t>
            </w:r>
          </w:p>
        </w:tc>
        <w:tc>
          <w:tcPr>
            <w:tcW w:w="715" w:type="dxa"/>
            <w:vMerge w:val="restart"/>
            <w:shd w:val="clear" w:color="auto" w:fill="FFFFFF"/>
            <w:noWrap w:val="0"/>
            <w:vAlign w:val="center"/>
          </w:tcPr>
          <w:p>
            <w:pPr>
              <w:pStyle w:val="14"/>
              <w:jc w:val="center"/>
              <w:rPr>
                <w:rFonts w:eastAsia="宋体"/>
              </w:rPr>
            </w:pPr>
            <w:r>
              <w:rPr>
                <w:rFonts w:eastAsia="宋体"/>
              </w:rPr>
              <w:t>成绩比例</w:t>
            </w:r>
          </w:p>
        </w:tc>
        <w:tc>
          <w:tcPr>
            <w:tcW w:w="4820" w:type="dxa"/>
            <w:gridSpan w:val="2"/>
            <w:vMerge w:val="restart"/>
            <w:shd w:val="clear" w:color="auto" w:fill="FFFFFF"/>
            <w:noWrap w:val="0"/>
            <w:vAlign w:val="center"/>
          </w:tcPr>
          <w:p>
            <w:pPr>
              <w:pStyle w:val="14"/>
              <w:jc w:val="center"/>
              <w:rPr>
                <w:rFonts w:eastAsia="宋体"/>
              </w:rPr>
            </w:pPr>
            <w:r>
              <w:rPr>
                <w:rFonts w:eastAsia="宋体"/>
              </w:rPr>
              <w:t>考核内容与评价细则</w:t>
            </w:r>
          </w:p>
        </w:tc>
        <w:tc>
          <w:tcPr>
            <w:tcW w:w="2552" w:type="dxa"/>
            <w:gridSpan w:val="4"/>
            <w:shd w:val="clear" w:color="auto" w:fill="FFFFFF"/>
            <w:noWrap w:val="0"/>
            <w:vAlign w:val="center"/>
          </w:tcPr>
          <w:p>
            <w:pPr>
              <w:pStyle w:val="14"/>
              <w:jc w:val="center"/>
              <w:rPr>
                <w:rFonts w:eastAsia="宋体"/>
              </w:rPr>
            </w:pPr>
            <w:r>
              <w:rPr>
                <w:rFonts w:eastAsia="宋体"/>
              </w:rPr>
              <w:t>支撑目标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vMerge w:val="continue"/>
            <w:shd w:val="clear" w:color="auto" w:fill="FFFFFF"/>
            <w:noWrap w:val="0"/>
            <w:tcMar>
              <w:left w:w="57" w:type="dxa"/>
              <w:right w:w="57" w:type="dxa"/>
            </w:tcMar>
            <w:vAlign w:val="center"/>
          </w:tcPr>
          <w:p>
            <w:pPr>
              <w:pStyle w:val="14"/>
              <w:jc w:val="center"/>
              <w:rPr>
                <w:rFonts w:eastAsia="宋体"/>
              </w:rPr>
            </w:pPr>
          </w:p>
        </w:tc>
        <w:tc>
          <w:tcPr>
            <w:tcW w:w="715" w:type="dxa"/>
            <w:vMerge w:val="continue"/>
            <w:shd w:val="clear" w:color="auto" w:fill="FFFFFF"/>
            <w:noWrap w:val="0"/>
            <w:vAlign w:val="center"/>
          </w:tcPr>
          <w:p>
            <w:pPr>
              <w:pStyle w:val="14"/>
              <w:jc w:val="center"/>
              <w:rPr>
                <w:rFonts w:eastAsia="宋体"/>
              </w:rPr>
            </w:pPr>
          </w:p>
        </w:tc>
        <w:tc>
          <w:tcPr>
            <w:tcW w:w="4820" w:type="dxa"/>
            <w:gridSpan w:val="2"/>
            <w:vMerge w:val="continue"/>
            <w:shd w:val="clear" w:color="auto" w:fill="FFFFFF"/>
            <w:noWrap w:val="0"/>
            <w:vAlign w:val="center"/>
          </w:tcPr>
          <w:p>
            <w:pPr>
              <w:pStyle w:val="14"/>
              <w:jc w:val="center"/>
              <w:rPr>
                <w:rFonts w:eastAsia="宋体"/>
              </w:rPr>
            </w:pPr>
          </w:p>
        </w:tc>
        <w:tc>
          <w:tcPr>
            <w:tcW w:w="912" w:type="dxa"/>
            <w:shd w:val="clear" w:color="auto" w:fill="FFFFFF"/>
            <w:noWrap w:val="0"/>
            <w:vAlign w:val="center"/>
          </w:tcPr>
          <w:p>
            <w:pPr>
              <w:pStyle w:val="14"/>
              <w:jc w:val="center"/>
              <w:rPr>
                <w:rFonts w:eastAsia="宋体"/>
              </w:rPr>
            </w:pPr>
            <w:r>
              <w:rPr>
                <w:rFonts w:eastAsia="宋体"/>
              </w:rPr>
              <w:t>目标1</w:t>
            </w:r>
          </w:p>
        </w:tc>
        <w:tc>
          <w:tcPr>
            <w:tcW w:w="364" w:type="dxa"/>
            <w:shd w:val="clear" w:color="auto" w:fill="FFFFFF"/>
            <w:noWrap w:val="0"/>
            <w:vAlign w:val="center"/>
          </w:tcPr>
          <w:p>
            <w:pPr>
              <w:pStyle w:val="14"/>
              <w:jc w:val="center"/>
              <w:rPr>
                <w:rFonts w:eastAsia="宋体"/>
              </w:rPr>
            </w:pPr>
          </w:p>
        </w:tc>
        <w:tc>
          <w:tcPr>
            <w:tcW w:w="638" w:type="dxa"/>
            <w:shd w:val="clear" w:color="auto" w:fill="FFFFFF"/>
            <w:noWrap w:val="0"/>
            <w:vAlign w:val="center"/>
          </w:tcPr>
          <w:p>
            <w:pPr>
              <w:pStyle w:val="14"/>
              <w:jc w:val="center"/>
              <w:rPr>
                <w:rFonts w:eastAsia="宋体"/>
              </w:rPr>
            </w:pPr>
          </w:p>
        </w:tc>
        <w:tc>
          <w:tcPr>
            <w:tcW w:w="638" w:type="dxa"/>
            <w:shd w:val="clear" w:color="auto" w:fill="FFFFFF"/>
            <w:noWrap w:val="0"/>
            <w:vAlign w:val="center"/>
          </w:tcPr>
          <w:p>
            <w:pPr>
              <w:pStyle w:val="14"/>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shd w:val="clear" w:color="auto" w:fill="FFFFFF"/>
            <w:noWrap w:val="0"/>
            <w:tcMar>
              <w:left w:w="57" w:type="dxa"/>
              <w:right w:w="57" w:type="dxa"/>
            </w:tcMar>
            <w:vAlign w:val="center"/>
          </w:tcPr>
          <w:p>
            <w:pPr>
              <w:pStyle w:val="14"/>
              <w:jc w:val="center"/>
              <w:rPr>
                <w:rFonts w:eastAsia="宋体"/>
              </w:rPr>
            </w:pPr>
            <w:r>
              <w:rPr>
                <w:rFonts w:eastAsia="宋体"/>
              </w:rPr>
              <w:t>平时表现</w:t>
            </w:r>
          </w:p>
        </w:tc>
        <w:tc>
          <w:tcPr>
            <w:tcW w:w="715" w:type="dxa"/>
            <w:shd w:val="clear" w:color="auto" w:fill="FFFFFF"/>
            <w:noWrap w:val="0"/>
            <w:vAlign w:val="center"/>
          </w:tcPr>
          <w:p>
            <w:pPr>
              <w:pStyle w:val="14"/>
              <w:jc w:val="center"/>
              <w:rPr>
                <w:rFonts w:eastAsia="宋体"/>
              </w:rPr>
            </w:pPr>
            <w:r>
              <w:rPr>
                <w:rFonts w:eastAsia="宋体"/>
              </w:rPr>
              <w:t>10%</w:t>
            </w:r>
          </w:p>
        </w:tc>
        <w:tc>
          <w:tcPr>
            <w:tcW w:w="4820" w:type="dxa"/>
            <w:gridSpan w:val="2"/>
            <w:shd w:val="clear" w:color="auto" w:fill="FFFFFF"/>
            <w:noWrap w:val="0"/>
            <w:vAlign w:val="center"/>
          </w:tcPr>
          <w:p>
            <w:pPr>
              <w:pStyle w:val="14"/>
              <w:rPr>
                <w:rFonts w:eastAsia="宋体"/>
              </w:rPr>
            </w:pPr>
            <w:r>
              <w:rPr>
                <w:rFonts w:eastAsia="宋体"/>
              </w:rPr>
              <w:t>课堂不定期点名，考核能否按时到勤，对于旷课、迟到和早退者适当扣分，根据平时课堂笔记、课堂回答问题等情况确定平时表现分数。</w:t>
            </w:r>
          </w:p>
        </w:tc>
        <w:tc>
          <w:tcPr>
            <w:tcW w:w="912" w:type="dxa"/>
            <w:shd w:val="clear" w:color="auto" w:fill="FFFFFF"/>
            <w:noWrap w:val="0"/>
            <w:vAlign w:val="center"/>
          </w:tcPr>
          <w:p>
            <w:pPr>
              <w:pStyle w:val="14"/>
              <w:jc w:val="center"/>
              <w:rPr>
                <w:rFonts w:eastAsia="宋体"/>
              </w:rPr>
            </w:pPr>
            <w:r>
              <w:rPr>
                <w:rFonts w:hint="eastAsia" w:eastAsia="宋体"/>
              </w:rPr>
              <w:t>10</w:t>
            </w:r>
            <w:r>
              <w:rPr>
                <w:rFonts w:eastAsia="宋体"/>
              </w:rPr>
              <w:t>%</w:t>
            </w:r>
          </w:p>
        </w:tc>
        <w:tc>
          <w:tcPr>
            <w:tcW w:w="364" w:type="dxa"/>
            <w:shd w:val="clear" w:color="auto" w:fill="FFFFFF"/>
            <w:noWrap w:val="0"/>
            <w:vAlign w:val="center"/>
          </w:tcPr>
          <w:p>
            <w:pPr>
              <w:pStyle w:val="14"/>
              <w:jc w:val="center"/>
              <w:rPr>
                <w:rFonts w:eastAsia="宋体"/>
              </w:rPr>
            </w:pPr>
          </w:p>
        </w:tc>
        <w:tc>
          <w:tcPr>
            <w:tcW w:w="638" w:type="dxa"/>
            <w:shd w:val="clear" w:color="auto" w:fill="FFFFFF"/>
            <w:noWrap w:val="0"/>
            <w:vAlign w:val="center"/>
          </w:tcPr>
          <w:p>
            <w:pPr>
              <w:pStyle w:val="14"/>
              <w:jc w:val="center"/>
              <w:rPr>
                <w:rFonts w:eastAsia="宋体"/>
              </w:rPr>
            </w:pPr>
          </w:p>
        </w:tc>
        <w:tc>
          <w:tcPr>
            <w:tcW w:w="638" w:type="dxa"/>
            <w:shd w:val="clear" w:color="auto" w:fill="FFFFFF"/>
            <w:noWrap w:val="0"/>
            <w:vAlign w:val="center"/>
          </w:tcPr>
          <w:p>
            <w:pPr>
              <w:pStyle w:val="14"/>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043" w:type="dxa"/>
            <w:shd w:val="clear" w:color="auto" w:fill="auto"/>
            <w:noWrap w:val="0"/>
            <w:tcMar>
              <w:left w:w="57" w:type="dxa"/>
              <w:right w:w="57" w:type="dxa"/>
            </w:tcMar>
            <w:vAlign w:val="center"/>
          </w:tcPr>
          <w:p>
            <w:pPr>
              <w:pStyle w:val="14"/>
              <w:jc w:val="center"/>
              <w:rPr>
                <w:rFonts w:eastAsia="宋体"/>
              </w:rPr>
            </w:pPr>
            <w:r>
              <w:rPr>
                <w:rFonts w:eastAsia="宋体"/>
              </w:rPr>
              <w:t>作    业</w:t>
            </w:r>
          </w:p>
        </w:tc>
        <w:tc>
          <w:tcPr>
            <w:tcW w:w="715" w:type="dxa"/>
            <w:shd w:val="clear" w:color="auto" w:fill="auto"/>
            <w:noWrap w:val="0"/>
            <w:vAlign w:val="center"/>
          </w:tcPr>
          <w:p>
            <w:pPr>
              <w:pStyle w:val="14"/>
              <w:jc w:val="center"/>
              <w:rPr>
                <w:rFonts w:eastAsia="宋体"/>
              </w:rPr>
            </w:pPr>
            <w:r>
              <w:rPr>
                <w:rFonts w:hint="eastAsia" w:eastAsia="宋体"/>
              </w:rPr>
              <w:t>1</w:t>
            </w:r>
            <w:r>
              <w:rPr>
                <w:rFonts w:eastAsia="宋体"/>
              </w:rPr>
              <w:t>0%</w:t>
            </w:r>
          </w:p>
        </w:tc>
        <w:tc>
          <w:tcPr>
            <w:tcW w:w="4820" w:type="dxa"/>
            <w:gridSpan w:val="2"/>
            <w:shd w:val="clear" w:color="auto" w:fill="auto"/>
            <w:noWrap w:val="0"/>
            <w:vAlign w:val="center"/>
          </w:tcPr>
          <w:p>
            <w:pPr>
              <w:pStyle w:val="14"/>
              <w:rPr>
                <w:rFonts w:eastAsia="宋体"/>
                <w:color w:val="000000"/>
                <w:szCs w:val="21"/>
              </w:rPr>
            </w:pPr>
            <w:r>
              <w:rPr>
                <w:rFonts w:eastAsia="宋体"/>
              </w:rPr>
              <w:t>课后完成20-30个习题，主要考核学生对每节课知识点的复习、理解和掌握程度，计算全部作业的平均成绩再按1</w:t>
            </w:r>
            <w:r>
              <w:rPr>
                <w:rFonts w:hint="eastAsia" w:eastAsia="宋体"/>
              </w:rPr>
              <w:t>0</w:t>
            </w:r>
            <w:r>
              <w:rPr>
                <w:rFonts w:eastAsia="宋体"/>
              </w:rPr>
              <w:t>%计入总成绩。</w:t>
            </w:r>
          </w:p>
        </w:tc>
        <w:tc>
          <w:tcPr>
            <w:tcW w:w="912" w:type="dxa"/>
            <w:shd w:val="clear" w:color="auto" w:fill="FFFFFF"/>
            <w:noWrap w:val="0"/>
            <w:vAlign w:val="center"/>
          </w:tcPr>
          <w:p>
            <w:pPr>
              <w:pStyle w:val="14"/>
              <w:jc w:val="center"/>
              <w:rPr>
                <w:rFonts w:eastAsia="宋体"/>
                <w:color w:val="000000"/>
                <w:szCs w:val="21"/>
              </w:rPr>
            </w:pPr>
            <w:r>
              <w:rPr>
                <w:rFonts w:eastAsia="宋体"/>
                <w:color w:val="000000"/>
                <w:szCs w:val="21"/>
              </w:rPr>
              <w:t>10%</w:t>
            </w:r>
          </w:p>
        </w:tc>
        <w:tc>
          <w:tcPr>
            <w:tcW w:w="364"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043" w:type="dxa"/>
            <w:shd w:val="clear" w:color="auto" w:fill="auto"/>
            <w:noWrap w:val="0"/>
            <w:tcMar>
              <w:left w:w="57" w:type="dxa"/>
              <w:right w:w="57" w:type="dxa"/>
            </w:tcMar>
            <w:vAlign w:val="center"/>
          </w:tcPr>
          <w:p>
            <w:pPr>
              <w:pStyle w:val="14"/>
              <w:jc w:val="center"/>
              <w:rPr>
                <w:rFonts w:eastAsia="宋体"/>
              </w:rPr>
            </w:pPr>
            <w:r>
              <w:rPr>
                <w:rFonts w:hint="eastAsia" w:eastAsia="宋体"/>
              </w:rPr>
              <w:t xml:space="preserve">测 </w:t>
            </w:r>
            <w:r>
              <w:rPr>
                <w:rFonts w:eastAsia="宋体"/>
              </w:rPr>
              <w:t xml:space="preserve">   </w:t>
            </w:r>
            <w:r>
              <w:rPr>
                <w:rFonts w:hint="eastAsia" w:eastAsia="宋体"/>
              </w:rPr>
              <w:t>验</w:t>
            </w:r>
          </w:p>
        </w:tc>
        <w:tc>
          <w:tcPr>
            <w:tcW w:w="715" w:type="dxa"/>
            <w:shd w:val="clear" w:color="auto" w:fill="auto"/>
            <w:noWrap w:val="0"/>
            <w:vAlign w:val="center"/>
          </w:tcPr>
          <w:p>
            <w:pPr>
              <w:pStyle w:val="14"/>
              <w:jc w:val="center"/>
              <w:rPr>
                <w:rFonts w:eastAsia="宋体"/>
              </w:rPr>
            </w:pPr>
            <w:r>
              <w:rPr>
                <w:rFonts w:hint="eastAsia" w:eastAsia="宋体"/>
              </w:rPr>
              <w:t>10%</w:t>
            </w:r>
          </w:p>
        </w:tc>
        <w:tc>
          <w:tcPr>
            <w:tcW w:w="4820" w:type="dxa"/>
            <w:gridSpan w:val="2"/>
            <w:shd w:val="clear" w:color="auto" w:fill="auto"/>
            <w:noWrap w:val="0"/>
            <w:vAlign w:val="center"/>
          </w:tcPr>
          <w:p>
            <w:pPr>
              <w:pStyle w:val="14"/>
              <w:rPr>
                <w:rFonts w:eastAsia="宋体"/>
              </w:rPr>
            </w:pPr>
            <w:r>
              <w:rPr>
                <w:rFonts w:hint="eastAsia" w:eastAsia="宋体"/>
              </w:rPr>
              <w:t>教学进行过程中将组织阶段性测验，每次5-10题，按总成绩10%计入。</w:t>
            </w:r>
          </w:p>
        </w:tc>
        <w:tc>
          <w:tcPr>
            <w:tcW w:w="912" w:type="dxa"/>
            <w:shd w:val="clear" w:color="auto" w:fill="FFFFFF"/>
            <w:noWrap w:val="0"/>
            <w:vAlign w:val="center"/>
          </w:tcPr>
          <w:p>
            <w:pPr>
              <w:pStyle w:val="14"/>
              <w:jc w:val="center"/>
              <w:rPr>
                <w:rFonts w:eastAsia="宋体"/>
                <w:color w:val="000000"/>
                <w:szCs w:val="21"/>
              </w:rPr>
            </w:pPr>
            <w:r>
              <w:rPr>
                <w:rFonts w:hint="eastAsia" w:eastAsia="宋体"/>
                <w:color w:val="000000"/>
                <w:szCs w:val="21"/>
              </w:rPr>
              <w:t>10%</w:t>
            </w:r>
          </w:p>
        </w:tc>
        <w:tc>
          <w:tcPr>
            <w:tcW w:w="364"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043" w:type="dxa"/>
            <w:shd w:val="clear" w:color="auto" w:fill="auto"/>
            <w:noWrap w:val="0"/>
            <w:tcMar>
              <w:left w:w="57" w:type="dxa"/>
              <w:right w:w="57" w:type="dxa"/>
            </w:tcMar>
            <w:vAlign w:val="center"/>
          </w:tcPr>
          <w:p>
            <w:pPr>
              <w:pStyle w:val="14"/>
              <w:jc w:val="center"/>
              <w:rPr>
                <w:rFonts w:eastAsia="宋体"/>
              </w:rPr>
            </w:pPr>
            <w:r>
              <w:rPr>
                <w:rFonts w:hint="eastAsia" w:eastAsia="宋体"/>
              </w:rPr>
              <w:t>期中测验</w:t>
            </w:r>
          </w:p>
        </w:tc>
        <w:tc>
          <w:tcPr>
            <w:tcW w:w="715" w:type="dxa"/>
            <w:shd w:val="clear" w:color="auto" w:fill="auto"/>
            <w:noWrap w:val="0"/>
            <w:vAlign w:val="center"/>
          </w:tcPr>
          <w:p>
            <w:pPr>
              <w:pStyle w:val="14"/>
              <w:jc w:val="center"/>
              <w:rPr>
                <w:rFonts w:eastAsia="宋体"/>
              </w:rPr>
            </w:pPr>
            <w:r>
              <w:rPr>
                <w:rFonts w:hint="eastAsia" w:eastAsia="宋体"/>
              </w:rPr>
              <w:t>1</w:t>
            </w:r>
            <w:r>
              <w:rPr>
                <w:rFonts w:eastAsia="宋体"/>
              </w:rPr>
              <w:t>0%</w:t>
            </w:r>
          </w:p>
        </w:tc>
        <w:tc>
          <w:tcPr>
            <w:tcW w:w="4820" w:type="dxa"/>
            <w:gridSpan w:val="2"/>
            <w:shd w:val="clear" w:color="auto" w:fill="auto"/>
            <w:noWrap w:val="0"/>
            <w:vAlign w:val="center"/>
          </w:tcPr>
          <w:p>
            <w:pPr>
              <w:pStyle w:val="14"/>
              <w:rPr>
                <w:rFonts w:eastAsia="宋体"/>
              </w:rPr>
            </w:pPr>
            <w:r>
              <w:rPr>
                <w:rFonts w:hint="eastAsia" w:eastAsia="宋体"/>
              </w:rPr>
              <w:t>教学计划中期将组织期中测验，题目形式与期末考试类似，按总成绩1</w:t>
            </w:r>
            <w:r>
              <w:rPr>
                <w:rFonts w:eastAsia="宋体"/>
              </w:rPr>
              <w:t>0%</w:t>
            </w:r>
            <w:r>
              <w:rPr>
                <w:rFonts w:hint="eastAsia" w:eastAsia="宋体"/>
              </w:rPr>
              <w:t>计入总成绩</w:t>
            </w:r>
          </w:p>
        </w:tc>
        <w:tc>
          <w:tcPr>
            <w:tcW w:w="912" w:type="dxa"/>
            <w:shd w:val="clear" w:color="auto" w:fill="FFFFFF"/>
            <w:noWrap w:val="0"/>
            <w:vAlign w:val="center"/>
          </w:tcPr>
          <w:p>
            <w:pPr>
              <w:pStyle w:val="14"/>
              <w:jc w:val="center"/>
              <w:rPr>
                <w:rFonts w:eastAsia="宋体"/>
                <w:color w:val="000000"/>
                <w:szCs w:val="21"/>
              </w:rPr>
            </w:pPr>
            <w:r>
              <w:rPr>
                <w:rFonts w:hint="eastAsia" w:eastAsia="宋体"/>
                <w:color w:val="000000"/>
                <w:szCs w:val="21"/>
              </w:rPr>
              <w:t>1</w:t>
            </w:r>
            <w:r>
              <w:rPr>
                <w:rFonts w:eastAsia="宋体"/>
                <w:color w:val="000000"/>
                <w:szCs w:val="21"/>
              </w:rPr>
              <w:t>0%</w:t>
            </w:r>
          </w:p>
        </w:tc>
        <w:tc>
          <w:tcPr>
            <w:tcW w:w="364"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043" w:type="dxa"/>
            <w:shd w:val="clear" w:color="auto" w:fill="auto"/>
            <w:noWrap w:val="0"/>
            <w:tcMar>
              <w:left w:w="57" w:type="dxa"/>
              <w:right w:w="57" w:type="dxa"/>
            </w:tcMar>
            <w:vAlign w:val="center"/>
          </w:tcPr>
          <w:p>
            <w:pPr>
              <w:pStyle w:val="14"/>
              <w:jc w:val="center"/>
              <w:rPr>
                <w:rFonts w:eastAsia="宋体"/>
              </w:rPr>
            </w:pPr>
            <w:r>
              <w:rPr>
                <w:rFonts w:hint="eastAsia" w:eastAsia="宋体"/>
              </w:rPr>
              <w:t>综述或报告</w:t>
            </w:r>
          </w:p>
        </w:tc>
        <w:tc>
          <w:tcPr>
            <w:tcW w:w="715" w:type="dxa"/>
            <w:shd w:val="clear" w:color="auto" w:fill="auto"/>
            <w:noWrap w:val="0"/>
            <w:vAlign w:val="center"/>
          </w:tcPr>
          <w:p>
            <w:pPr>
              <w:pStyle w:val="14"/>
              <w:jc w:val="center"/>
              <w:rPr>
                <w:rFonts w:eastAsia="宋体"/>
              </w:rPr>
            </w:pPr>
            <w:r>
              <w:rPr>
                <w:rFonts w:hint="eastAsia" w:eastAsia="宋体"/>
              </w:rPr>
              <w:t>10%</w:t>
            </w:r>
          </w:p>
        </w:tc>
        <w:tc>
          <w:tcPr>
            <w:tcW w:w="4820" w:type="dxa"/>
            <w:gridSpan w:val="2"/>
            <w:shd w:val="clear" w:color="auto" w:fill="auto"/>
            <w:noWrap w:val="0"/>
            <w:vAlign w:val="center"/>
          </w:tcPr>
          <w:p>
            <w:pPr>
              <w:pStyle w:val="14"/>
              <w:rPr>
                <w:rFonts w:eastAsia="宋体"/>
              </w:rPr>
            </w:pPr>
            <w:r>
              <w:rPr>
                <w:rFonts w:hint="eastAsia" w:eastAsia="宋体"/>
              </w:rPr>
              <w:t>学期中将组织学生对有机化学前沿问题进行调研，并形成综述或调研报告，成绩按总成绩10%计入。</w:t>
            </w:r>
          </w:p>
        </w:tc>
        <w:tc>
          <w:tcPr>
            <w:tcW w:w="912" w:type="dxa"/>
            <w:shd w:val="clear" w:color="auto" w:fill="FFFFFF"/>
            <w:noWrap w:val="0"/>
            <w:vAlign w:val="center"/>
          </w:tcPr>
          <w:p>
            <w:pPr>
              <w:pStyle w:val="14"/>
              <w:jc w:val="center"/>
              <w:rPr>
                <w:rFonts w:eastAsia="宋体"/>
                <w:color w:val="000000"/>
                <w:szCs w:val="21"/>
              </w:rPr>
            </w:pPr>
            <w:r>
              <w:rPr>
                <w:rFonts w:hint="eastAsia" w:eastAsia="宋体"/>
                <w:color w:val="000000"/>
                <w:szCs w:val="21"/>
              </w:rPr>
              <w:t>10%</w:t>
            </w:r>
          </w:p>
        </w:tc>
        <w:tc>
          <w:tcPr>
            <w:tcW w:w="364"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043" w:type="dxa"/>
            <w:vMerge w:val="restart"/>
            <w:shd w:val="clear" w:color="auto" w:fill="auto"/>
            <w:noWrap w:val="0"/>
            <w:tcMar>
              <w:left w:w="57" w:type="dxa"/>
              <w:right w:w="57" w:type="dxa"/>
            </w:tcMar>
            <w:vAlign w:val="center"/>
          </w:tcPr>
          <w:p>
            <w:pPr>
              <w:pStyle w:val="14"/>
              <w:jc w:val="center"/>
              <w:rPr>
                <w:rFonts w:eastAsia="宋体"/>
              </w:rPr>
            </w:pPr>
            <w:r>
              <w:rPr>
                <w:rFonts w:eastAsia="宋体"/>
              </w:rPr>
              <w:t>期末试卷</w:t>
            </w:r>
          </w:p>
        </w:tc>
        <w:tc>
          <w:tcPr>
            <w:tcW w:w="715" w:type="dxa"/>
            <w:vMerge w:val="restart"/>
            <w:shd w:val="clear" w:color="auto" w:fill="auto"/>
            <w:noWrap w:val="0"/>
            <w:vAlign w:val="center"/>
          </w:tcPr>
          <w:p>
            <w:pPr>
              <w:pStyle w:val="14"/>
              <w:jc w:val="center"/>
              <w:rPr>
                <w:rFonts w:eastAsia="宋体"/>
              </w:rPr>
            </w:pPr>
            <w:r>
              <w:rPr>
                <w:rFonts w:eastAsia="宋体"/>
              </w:rPr>
              <w:t xml:space="preserve">50% </w:t>
            </w:r>
          </w:p>
        </w:tc>
        <w:tc>
          <w:tcPr>
            <w:tcW w:w="1560" w:type="dxa"/>
            <w:tcBorders>
              <w:left w:val="single" w:color="auto" w:sz="4" w:space="0"/>
            </w:tcBorders>
            <w:shd w:val="clear" w:color="auto" w:fill="auto"/>
            <w:noWrap w:val="0"/>
            <w:vAlign w:val="center"/>
          </w:tcPr>
          <w:p>
            <w:pPr>
              <w:pStyle w:val="14"/>
              <w:jc w:val="center"/>
              <w:rPr>
                <w:rFonts w:eastAsia="宋体"/>
                <w:color w:val="000000"/>
                <w:szCs w:val="21"/>
              </w:rPr>
            </w:pPr>
            <w:r>
              <w:rPr>
                <w:rFonts w:eastAsia="宋体"/>
                <w:color w:val="000000"/>
                <w:szCs w:val="21"/>
              </w:rPr>
              <w:t>题型</w:t>
            </w:r>
          </w:p>
        </w:tc>
        <w:tc>
          <w:tcPr>
            <w:tcW w:w="3260" w:type="dxa"/>
            <w:tcBorders>
              <w:left w:val="single" w:color="auto" w:sz="4" w:space="0"/>
            </w:tcBorders>
            <w:shd w:val="clear" w:color="auto" w:fill="auto"/>
            <w:noWrap w:val="0"/>
            <w:vAlign w:val="center"/>
          </w:tcPr>
          <w:p>
            <w:pPr>
              <w:widowControl/>
              <w:jc w:val="center"/>
            </w:pPr>
            <w:r>
              <w:rPr>
                <w:color w:val="000000"/>
                <w:szCs w:val="21"/>
              </w:rPr>
              <w:t>考核内容及相应试题</w:t>
            </w:r>
          </w:p>
        </w:tc>
        <w:tc>
          <w:tcPr>
            <w:tcW w:w="2552" w:type="dxa"/>
            <w:gridSpan w:val="4"/>
            <w:tcBorders>
              <w:tl2br w:val="single" w:color="auto" w:sz="4" w:space="0"/>
            </w:tcBorders>
            <w:shd w:val="clear" w:color="auto" w:fill="FFFFFF"/>
            <w:noWrap w:val="0"/>
            <w:vAlign w:val="top"/>
          </w:tcPr>
          <w:p>
            <w:pPr>
              <w:pStyle w:val="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noWrap w:val="0"/>
            <w:tcMar>
              <w:left w:w="57" w:type="dxa"/>
              <w:right w:w="57" w:type="dxa"/>
            </w:tcMar>
            <w:vAlign w:val="center"/>
          </w:tcPr>
          <w:p>
            <w:pPr>
              <w:pStyle w:val="14"/>
              <w:jc w:val="center"/>
              <w:rPr>
                <w:rFonts w:eastAsia="宋体"/>
              </w:rPr>
            </w:pPr>
          </w:p>
        </w:tc>
        <w:tc>
          <w:tcPr>
            <w:tcW w:w="715" w:type="dxa"/>
            <w:vMerge w:val="continue"/>
            <w:shd w:val="clear" w:color="auto" w:fill="auto"/>
            <w:noWrap w:val="0"/>
            <w:vAlign w:val="center"/>
          </w:tcPr>
          <w:p>
            <w:pPr>
              <w:pStyle w:val="14"/>
              <w:jc w:val="center"/>
              <w:rPr>
                <w:rFonts w:eastAsia="宋体"/>
              </w:rPr>
            </w:pPr>
          </w:p>
        </w:tc>
        <w:tc>
          <w:tcPr>
            <w:tcW w:w="1560" w:type="dxa"/>
            <w:tcBorders>
              <w:left w:val="single" w:color="auto" w:sz="4" w:space="0"/>
            </w:tcBorders>
            <w:shd w:val="clear" w:color="auto" w:fill="auto"/>
            <w:noWrap w:val="0"/>
            <w:vAlign w:val="center"/>
          </w:tcPr>
          <w:p>
            <w:pPr>
              <w:pStyle w:val="14"/>
              <w:jc w:val="center"/>
              <w:rPr>
                <w:rFonts w:eastAsia="宋体"/>
                <w:color w:val="000000"/>
                <w:szCs w:val="21"/>
              </w:rPr>
            </w:pPr>
            <w:r>
              <w:rPr>
                <w:rFonts w:eastAsia="宋体"/>
                <w:color w:val="000000"/>
                <w:szCs w:val="21"/>
              </w:rPr>
              <w:t>命名题</w:t>
            </w:r>
          </w:p>
        </w:tc>
        <w:tc>
          <w:tcPr>
            <w:tcW w:w="3260" w:type="dxa"/>
            <w:tcBorders>
              <w:left w:val="single" w:color="auto" w:sz="4" w:space="0"/>
            </w:tcBorders>
            <w:shd w:val="clear" w:color="auto" w:fill="auto"/>
            <w:noWrap w:val="0"/>
            <w:vAlign w:val="center"/>
          </w:tcPr>
          <w:p>
            <w:pPr>
              <w:pStyle w:val="14"/>
              <w:rPr>
                <w:rFonts w:eastAsia="宋体"/>
                <w:color w:val="000000"/>
                <w:szCs w:val="21"/>
              </w:rPr>
            </w:pPr>
            <w:r>
              <w:rPr>
                <w:rFonts w:eastAsia="宋体"/>
                <w:color w:val="000000"/>
                <w:szCs w:val="21"/>
              </w:rPr>
              <w:t>主要通过考察学生对化合物的普通命名法和系统命名法，考核其对价键理论以及化合物的结构等知识点的掌握程度。</w:t>
            </w:r>
          </w:p>
        </w:tc>
        <w:tc>
          <w:tcPr>
            <w:tcW w:w="912" w:type="dxa"/>
            <w:shd w:val="clear" w:color="auto" w:fill="FFFFFF"/>
            <w:noWrap w:val="0"/>
            <w:vAlign w:val="center"/>
          </w:tcPr>
          <w:p>
            <w:pPr>
              <w:widowControl/>
              <w:jc w:val="center"/>
            </w:pPr>
            <w:r>
              <w:t>5%</w:t>
            </w:r>
          </w:p>
        </w:tc>
        <w:tc>
          <w:tcPr>
            <w:tcW w:w="364" w:type="dxa"/>
            <w:shd w:val="clear" w:color="auto" w:fill="FFFFFF"/>
            <w:noWrap w:val="0"/>
            <w:vAlign w:val="center"/>
          </w:tcPr>
          <w:p>
            <w:pPr>
              <w:widowControl/>
              <w:jc w:val="center"/>
            </w:pPr>
          </w:p>
        </w:tc>
        <w:tc>
          <w:tcPr>
            <w:tcW w:w="638" w:type="dxa"/>
            <w:shd w:val="clear" w:color="auto" w:fill="FFFFFF"/>
            <w:noWrap w:val="0"/>
            <w:vAlign w:val="center"/>
          </w:tcPr>
          <w:p>
            <w:pPr>
              <w:widowControl/>
              <w:jc w:val="center"/>
            </w:pPr>
          </w:p>
        </w:tc>
        <w:tc>
          <w:tcPr>
            <w:tcW w:w="638" w:type="dxa"/>
            <w:shd w:val="clear" w:color="auto" w:fill="FFFFFF"/>
            <w:noWrap w:val="0"/>
            <w:vAlign w:val="center"/>
          </w:tcPr>
          <w:p>
            <w:pPr>
              <w:widowControl/>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noWrap w:val="0"/>
            <w:tcMar>
              <w:left w:w="57" w:type="dxa"/>
              <w:right w:w="57" w:type="dxa"/>
            </w:tcMar>
            <w:vAlign w:val="center"/>
          </w:tcPr>
          <w:p>
            <w:pPr>
              <w:pStyle w:val="14"/>
              <w:jc w:val="center"/>
              <w:rPr>
                <w:rFonts w:eastAsia="宋体"/>
              </w:rPr>
            </w:pPr>
          </w:p>
        </w:tc>
        <w:tc>
          <w:tcPr>
            <w:tcW w:w="715" w:type="dxa"/>
            <w:vMerge w:val="continue"/>
            <w:shd w:val="clear" w:color="auto" w:fill="auto"/>
            <w:noWrap w:val="0"/>
            <w:vAlign w:val="center"/>
          </w:tcPr>
          <w:p>
            <w:pPr>
              <w:pStyle w:val="14"/>
              <w:jc w:val="center"/>
              <w:rPr>
                <w:rFonts w:eastAsia="宋体"/>
              </w:rPr>
            </w:pPr>
          </w:p>
        </w:tc>
        <w:tc>
          <w:tcPr>
            <w:tcW w:w="1560" w:type="dxa"/>
            <w:tcBorders>
              <w:left w:val="single" w:color="auto" w:sz="4" w:space="0"/>
            </w:tcBorders>
            <w:shd w:val="clear" w:color="auto" w:fill="auto"/>
            <w:noWrap w:val="0"/>
            <w:vAlign w:val="center"/>
          </w:tcPr>
          <w:p>
            <w:pPr>
              <w:pStyle w:val="14"/>
              <w:jc w:val="center"/>
              <w:rPr>
                <w:rFonts w:eastAsia="宋体"/>
                <w:color w:val="000000"/>
                <w:szCs w:val="21"/>
              </w:rPr>
            </w:pPr>
            <w:r>
              <w:rPr>
                <w:rFonts w:eastAsia="宋体"/>
                <w:color w:val="000000"/>
                <w:szCs w:val="21"/>
              </w:rPr>
              <w:t>选择题</w:t>
            </w:r>
          </w:p>
        </w:tc>
        <w:tc>
          <w:tcPr>
            <w:tcW w:w="3260" w:type="dxa"/>
            <w:tcBorders>
              <w:left w:val="single" w:color="auto" w:sz="4" w:space="0"/>
            </w:tcBorders>
            <w:shd w:val="clear" w:color="auto" w:fill="auto"/>
            <w:noWrap w:val="0"/>
            <w:vAlign w:val="center"/>
          </w:tcPr>
          <w:p>
            <w:pPr>
              <w:pStyle w:val="14"/>
              <w:rPr>
                <w:rFonts w:eastAsia="宋体"/>
                <w:color w:val="000000"/>
                <w:szCs w:val="21"/>
              </w:rPr>
            </w:pPr>
            <w:r>
              <w:rPr>
                <w:rFonts w:eastAsia="宋体"/>
                <w:color w:val="000000"/>
                <w:szCs w:val="21"/>
              </w:rPr>
              <w:t>主要考核有机化学及有机化合物的基本知识、价键理论、化学反应选择性、化合物物理性质变化规律、酸碱性以及反应活性判断等知识点。</w:t>
            </w:r>
          </w:p>
        </w:tc>
        <w:tc>
          <w:tcPr>
            <w:tcW w:w="912" w:type="dxa"/>
            <w:shd w:val="clear" w:color="auto" w:fill="FFFFFF"/>
            <w:noWrap w:val="0"/>
            <w:vAlign w:val="center"/>
          </w:tcPr>
          <w:p>
            <w:pPr>
              <w:pStyle w:val="14"/>
              <w:jc w:val="center"/>
              <w:rPr>
                <w:rFonts w:eastAsia="宋体"/>
                <w:color w:val="000000"/>
                <w:szCs w:val="21"/>
              </w:rPr>
            </w:pPr>
            <w:r>
              <w:rPr>
                <w:rFonts w:hint="eastAsia" w:eastAsia="宋体"/>
                <w:color w:val="000000"/>
                <w:szCs w:val="21"/>
              </w:rPr>
              <w:t>10</w:t>
            </w:r>
            <w:r>
              <w:rPr>
                <w:rFonts w:eastAsia="宋体"/>
                <w:color w:val="000000"/>
                <w:szCs w:val="21"/>
              </w:rPr>
              <w:t>%</w:t>
            </w:r>
          </w:p>
        </w:tc>
        <w:tc>
          <w:tcPr>
            <w:tcW w:w="364"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noWrap w:val="0"/>
            <w:tcMar>
              <w:left w:w="57" w:type="dxa"/>
              <w:right w:w="57" w:type="dxa"/>
            </w:tcMar>
            <w:vAlign w:val="center"/>
          </w:tcPr>
          <w:p>
            <w:pPr>
              <w:pStyle w:val="14"/>
              <w:jc w:val="center"/>
              <w:rPr>
                <w:rFonts w:eastAsia="宋体"/>
              </w:rPr>
            </w:pPr>
          </w:p>
        </w:tc>
        <w:tc>
          <w:tcPr>
            <w:tcW w:w="715" w:type="dxa"/>
            <w:vMerge w:val="continue"/>
            <w:shd w:val="clear" w:color="auto" w:fill="auto"/>
            <w:noWrap w:val="0"/>
            <w:vAlign w:val="center"/>
          </w:tcPr>
          <w:p>
            <w:pPr>
              <w:pStyle w:val="14"/>
              <w:jc w:val="center"/>
              <w:rPr>
                <w:rFonts w:eastAsia="宋体"/>
              </w:rPr>
            </w:pPr>
          </w:p>
        </w:tc>
        <w:tc>
          <w:tcPr>
            <w:tcW w:w="1560" w:type="dxa"/>
            <w:tcBorders>
              <w:left w:val="single" w:color="auto" w:sz="4" w:space="0"/>
            </w:tcBorders>
            <w:shd w:val="clear" w:color="auto" w:fill="auto"/>
            <w:noWrap w:val="0"/>
            <w:vAlign w:val="center"/>
          </w:tcPr>
          <w:p>
            <w:pPr>
              <w:pStyle w:val="14"/>
              <w:jc w:val="center"/>
              <w:rPr>
                <w:rFonts w:eastAsia="宋体"/>
                <w:color w:val="000000"/>
                <w:szCs w:val="21"/>
              </w:rPr>
            </w:pPr>
            <w:r>
              <w:rPr>
                <w:rFonts w:eastAsia="宋体"/>
                <w:color w:val="000000"/>
                <w:szCs w:val="21"/>
              </w:rPr>
              <w:t>完成反应式</w:t>
            </w:r>
          </w:p>
        </w:tc>
        <w:tc>
          <w:tcPr>
            <w:tcW w:w="3260" w:type="dxa"/>
            <w:tcBorders>
              <w:left w:val="single" w:color="auto" w:sz="4" w:space="0"/>
              <w:bottom w:val="single" w:color="auto" w:sz="4" w:space="0"/>
            </w:tcBorders>
            <w:shd w:val="clear" w:color="auto" w:fill="auto"/>
            <w:noWrap w:val="0"/>
            <w:vAlign w:val="center"/>
          </w:tcPr>
          <w:p>
            <w:pPr>
              <w:pStyle w:val="14"/>
              <w:rPr>
                <w:rFonts w:eastAsia="宋体"/>
                <w:color w:val="000000"/>
                <w:szCs w:val="21"/>
              </w:rPr>
            </w:pPr>
            <w:r>
              <w:rPr>
                <w:rFonts w:eastAsia="宋体"/>
                <w:color w:val="000000"/>
                <w:szCs w:val="21"/>
              </w:rPr>
              <w:t>通过填空的形式完成化学反应式，考察学生对反应前后化合物的变化以及相应有机反应规律的理解程度。</w:t>
            </w:r>
          </w:p>
        </w:tc>
        <w:tc>
          <w:tcPr>
            <w:tcW w:w="912" w:type="dxa"/>
            <w:shd w:val="clear" w:color="auto" w:fill="FFFFFF"/>
            <w:noWrap w:val="0"/>
            <w:vAlign w:val="center"/>
          </w:tcPr>
          <w:p>
            <w:pPr>
              <w:pStyle w:val="14"/>
              <w:jc w:val="center"/>
              <w:rPr>
                <w:rFonts w:eastAsia="宋体"/>
                <w:color w:val="000000"/>
                <w:szCs w:val="21"/>
              </w:rPr>
            </w:pPr>
            <w:r>
              <w:rPr>
                <w:rFonts w:hint="eastAsia" w:eastAsia="宋体"/>
                <w:color w:val="000000"/>
                <w:szCs w:val="21"/>
              </w:rPr>
              <w:t>1</w:t>
            </w:r>
            <w:r>
              <w:rPr>
                <w:rFonts w:eastAsia="宋体"/>
                <w:color w:val="000000"/>
                <w:szCs w:val="21"/>
              </w:rPr>
              <w:t>0%</w:t>
            </w:r>
          </w:p>
        </w:tc>
        <w:tc>
          <w:tcPr>
            <w:tcW w:w="364"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noWrap w:val="0"/>
            <w:tcMar>
              <w:left w:w="57" w:type="dxa"/>
              <w:right w:w="57" w:type="dxa"/>
            </w:tcMar>
            <w:vAlign w:val="center"/>
          </w:tcPr>
          <w:p>
            <w:pPr>
              <w:pStyle w:val="14"/>
              <w:jc w:val="center"/>
              <w:rPr>
                <w:rFonts w:eastAsia="宋体"/>
              </w:rPr>
            </w:pPr>
          </w:p>
        </w:tc>
        <w:tc>
          <w:tcPr>
            <w:tcW w:w="715" w:type="dxa"/>
            <w:vMerge w:val="continue"/>
            <w:shd w:val="clear" w:color="auto" w:fill="auto"/>
            <w:noWrap w:val="0"/>
            <w:vAlign w:val="center"/>
          </w:tcPr>
          <w:p>
            <w:pPr>
              <w:pStyle w:val="14"/>
              <w:jc w:val="center"/>
              <w:rPr>
                <w:rFonts w:eastAsia="宋体"/>
              </w:rPr>
            </w:pPr>
          </w:p>
        </w:tc>
        <w:tc>
          <w:tcPr>
            <w:tcW w:w="1560" w:type="dxa"/>
            <w:tcBorders>
              <w:left w:val="single" w:color="auto" w:sz="4" w:space="0"/>
            </w:tcBorders>
            <w:shd w:val="clear" w:color="auto" w:fill="auto"/>
            <w:noWrap w:val="0"/>
            <w:vAlign w:val="center"/>
          </w:tcPr>
          <w:p>
            <w:pPr>
              <w:pStyle w:val="14"/>
              <w:jc w:val="center"/>
              <w:rPr>
                <w:rFonts w:eastAsia="宋体"/>
                <w:color w:val="000000"/>
                <w:szCs w:val="21"/>
              </w:rPr>
            </w:pPr>
            <w:r>
              <w:rPr>
                <w:rFonts w:eastAsia="宋体"/>
                <w:color w:val="000000"/>
                <w:szCs w:val="21"/>
              </w:rPr>
              <w:t>合成及机理</w:t>
            </w:r>
          </w:p>
        </w:tc>
        <w:tc>
          <w:tcPr>
            <w:tcW w:w="3260" w:type="dxa"/>
            <w:tcBorders>
              <w:left w:val="single" w:color="auto" w:sz="4" w:space="0"/>
              <w:bottom w:val="single" w:color="auto" w:sz="4" w:space="0"/>
            </w:tcBorders>
            <w:shd w:val="clear" w:color="auto" w:fill="auto"/>
            <w:noWrap w:val="0"/>
            <w:vAlign w:val="center"/>
          </w:tcPr>
          <w:p>
            <w:pPr>
              <w:pStyle w:val="14"/>
              <w:rPr>
                <w:rFonts w:eastAsia="宋体"/>
                <w:color w:val="000000"/>
                <w:szCs w:val="21"/>
              </w:rPr>
            </w:pPr>
            <w:r>
              <w:rPr>
                <w:rFonts w:eastAsia="宋体"/>
                <w:color w:val="000000"/>
                <w:szCs w:val="21"/>
              </w:rPr>
              <w:t>考察学生对有机反应机理的掌握程度以及利用逆合成推导方法完成复杂化合物的多步合成。</w:t>
            </w:r>
          </w:p>
        </w:tc>
        <w:tc>
          <w:tcPr>
            <w:tcW w:w="912" w:type="dxa"/>
            <w:shd w:val="clear" w:color="auto" w:fill="FFFFFF"/>
            <w:noWrap w:val="0"/>
            <w:vAlign w:val="center"/>
          </w:tcPr>
          <w:p>
            <w:pPr>
              <w:pStyle w:val="14"/>
              <w:jc w:val="center"/>
              <w:rPr>
                <w:rFonts w:eastAsia="宋体"/>
                <w:color w:val="000000"/>
                <w:szCs w:val="21"/>
              </w:rPr>
            </w:pPr>
            <w:r>
              <w:rPr>
                <w:rFonts w:hint="eastAsia" w:eastAsia="宋体"/>
                <w:color w:val="000000"/>
                <w:szCs w:val="21"/>
              </w:rPr>
              <w:t>1</w:t>
            </w:r>
            <w:r>
              <w:rPr>
                <w:rFonts w:eastAsia="宋体"/>
                <w:color w:val="000000"/>
                <w:szCs w:val="21"/>
              </w:rPr>
              <w:t>5%</w:t>
            </w:r>
          </w:p>
        </w:tc>
        <w:tc>
          <w:tcPr>
            <w:tcW w:w="364"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noWrap w:val="0"/>
            <w:tcMar>
              <w:left w:w="57" w:type="dxa"/>
              <w:right w:w="57" w:type="dxa"/>
            </w:tcMar>
            <w:vAlign w:val="center"/>
          </w:tcPr>
          <w:p>
            <w:pPr>
              <w:pStyle w:val="14"/>
              <w:jc w:val="center"/>
              <w:rPr>
                <w:rFonts w:eastAsia="宋体"/>
              </w:rPr>
            </w:pPr>
          </w:p>
        </w:tc>
        <w:tc>
          <w:tcPr>
            <w:tcW w:w="715" w:type="dxa"/>
            <w:vMerge w:val="continue"/>
            <w:shd w:val="clear" w:color="auto" w:fill="auto"/>
            <w:noWrap w:val="0"/>
            <w:vAlign w:val="center"/>
          </w:tcPr>
          <w:p>
            <w:pPr>
              <w:pStyle w:val="14"/>
              <w:jc w:val="center"/>
              <w:rPr>
                <w:rFonts w:eastAsia="宋体"/>
              </w:rPr>
            </w:pPr>
          </w:p>
        </w:tc>
        <w:tc>
          <w:tcPr>
            <w:tcW w:w="1560" w:type="dxa"/>
            <w:tcBorders>
              <w:left w:val="single" w:color="auto" w:sz="4" w:space="0"/>
            </w:tcBorders>
            <w:shd w:val="clear" w:color="auto" w:fill="auto"/>
            <w:noWrap w:val="0"/>
            <w:vAlign w:val="center"/>
          </w:tcPr>
          <w:p>
            <w:pPr>
              <w:pStyle w:val="14"/>
              <w:jc w:val="center"/>
              <w:rPr>
                <w:rFonts w:eastAsia="宋体"/>
                <w:color w:val="000000"/>
                <w:szCs w:val="21"/>
              </w:rPr>
            </w:pPr>
            <w:r>
              <w:rPr>
                <w:rFonts w:eastAsia="宋体"/>
                <w:color w:val="000000"/>
                <w:szCs w:val="21"/>
              </w:rPr>
              <w:t>分析鉴别题</w:t>
            </w:r>
          </w:p>
        </w:tc>
        <w:tc>
          <w:tcPr>
            <w:tcW w:w="3260" w:type="dxa"/>
            <w:tcBorders>
              <w:left w:val="single" w:color="auto" w:sz="4" w:space="0"/>
              <w:bottom w:val="single" w:color="auto" w:sz="4" w:space="0"/>
            </w:tcBorders>
            <w:shd w:val="clear" w:color="auto" w:fill="auto"/>
            <w:noWrap w:val="0"/>
            <w:vAlign w:val="center"/>
          </w:tcPr>
          <w:p>
            <w:pPr>
              <w:pStyle w:val="14"/>
              <w:rPr>
                <w:rFonts w:eastAsia="宋体"/>
                <w:color w:val="000000"/>
                <w:szCs w:val="21"/>
              </w:rPr>
            </w:pPr>
            <w:r>
              <w:rPr>
                <w:rFonts w:eastAsia="宋体"/>
                <w:color w:val="000000"/>
                <w:szCs w:val="21"/>
              </w:rPr>
              <w:t>考察学生对化合物基本性质的理解以及考察学生对多种化合物分离鉴别方法的理解。</w:t>
            </w:r>
          </w:p>
        </w:tc>
        <w:tc>
          <w:tcPr>
            <w:tcW w:w="912" w:type="dxa"/>
            <w:shd w:val="clear" w:color="auto" w:fill="FFFFFF"/>
            <w:noWrap w:val="0"/>
            <w:vAlign w:val="center"/>
          </w:tcPr>
          <w:p>
            <w:pPr>
              <w:pStyle w:val="14"/>
              <w:jc w:val="center"/>
              <w:rPr>
                <w:rFonts w:eastAsia="宋体"/>
                <w:color w:val="000000"/>
                <w:szCs w:val="21"/>
              </w:rPr>
            </w:pPr>
            <w:r>
              <w:rPr>
                <w:rFonts w:hint="eastAsia" w:eastAsia="宋体"/>
                <w:color w:val="000000"/>
                <w:szCs w:val="21"/>
              </w:rPr>
              <w:t>1</w:t>
            </w:r>
            <w:r>
              <w:rPr>
                <w:rFonts w:eastAsia="宋体"/>
                <w:color w:val="000000"/>
                <w:szCs w:val="21"/>
              </w:rPr>
              <w:t>0%</w:t>
            </w:r>
          </w:p>
        </w:tc>
        <w:tc>
          <w:tcPr>
            <w:tcW w:w="364"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043" w:type="dxa"/>
            <w:shd w:val="clear" w:color="auto" w:fill="auto"/>
            <w:noWrap w:val="0"/>
            <w:tcMar>
              <w:left w:w="57" w:type="dxa"/>
              <w:right w:w="57" w:type="dxa"/>
            </w:tcMar>
            <w:vAlign w:val="center"/>
          </w:tcPr>
          <w:p>
            <w:pPr>
              <w:pStyle w:val="14"/>
              <w:jc w:val="center"/>
              <w:rPr>
                <w:rFonts w:eastAsia="宋体"/>
              </w:rPr>
            </w:pPr>
            <w:r>
              <w:rPr>
                <w:rFonts w:eastAsia="宋体"/>
              </w:rPr>
              <w:t>合    计</w:t>
            </w:r>
          </w:p>
        </w:tc>
        <w:tc>
          <w:tcPr>
            <w:tcW w:w="715" w:type="dxa"/>
            <w:shd w:val="clear" w:color="auto" w:fill="auto"/>
            <w:noWrap w:val="0"/>
            <w:vAlign w:val="center"/>
          </w:tcPr>
          <w:p>
            <w:pPr>
              <w:pStyle w:val="14"/>
              <w:jc w:val="center"/>
              <w:rPr>
                <w:rFonts w:eastAsia="宋体"/>
              </w:rPr>
            </w:pPr>
            <w:r>
              <w:rPr>
                <w:rFonts w:eastAsia="宋体"/>
              </w:rPr>
              <w:t>100%</w:t>
            </w:r>
          </w:p>
        </w:tc>
        <w:tc>
          <w:tcPr>
            <w:tcW w:w="4820" w:type="dxa"/>
            <w:gridSpan w:val="2"/>
            <w:tcBorders>
              <w:left w:val="single" w:color="auto" w:sz="4" w:space="0"/>
            </w:tcBorders>
            <w:shd w:val="clear" w:color="auto" w:fill="auto"/>
            <w:noWrap w:val="0"/>
            <w:vAlign w:val="center"/>
          </w:tcPr>
          <w:p>
            <w:pPr>
              <w:pStyle w:val="14"/>
              <w:rPr>
                <w:rFonts w:eastAsia="宋体"/>
                <w:color w:val="000000"/>
                <w:szCs w:val="21"/>
              </w:rPr>
            </w:pPr>
          </w:p>
        </w:tc>
        <w:tc>
          <w:tcPr>
            <w:tcW w:w="912" w:type="dxa"/>
            <w:shd w:val="clear" w:color="auto" w:fill="FFFFFF"/>
            <w:noWrap w:val="0"/>
            <w:vAlign w:val="center"/>
          </w:tcPr>
          <w:p>
            <w:pPr>
              <w:pStyle w:val="14"/>
              <w:jc w:val="center"/>
              <w:rPr>
                <w:rFonts w:eastAsia="宋体"/>
                <w:color w:val="000000"/>
                <w:szCs w:val="21"/>
              </w:rPr>
            </w:pPr>
            <w:r>
              <w:rPr>
                <w:rFonts w:hint="eastAsia" w:eastAsia="宋体"/>
                <w:color w:val="000000"/>
                <w:szCs w:val="21"/>
              </w:rPr>
              <w:t>100%</w:t>
            </w:r>
          </w:p>
        </w:tc>
        <w:tc>
          <w:tcPr>
            <w:tcW w:w="364"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r>
    </w:tbl>
    <w:p>
      <w:pPr>
        <w:spacing w:line="360" w:lineRule="auto"/>
        <w:rPr>
          <w:sz w:val="24"/>
          <w:szCs w:val="22"/>
        </w:rPr>
      </w:pPr>
      <w:r>
        <w:rPr>
          <w:sz w:val="24"/>
          <w:szCs w:val="22"/>
        </w:rPr>
        <w:t>备注：1. 课程目标达成度计算方法如下：</w:t>
      </w:r>
    </w:p>
    <w:p>
      <w:pPr>
        <w:spacing w:line="360" w:lineRule="auto"/>
        <w:jc w:val="center"/>
        <w:rPr>
          <w:sz w:val="24"/>
          <w:szCs w:val="22"/>
        </w:rPr>
      </w:pPr>
      <w:r>
        <w:rPr>
          <w:position w:val="-26"/>
          <w:sz w:val="24"/>
          <w:szCs w:val="22"/>
        </w:rPr>
        <w:object>
          <v:shape id="_x0000_i1026" o:spt="75" type="#_x0000_t75" style="height:32.5pt;width:337pt;" o:ole="t" filled="f" o:preferrelative="t" stroked="f" coordsize="21600,21600">
            <v:path/>
            <v:fill on="f" focussize="0,0"/>
            <v:stroke on="f" joinstyle="miter"/>
            <v:imagedata r:id="rId20" o:title=""/>
            <o:lock v:ext="edit" aspectratio="t"/>
            <w10:wrap type="none"/>
            <w10:anchorlock/>
          </v:shape>
          <o:OLEObject Type="Embed" ProgID="Equation.DSMT4" ShapeID="_x0000_i1026" DrawAspect="Content" ObjectID="_1468075726" r:id="rId21">
            <o:LockedField>false</o:LockedField>
          </o:OLEObject>
        </w:object>
      </w:r>
    </w:p>
    <w:p>
      <w:pPr>
        <w:spacing w:line="360" w:lineRule="auto"/>
        <w:ind w:firstLine="720" w:firstLineChars="300"/>
        <w:rPr>
          <w:sz w:val="24"/>
          <w:szCs w:val="22"/>
        </w:rPr>
      </w:pPr>
      <w:r>
        <w:rPr>
          <w:sz w:val="24"/>
          <w:szCs w:val="22"/>
        </w:rPr>
        <w:t>2. 作业包括课后习题、案例分析、小作品、小设计</w:t>
      </w:r>
      <w:r>
        <w:rPr>
          <w:rFonts w:hint="eastAsia"/>
          <w:sz w:val="24"/>
          <w:szCs w:val="22"/>
        </w:rPr>
        <w:t>或</w:t>
      </w:r>
      <w:r>
        <w:rPr>
          <w:sz w:val="24"/>
          <w:szCs w:val="22"/>
        </w:rPr>
        <w:t>网络课堂学习等等。</w:t>
      </w:r>
    </w:p>
    <w:p>
      <w:pPr>
        <w:spacing w:line="360" w:lineRule="auto"/>
        <w:rPr>
          <w:b/>
          <w:sz w:val="28"/>
          <w:szCs w:val="28"/>
        </w:rPr>
      </w:pPr>
      <w:r>
        <w:rPr>
          <w:b/>
          <w:sz w:val="28"/>
          <w:szCs w:val="28"/>
        </w:rPr>
        <w:t>六、有关说明</w:t>
      </w:r>
    </w:p>
    <w:p>
      <w:pPr>
        <w:spacing w:line="360" w:lineRule="auto"/>
        <w:ind w:firstLine="482" w:firstLineChars="200"/>
        <w:rPr>
          <w:b/>
          <w:color w:val="000000"/>
          <w:sz w:val="24"/>
        </w:rPr>
      </w:pPr>
      <w:r>
        <w:rPr>
          <w:b/>
          <w:color w:val="000000"/>
          <w:sz w:val="24"/>
        </w:rPr>
        <w:t>（一）持续改进</w:t>
      </w:r>
    </w:p>
    <w:p>
      <w:pPr>
        <w:spacing w:line="360" w:lineRule="auto"/>
        <w:ind w:firstLine="480" w:firstLineChars="200"/>
        <w:rPr>
          <w:color w:val="000000"/>
          <w:sz w:val="24"/>
        </w:rPr>
      </w:pPr>
      <w:r>
        <w:rPr>
          <w:sz w:val="24"/>
          <w:szCs w:val="22"/>
        </w:rPr>
        <w:t>本课程根据学生作业、课堂讨论、平时考核情况和学生、教学督导等的反馈，及时对教学中的不足之处进行改进，并在下一轮课程教学中整改完善，确保相应毕业要求指标点达成。</w:t>
      </w:r>
    </w:p>
    <w:p>
      <w:pPr>
        <w:spacing w:line="360" w:lineRule="auto"/>
        <w:ind w:firstLine="482" w:firstLineChars="200"/>
        <w:rPr>
          <w:b/>
          <w:color w:val="000000"/>
          <w:sz w:val="24"/>
        </w:rPr>
      </w:pPr>
      <w:r>
        <w:rPr>
          <w:b/>
          <w:color w:val="000000"/>
          <w:sz w:val="24"/>
        </w:rPr>
        <w:t>（二）参考书目及学习资料</w:t>
      </w:r>
    </w:p>
    <w:p>
      <w:pPr>
        <w:spacing w:line="360" w:lineRule="exact"/>
        <w:ind w:firstLine="480" w:firstLineChars="200"/>
        <w:rPr>
          <w:sz w:val="24"/>
        </w:rPr>
      </w:pPr>
      <w:r>
        <w:rPr>
          <w:sz w:val="24"/>
        </w:rPr>
        <w:t>1、徐寿昌     有机化学      北京：高等教育出版社</w:t>
      </w:r>
    </w:p>
    <w:p>
      <w:pPr>
        <w:spacing w:line="360" w:lineRule="exact"/>
        <w:ind w:firstLine="480" w:firstLineChars="200"/>
        <w:rPr>
          <w:sz w:val="24"/>
        </w:rPr>
      </w:pPr>
      <w:r>
        <w:rPr>
          <w:sz w:val="24"/>
        </w:rPr>
        <w:t>2、袁履冰     有机化学      北京：高等教育出版社</w:t>
      </w:r>
    </w:p>
    <w:p>
      <w:pPr>
        <w:spacing w:line="360" w:lineRule="exact"/>
        <w:ind w:firstLine="480" w:firstLineChars="200"/>
        <w:rPr>
          <w:sz w:val="24"/>
        </w:rPr>
      </w:pPr>
      <w:r>
        <w:rPr>
          <w:sz w:val="24"/>
        </w:rPr>
        <w:t>3、邢其毅     基础有机化学  北京：高等教育出版社</w:t>
      </w:r>
    </w:p>
    <w:p>
      <w:pPr>
        <w:spacing w:line="360" w:lineRule="exact"/>
        <w:ind w:firstLine="480" w:firstLineChars="200"/>
        <w:rPr>
          <w:sz w:val="24"/>
        </w:rPr>
      </w:pPr>
      <w:r>
        <w:rPr>
          <w:sz w:val="24"/>
        </w:rPr>
        <w:t>4、杨悟子     有机化学－反应纵横、习题和解答  上海：华东理工大学出版社</w:t>
      </w:r>
    </w:p>
    <w:p>
      <w:pPr>
        <w:spacing w:line="360" w:lineRule="exact"/>
        <w:ind w:firstLine="480" w:firstLineChars="200"/>
        <w:rPr>
          <w:sz w:val="24"/>
        </w:rPr>
      </w:pPr>
      <w:r>
        <w:rPr>
          <w:sz w:val="24"/>
        </w:rPr>
        <w:t>5、Franics A. Carey  “Advanced Organic Chemistry”  USA:</w:t>
      </w:r>
      <w:r>
        <w:rPr>
          <w:i/>
          <w:sz w:val="24"/>
        </w:rPr>
        <w:t xml:space="preserve"> Springer</w:t>
      </w:r>
    </w:p>
    <w:p>
      <w:pPr>
        <w:spacing w:line="360" w:lineRule="exact"/>
        <w:ind w:firstLine="480" w:firstLineChars="200"/>
        <w:rPr>
          <w:sz w:val="24"/>
        </w:rPr>
      </w:pPr>
      <w:r>
        <w:rPr>
          <w:sz w:val="24"/>
        </w:rPr>
        <w:t xml:space="preserve">6、K. Peter C. Vollhardt  “Organic Chemistry Structure and Function”  USA:  </w:t>
      </w:r>
      <w:r>
        <w:rPr>
          <w:i/>
          <w:sz w:val="24"/>
        </w:rPr>
        <w:t>W. H. FREEMAN AND CO.</w:t>
      </w:r>
      <w:r>
        <w:rPr>
          <w:sz w:val="24"/>
        </w:rPr>
        <w:t xml:space="preserve"> </w:t>
      </w:r>
    </w:p>
    <w:p>
      <w:pPr>
        <w:autoSpaceDE w:val="0"/>
        <w:autoSpaceDN w:val="0"/>
        <w:adjustRightInd w:val="0"/>
        <w:spacing w:line="360" w:lineRule="auto"/>
        <w:ind w:firstLine="480" w:firstLineChars="200"/>
        <w:jc w:val="left"/>
        <w:rPr>
          <w:kern w:val="0"/>
          <w:sz w:val="24"/>
          <w:szCs w:val="21"/>
        </w:rPr>
      </w:pPr>
      <w:r>
        <w:rPr>
          <w:sz w:val="24"/>
        </w:rPr>
        <w:t xml:space="preserve">                     </w:t>
      </w:r>
    </w:p>
    <w:p>
      <w:pPr>
        <w:autoSpaceDE w:val="0"/>
        <w:autoSpaceDN w:val="0"/>
        <w:adjustRightInd w:val="0"/>
        <w:spacing w:line="360" w:lineRule="auto"/>
        <w:ind w:right="480"/>
        <w:jc w:val="right"/>
        <w:rPr>
          <w:kern w:val="0"/>
          <w:sz w:val="24"/>
          <w:szCs w:val="21"/>
        </w:rPr>
      </w:pPr>
      <w:r>
        <w:rPr>
          <w:kern w:val="0"/>
          <w:sz w:val="24"/>
          <w:szCs w:val="21"/>
        </w:rPr>
        <w:t>执笔人：孙潇楠</w:t>
      </w:r>
    </w:p>
    <w:p>
      <w:pPr>
        <w:wordWrap w:val="0"/>
        <w:autoSpaceDE w:val="0"/>
        <w:autoSpaceDN w:val="0"/>
        <w:adjustRightInd w:val="0"/>
        <w:spacing w:line="360" w:lineRule="auto"/>
        <w:ind w:right="480"/>
        <w:jc w:val="right"/>
        <w:rPr>
          <w:kern w:val="0"/>
          <w:sz w:val="24"/>
          <w:szCs w:val="21"/>
        </w:rPr>
      </w:pPr>
      <w:r>
        <w:rPr>
          <w:kern w:val="0"/>
          <w:sz w:val="24"/>
          <w:szCs w:val="21"/>
        </w:rPr>
        <w:t>审定人：魏雪姣</w:t>
      </w:r>
    </w:p>
    <w:p>
      <w:pPr>
        <w:wordWrap w:val="0"/>
        <w:autoSpaceDE w:val="0"/>
        <w:autoSpaceDN w:val="0"/>
        <w:adjustRightInd w:val="0"/>
        <w:spacing w:line="360" w:lineRule="auto"/>
        <w:ind w:right="480"/>
        <w:jc w:val="right"/>
        <w:rPr>
          <w:kern w:val="0"/>
          <w:sz w:val="24"/>
          <w:szCs w:val="21"/>
        </w:rPr>
      </w:pPr>
      <w:r>
        <w:rPr>
          <w:kern w:val="0"/>
          <w:sz w:val="24"/>
          <w:szCs w:val="21"/>
        </w:rPr>
        <w:t>审批人：吴泽颖</w:t>
      </w:r>
    </w:p>
    <w:p>
      <w:pPr>
        <w:autoSpaceDE w:val="0"/>
        <w:autoSpaceDN w:val="0"/>
        <w:adjustRightInd w:val="0"/>
        <w:spacing w:line="360" w:lineRule="auto"/>
        <w:ind w:right="480"/>
        <w:jc w:val="right"/>
        <w:rPr>
          <w:sz w:val="24"/>
        </w:rPr>
      </w:pPr>
      <w:r>
        <w:rPr>
          <w:kern w:val="0"/>
          <w:sz w:val="24"/>
          <w:szCs w:val="21"/>
        </w:rPr>
        <w:t>2021年10月20日</w:t>
      </w:r>
    </w:p>
    <w:p>
      <w:pPr>
        <w:spacing w:line="312" w:lineRule="auto"/>
        <w:jc w:val="center"/>
        <w:rPr>
          <w:rFonts w:hint="eastAsia"/>
          <w:b/>
          <w:bCs/>
          <w:sz w:val="30"/>
        </w:rPr>
      </w:pPr>
    </w:p>
    <w:p>
      <w:pPr>
        <w:spacing w:line="312" w:lineRule="auto"/>
        <w:jc w:val="center"/>
        <w:rPr>
          <w:rFonts w:hint="eastAsia"/>
          <w:b/>
          <w:bCs/>
          <w:sz w:val="30"/>
        </w:rPr>
      </w:pPr>
    </w:p>
    <w:p>
      <w:pPr>
        <w:spacing w:line="312" w:lineRule="auto"/>
        <w:jc w:val="center"/>
        <w:rPr>
          <w:rFonts w:hint="eastAsia"/>
          <w:b/>
          <w:bCs/>
          <w:sz w:val="30"/>
        </w:rPr>
      </w:pPr>
    </w:p>
    <w:p>
      <w:pPr>
        <w:spacing w:line="312" w:lineRule="auto"/>
        <w:jc w:val="center"/>
        <w:rPr>
          <w:rFonts w:hint="eastAsia"/>
          <w:b/>
          <w:bCs/>
          <w:sz w:val="30"/>
        </w:rPr>
      </w:pPr>
    </w:p>
    <w:p>
      <w:pPr>
        <w:spacing w:line="312" w:lineRule="auto"/>
        <w:jc w:val="center"/>
        <w:rPr>
          <w:rFonts w:hint="eastAsia"/>
          <w:b/>
          <w:bCs/>
          <w:sz w:val="30"/>
        </w:rPr>
      </w:pPr>
    </w:p>
    <w:p>
      <w:pPr>
        <w:spacing w:line="312" w:lineRule="auto"/>
        <w:jc w:val="center"/>
        <w:rPr>
          <w:rFonts w:hint="eastAsia"/>
          <w:b/>
          <w:bCs/>
          <w:sz w:val="30"/>
        </w:rPr>
      </w:pPr>
    </w:p>
    <w:p>
      <w:pPr>
        <w:pStyle w:val="3"/>
        <w:bidi w:val="0"/>
        <w:jc w:val="center"/>
        <w:rPr>
          <w:rFonts w:hint="eastAsia"/>
        </w:rPr>
      </w:pPr>
      <w:bookmarkStart w:id="19" w:name="_Toc15053"/>
      <w:bookmarkStart w:id="20" w:name="_Toc23279"/>
      <w:r>
        <w:rPr>
          <w:rFonts w:hint="eastAsia"/>
        </w:rPr>
        <w:t>有机化学实验</w:t>
      </w:r>
      <w:r>
        <w:t>教学大纲</w:t>
      </w:r>
      <w:bookmarkEnd w:id="19"/>
      <w:bookmarkEnd w:id="20"/>
    </w:p>
    <w:p>
      <w:pPr>
        <w:spacing w:line="312" w:lineRule="auto"/>
        <w:jc w:val="center"/>
        <w:rPr>
          <w:b/>
          <w:bCs/>
          <w:sz w:val="30"/>
        </w:rPr>
      </w:pPr>
      <w:r>
        <w:rPr>
          <w:b/>
          <w:bCs/>
          <w:sz w:val="30"/>
        </w:rPr>
        <w:t>（Organic Chemistry Experiments）</w:t>
      </w:r>
    </w:p>
    <w:p>
      <w:pPr>
        <w:spacing w:line="360" w:lineRule="auto"/>
        <w:ind w:firstLine="551" w:firstLineChars="196"/>
        <w:rPr>
          <w:rFonts w:hint="eastAsia"/>
          <w:b/>
          <w:sz w:val="28"/>
          <w:szCs w:val="28"/>
        </w:rPr>
      </w:pPr>
      <w:r>
        <w:rPr>
          <w:b/>
          <w:sz w:val="28"/>
          <w:szCs w:val="28"/>
        </w:rPr>
        <w:t>一、课程概况</w:t>
      </w:r>
    </w:p>
    <w:p>
      <w:pPr>
        <w:spacing w:line="360" w:lineRule="auto"/>
        <w:ind w:firstLine="482" w:firstLineChars="200"/>
        <w:rPr>
          <w:b/>
          <w:sz w:val="28"/>
          <w:szCs w:val="28"/>
        </w:rPr>
      </w:pPr>
      <w:r>
        <w:rPr>
          <w:rFonts w:ascii="宋体" w:hAnsi="宋体"/>
          <w:b/>
          <w:bCs/>
          <w:kern w:val="0"/>
          <w:sz w:val="24"/>
        </w:rPr>
        <w:t>课程代码</w:t>
      </w:r>
      <w:r>
        <w:rPr>
          <w:rFonts w:ascii="宋体" w:hAnsi="宋体"/>
          <w:b/>
          <w:kern w:val="0"/>
          <w:sz w:val="24"/>
        </w:rPr>
        <w:t>：</w:t>
      </w:r>
      <w:r>
        <w:rPr>
          <w:rFonts w:ascii="宋体" w:hAnsi="宋体"/>
          <w:kern w:val="0"/>
          <w:sz w:val="24"/>
        </w:rPr>
        <w:t>2501603</w:t>
      </w:r>
    </w:p>
    <w:p>
      <w:pPr>
        <w:spacing w:line="360" w:lineRule="auto"/>
        <w:ind w:firstLine="482" w:firstLineChars="200"/>
        <w:rPr>
          <w:rFonts w:ascii="宋体" w:hAnsi="宋体"/>
          <w:b/>
          <w:kern w:val="0"/>
          <w:sz w:val="24"/>
        </w:rPr>
      </w:pPr>
      <w:r>
        <w:rPr>
          <w:rFonts w:ascii="宋体" w:hAnsi="宋体"/>
          <w:b/>
          <w:bCs/>
          <w:kern w:val="0"/>
          <w:sz w:val="24"/>
        </w:rPr>
        <w:t>学    分</w:t>
      </w:r>
      <w:r>
        <w:rPr>
          <w:rFonts w:ascii="宋体" w:hAnsi="宋体"/>
          <w:b/>
          <w:kern w:val="0"/>
          <w:sz w:val="24"/>
        </w:rPr>
        <w:t>： 1</w:t>
      </w:r>
    </w:p>
    <w:p>
      <w:pPr>
        <w:spacing w:line="360" w:lineRule="auto"/>
        <w:ind w:firstLine="482" w:firstLineChars="200"/>
        <w:rPr>
          <w:rFonts w:ascii="宋体" w:hAnsi="宋体"/>
          <w:kern w:val="0"/>
          <w:sz w:val="24"/>
        </w:rPr>
      </w:pPr>
      <w:r>
        <w:rPr>
          <w:rFonts w:ascii="宋体" w:hAnsi="宋体"/>
          <w:b/>
          <w:bCs/>
          <w:kern w:val="0"/>
          <w:sz w:val="24"/>
        </w:rPr>
        <w:t>学    时</w:t>
      </w:r>
      <w:r>
        <w:rPr>
          <w:rFonts w:ascii="宋体" w:hAnsi="宋体"/>
          <w:b/>
          <w:kern w:val="0"/>
          <w:sz w:val="24"/>
        </w:rPr>
        <w:t>：</w:t>
      </w:r>
      <w:r>
        <w:rPr>
          <w:rFonts w:ascii="宋体" w:hAnsi="宋体"/>
          <w:kern w:val="0"/>
          <w:sz w:val="24"/>
        </w:rPr>
        <w:t xml:space="preserve"> 32（其中：讲授学时0</w:t>
      </w:r>
      <w:r>
        <w:rPr>
          <w:rFonts w:hint="eastAsia" w:ascii="宋体" w:hAnsi="宋体"/>
          <w:kern w:val="0"/>
          <w:sz w:val="24"/>
        </w:rPr>
        <w:t>，</w:t>
      </w:r>
      <w:r>
        <w:rPr>
          <w:rFonts w:ascii="宋体" w:hAnsi="宋体"/>
          <w:kern w:val="0"/>
          <w:sz w:val="24"/>
        </w:rPr>
        <w:t xml:space="preserve"> 实验学时32</w:t>
      </w:r>
      <w:r>
        <w:rPr>
          <w:rFonts w:hint="eastAsia" w:ascii="宋体" w:hAnsi="宋体"/>
          <w:kern w:val="0"/>
          <w:sz w:val="24"/>
        </w:rPr>
        <w:t>，</w:t>
      </w:r>
      <w:r>
        <w:rPr>
          <w:rFonts w:ascii="宋体" w:hAnsi="宋体"/>
          <w:kern w:val="0"/>
          <w:sz w:val="24"/>
        </w:rPr>
        <w:t>上机学时0 ）</w:t>
      </w:r>
    </w:p>
    <w:p>
      <w:pPr>
        <w:spacing w:line="360" w:lineRule="auto"/>
        <w:ind w:firstLine="482" w:firstLineChars="200"/>
        <w:rPr>
          <w:rFonts w:ascii="宋体" w:hAnsi="宋体"/>
          <w:b/>
          <w:bCs/>
          <w:kern w:val="0"/>
          <w:sz w:val="24"/>
        </w:rPr>
      </w:pPr>
      <w:r>
        <w:rPr>
          <w:rFonts w:ascii="宋体" w:hAnsi="宋体"/>
          <w:b/>
          <w:bCs/>
          <w:kern w:val="0"/>
          <w:sz w:val="24"/>
        </w:rPr>
        <w:t>先修课程</w:t>
      </w:r>
      <w:r>
        <w:rPr>
          <w:rFonts w:ascii="宋体" w:hAnsi="宋体"/>
          <w:b/>
          <w:kern w:val="0"/>
          <w:sz w:val="24"/>
        </w:rPr>
        <w:t>：</w:t>
      </w:r>
      <w:r>
        <w:rPr>
          <w:sz w:val="24"/>
        </w:rPr>
        <w:t>无机化学、无机化学实验、有机化学等</w:t>
      </w:r>
      <w:r>
        <w:rPr>
          <w:rFonts w:hint="eastAsia" w:ascii="宋体" w:hAnsi="宋体"/>
          <w:kern w:val="0"/>
          <w:sz w:val="24"/>
        </w:rPr>
        <w:t>。</w:t>
      </w:r>
    </w:p>
    <w:p>
      <w:pPr>
        <w:spacing w:line="360" w:lineRule="auto"/>
        <w:ind w:firstLine="482" w:firstLineChars="200"/>
        <w:rPr>
          <w:rFonts w:ascii="宋体" w:hAnsi="宋体"/>
          <w:kern w:val="0"/>
          <w:sz w:val="24"/>
        </w:rPr>
      </w:pPr>
      <w:r>
        <w:rPr>
          <w:rFonts w:ascii="宋体" w:hAnsi="宋体"/>
          <w:b/>
          <w:bCs/>
          <w:kern w:val="0"/>
          <w:sz w:val="24"/>
        </w:rPr>
        <w:t>适用专业</w:t>
      </w:r>
      <w:r>
        <w:rPr>
          <w:rFonts w:ascii="宋体" w:hAnsi="宋体"/>
          <w:b/>
          <w:kern w:val="0"/>
          <w:sz w:val="24"/>
        </w:rPr>
        <w:t>：</w:t>
      </w:r>
      <w:r>
        <w:rPr>
          <w:rFonts w:ascii="宋体" w:hAnsi="宋体"/>
          <w:kern w:val="0"/>
          <w:sz w:val="24"/>
        </w:rPr>
        <w:t xml:space="preserve"> </w:t>
      </w:r>
      <w:r>
        <w:rPr>
          <w:rFonts w:hint="eastAsia" w:ascii="宋体" w:hAnsi="宋体"/>
          <w:kern w:val="0"/>
          <w:sz w:val="24"/>
        </w:rPr>
        <w:t>化学工程与工艺、应用化学</w:t>
      </w:r>
      <w:r>
        <w:rPr>
          <w:rFonts w:ascii="宋体" w:hAnsi="宋体"/>
          <w:kern w:val="0"/>
          <w:sz w:val="24"/>
        </w:rPr>
        <w:t xml:space="preserve">                         </w:t>
      </w:r>
    </w:p>
    <w:p>
      <w:pPr>
        <w:spacing w:line="360" w:lineRule="auto"/>
        <w:ind w:firstLine="482" w:firstLineChars="200"/>
        <w:rPr>
          <w:rFonts w:ascii="宋体" w:hAnsi="宋体"/>
          <w:kern w:val="0"/>
          <w:sz w:val="24"/>
        </w:rPr>
      </w:pPr>
      <w:r>
        <w:rPr>
          <w:rFonts w:hint="eastAsia" w:ascii="宋体" w:hAnsi="宋体"/>
          <w:b/>
          <w:bCs/>
          <w:kern w:val="0"/>
          <w:sz w:val="24"/>
        </w:rPr>
        <w:t>建议</w:t>
      </w:r>
      <w:r>
        <w:rPr>
          <w:rFonts w:ascii="宋体" w:hAnsi="宋体"/>
          <w:b/>
          <w:bCs/>
          <w:kern w:val="0"/>
          <w:sz w:val="24"/>
        </w:rPr>
        <w:t>教材</w:t>
      </w:r>
      <w:r>
        <w:rPr>
          <w:rFonts w:ascii="宋体" w:hAnsi="宋体"/>
          <w:b/>
          <w:kern w:val="0"/>
          <w:sz w:val="24"/>
        </w:rPr>
        <w:t>：</w:t>
      </w:r>
      <w:r>
        <w:rPr>
          <w:rFonts w:ascii="宋体" w:hAnsi="宋体"/>
          <w:kern w:val="0"/>
          <w:sz w:val="24"/>
        </w:rPr>
        <w:t>《</w:t>
      </w:r>
      <w:r>
        <w:rPr>
          <w:rFonts w:hint="eastAsia" w:ascii="宋体" w:hAnsi="宋体"/>
          <w:bCs/>
          <w:kern w:val="0"/>
          <w:sz w:val="24"/>
        </w:rPr>
        <w:t>有机化学实验</w:t>
      </w:r>
      <w:r>
        <w:rPr>
          <w:rFonts w:ascii="宋体" w:hAnsi="宋体"/>
          <w:kern w:val="0"/>
          <w:sz w:val="24"/>
        </w:rPr>
        <w:t>》</w:t>
      </w:r>
      <w:r>
        <w:rPr>
          <w:kern w:val="0"/>
          <w:sz w:val="24"/>
        </w:rPr>
        <w:t>，</w:t>
      </w:r>
      <w:r>
        <w:rPr>
          <w:rFonts w:hint="eastAsia"/>
          <w:kern w:val="0"/>
          <w:sz w:val="24"/>
        </w:rPr>
        <w:t>王清廉等编</w:t>
      </w:r>
      <w:r>
        <w:rPr>
          <w:kern w:val="0"/>
          <w:sz w:val="24"/>
        </w:rPr>
        <w:t>，</w:t>
      </w:r>
      <w:r>
        <w:rPr>
          <w:rFonts w:hint="eastAsia"/>
          <w:kern w:val="0"/>
          <w:sz w:val="24"/>
        </w:rPr>
        <w:t>高等教育</w:t>
      </w:r>
      <w:r>
        <w:rPr>
          <w:kern w:val="0"/>
          <w:sz w:val="24"/>
        </w:rPr>
        <w:t>出版社，</w:t>
      </w:r>
      <w:r>
        <w:rPr>
          <w:rFonts w:hint="eastAsia"/>
          <w:kern w:val="0"/>
          <w:sz w:val="24"/>
        </w:rPr>
        <w:t>2</w:t>
      </w:r>
      <w:r>
        <w:rPr>
          <w:kern w:val="0"/>
          <w:sz w:val="24"/>
        </w:rPr>
        <w:t>017版</w:t>
      </w:r>
    </w:p>
    <w:p>
      <w:pPr>
        <w:spacing w:line="360" w:lineRule="auto"/>
        <w:ind w:firstLine="482" w:firstLineChars="200"/>
        <w:rPr>
          <w:rFonts w:hint="eastAsia" w:ascii="宋体" w:hAnsi="宋体"/>
          <w:kern w:val="0"/>
          <w:sz w:val="24"/>
        </w:rPr>
      </w:pPr>
      <w:r>
        <w:rPr>
          <w:rFonts w:ascii="宋体" w:hAnsi="宋体"/>
          <w:b/>
          <w:bCs/>
          <w:kern w:val="0"/>
          <w:sz w:val="24"/>
        </w:rPr>
        <w:t>课程归口：</w:t>
      </w:r>
      <w:r>
        <w:rPr>
          <w:rFonts w:hint="eastAsia" w:ascii="宋体" w:hAnsi="宋体"/>
          <w:bCs/>
          <w:kern w:val="0"/>
          <w:sz w:val="24"/>
        </w:rPr>
        <w:t>化工与材料</w:t>
      </w:r>
      <w:r>
        <w:rPr>
          <w:rFonts w:ascii="宋体" w:hAnsi="宋体"/>
          <w:kern w:val="0"/>
          <w:sz w:val="24"/>
        </w:rPr>
        <w:t>学院</w:t>
      </w:r>
    </w:p>
    <w:p>
      <w:pPr>
        <w:spacing w:line="400" w:lineRule="exact"/>
        <w:ind w:firstLine="482" w:firstLineChars="200"/>
        <w:rPr>
          <w:sz w:val="24"/>
        </w:rPr>
      </w:pPr>
      <w:r>
        <w:rPr>
          <w:rFonts w:hint="eastAsia" w:ascii="宋体" w:hAnsi="宋体"/>
          <w:b/>
          <w:bCs/>
          <w:kern w:val="0"/>
          <w:sz w:val="24"/>
        </w:rPr>
        <w:t>课程的性质与任务：</w:t>
      </w:r>
      <w:r>
        <w:rPr>
          <w:sz w:val="24"/>
        </w:rPr>
        <w:t>有机合成实验是化学工程与工艺专业有机化工方向的一门重要的实践性教学课程。本课程的目的和任务是在前期有机化学实验的基础上，通过对合成实验安全、基本操作以及氯化、磺化、重排、氧化还原等单元操作的部分实验项目，使学生训练并掌握有机合成实验的基本技能，学会正确选择有机化合物的合成路线、分离提纯与分析鉴定的方法对较复杂医药、精细化学品中间体的合成、分离、提纯和分析鉴定。有机化学实验也是培养学生理论联系实际，实事求是，严格认真的科学态度与良好的工作习惯的一个重要环节。</w:t>
      </w:r>
    </w:p>
    <w:p>
      <w:pPr>
        <w:autoSpaceDE w:val="0"/>
        <w:autoSpaceDN w:val="0"/>
        <w:adjustRightInd w:val="0"/>
        <w:spacing w:line="360" w:lineRule="auto"/>
        <w:ind w:firstLine="480" w:firstLineChars="200"/>
        <w:jc w:val="left"/>
        <w:rPr>
          <w:sz w:val="24"/>
        </w:rPr>
      </w:pPr>
    </w:p>
    <w:p>
      <w:pPr>
        <w:spacing w:line="360" w:lineRule="auto"/>
        <w:ind w:firstLine="562" w:firstLineChars="200"/>
        <w:rPr>
          <w:rFonts w:hint="eastAsia"/>
          <w:b/>
          <w:sz w:val="28"/>
          <w:szCs w:val="28"/>
        </w:rPr>
      </w:pPr>
      <w:r>
        <w:rPr>
          <w:rFonts w:hint="eastAsia"/>
          <w:b/>
          <w:sz w:val="28"/>
          <w:szCs w:val="28"/>
        </w:rPr>
        <w:t>二</w:t>
      </w:r>
      <w:r>
        <w:rPr>
          <w:b/>
          <w:sz w:val="28"/>
          <w:szCs w:val="28"/>
        </w:rPr>
        <w:t>、</w:t>
      </w:r>
      <w:r>
        <w:rPr>
          <w:rFonts w:hint="eastAsia"/>
          <w:b/>
          <w:sz w:val="28"/>
          <w:szCs w:val="28"/>
        </w:rPr>
        <w:t>课程目标及对毕业要求观测点的支撑</w:t>
      </w:r>
    </w:p>
    <w:tbl>
      <w:tblPr>
        <w:tblStyle w:val="1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118"/>
        <w:gridCol w:w="2292"/>
        <w:gridCol w:w="3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38" w:type="dxa"/>
            <w:noWrap/>
            <w:vAlign w:val="center"/>
          </w:tcPr>
          <w:p>
            <w:pPr>
              <w:widowControl/>
              <w:jc w:val="center"/>
              <w:rPr>
                <w:b/>
                <w:bCs/>
                <w:kern w:val="0"/>
                <w:szCs w:val="21"/>
              </w:rPr>
            </w:pPr>
            <w:r>
              <w:rPr>
                <w:b/>
                <w:bCs/>
                <w:kern w:val="0"/>
                <w:szCs w:val="21"/>
              </w:rPr>
              <w:t>序号</w:t>
            </w:r>
          </w:p>
        </w:tc>
        <w:tc>
          <w:tcPr>
            <w:tcW w:w="3118" w:type="dxa"/>
            <w:noWrap/>
            <w:vAlign w:val="center"/>
          </w:tcPr>
          <w:p>
            <w:pPr>
              <w:widowControl/>
              <w:jc w:val="center"/>
              <w:rPr>
                <w:rFonts w:hint="eastAsia"/>
                <w:b/>
                <w:bCs/>
                <w:kern w:val="0"/>
                <w:szCs w:val="21"/>
              </w:rPr>
            </w:pPr>
            <w:r>
              <w:rPr>
                <w:b/>
                <w:bCs/>
                <w:kern w:val="0"/>
                <w:szCs w:val="21"/>
              </w:rPr>
              <w:t>课程目标</w:t>
            </w:r>
          </w:p>
        </w:tc>
        <w:tc>
          <w:tcPr>
            <w:tcW w:w="2292" w:type="dxa"/>
            <w:noWrap/>
            <w:vAlign w:val="center"/>
          </w:tcPr>
          <w:p>
            <w:pPr>
              <w:widowControl/>
              <w:jc w:val="center"/>
              <w:rPr>
                <w:b/>
                <w:bCs/>
                <w:kern w:val="0"/>
                <w:szCs w:val="21"/>
              </w:rPr>
            </w:pPr>
            <w:r>
              <w:rPr>
                <w:b/>
                <w:bCs/>
                <w:kern w:val="0"/>
                <w:szCs w:val="21"/>
              </w:rPr>
              <w:t>支撑毕业要求观测点</w:t>
            </w:r>
          </w:p>
        </w:tc>
        <w:tc>
          <w:tcPr>
            <w:tcW w:w="3066" w:type="dxa"/>
            <w:noWrap/>
            <w:vAlign w:val="center"/>
          </w:tcPr>
          <w:p>
            <w:pPr>
              <w:widowControl/>
              <w:jc w:val="center"/>
              <w:rPr>
                <w:rFonts w:hint="eastAsia"/>
                <w:b/>
                <w:bCs/>
                <w:kern w:val="0"/>
                <w:szCs w:val="21"/>
              </w:rPr>
            </w:pPr>
            <w:r>
              <w:rPr>
                <w:b/>
                <w:bCs/>
                <w:kern w:val="0"/>
                <w:szCs w:val="21"/>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38" w:type="dxa"/>
            <w:noWrap/>
            <w:vAlign w:val="center"/>
          </w:tcPr>
          <w:p>
            <w:pPr>
              <w:widowControl/>
              <w:jc w:val="center"/>
              <w:rPr>
                <w:kern w:val="0"/>
                <w:szCs w:val="21"/>
              </w:rPr>
            </w:pPr>
            <w:r>
              <w:rPr>
                <w:kern w:val="0"/>
                <w:szCs w:val="21"/>
              </w:rPr>
              <w:t>1</w:t>
            </w:r>
          </w:p>
        </w:tc>
        <w:tc>
          <w:tcPr>
            <w:tcW w:w="3118" w:type="dxa"/>
            <w:noWrap/>
            <w:vAlign w:val="center"/>
          </w:tcPr>
          <w:p>
            <w:pPr>
              <w:rPr>
                <w:kern w:val="0"/>
                <w:szCs w:val="21"/>
              </w:rPr>
            </w:pPr>
            <w:r>
              <w:rPr>
                <w:b/>
                <w:kern w:val="0"/>
                <w:szCs w:val="21"/>
              </w:rPr>
              <w:t>目标</w:t>
            </w:r>
            <w:r>
              <w:rPr>
                <w:rFonts w:hint="eastAsia"/>
                <w:b/>
                <w:kern w:val="0"/>
                <w:szCs w:val="21"/>
              </w:rPr>
              <w:t>1</w:t>
            </w:r>
            <w:r>
              <w:rPr>
                <w:b/>
                <w:kern w:val="0"/>
                <w:szCs w:val="21"/>
              </w:rPr>
              <w:t>：</w:t>
            </w:r>
            <w:r>
              <w:rPr>
                <w:rFonts w:hint="eastAsia"/>
                <w:sz w:val="24"/>
              </w:rPr>
              <w:t>培养学生的动手、观察以及理论联系实际的能力以及具备化学工程师的基本意识和能力</w:t>
            </w:r>
            <w:r>
              <w:rPr>
                <w:kern w:val="0"/>
                <w:szCs w:val="21"/>
              </w:rPr>
              <w:t>。</w:t>
            </w:r>
          </w:p>
        </w:tc>
        <w:tc>
          <w:tcPr>
            <w:tcW w:w="2292" w:type="dxa"/>
            <w:noWrap/>
            <w:vAlign w:val="center"/>
          </w:tcPr>
          <w:p>
            <w:pPr>
              <w:widowControl/>
              <w:rPr>
                <w:kern w:val="0"/>
                <w:szCs w:val="21"/>
              </w:rPr>
            </w:pPr>
            <w:r>
              <w:rPr>
                <w:b/>
                <w:szCs w:val="21"/>
              </w:rPr>
              <w:t>观测点</w:t>
            </w:r>
            <w:r>
              <w:rPr>
                <w:rFonts w:hint="eastAsia"/>
                <w:b/>
                <w:szCs w:val="21"/>
              </w:rPr>
              <w:t>4</w:t>
            </w:r>
            <w:r>
              <w:rPr>
                <w:b/>
                <w:szCs w:val="21"/>
              </w:rPr>
              <w:t>.</w:t>
            </w:r>
            <w:r>
              <w:rPr>
                <w:rFonts w:hint="eastAsia"/>
                <w:b/>
                <w:szCs w:val="21"/>
              </w:rPr>
              <w:t>1</w:t>
            </w:r>
            <w:r>
              <w:rPr>
                <w:szCs w:val="21"/>
              </w:rPr>
              <w:t>：</w:t>
            </w:r>
            <w:r>
              <w:rPr>
                <w:rFonts w:hint="eastAsia"/>
                <w:szCs w:val="21"/>
              </w:rPr>
              <w:t>能够比较和选择研究路线，设计实验方案。</w:t>
            </w:r>
          </w:p>
        </w:tc>
        <w:tc>
          <w:tcPr>
            <w:tcW w:w="3066" w:type="dxa"/>
            <w:noWrap/>
            <w:vAlign w:val="center"/>
          </w:tcPr>
          <w:p>
            <w:pPr>
              <w:widowControl/>
              <w:rPr>
                <w:kern w:val="0"/>
                <w:szCs w:val="21"/>
              </w:rPr>
            </w:pPr>
            <w:r>
              <w:rPr>
                <w:b/>
                <w:szCs w:val="21"/>
              </w:rPr>
              <w:t>毕业要求</w:t>
            </w:r>
            <w:r>
              <w:rPr>
                <w:rFonts w:hint="eastAsia"/>
                <w:b/>
                <w:szCs w:val="21"/>
              </w:rPr>
              <w:t>4</w:t>
            </w:r>
            <w:r>
              <w:rPr>
                <w:color w:val="000000"/>
                <w:szCs w:val="22"/>
              </w:rPr>
              <w:t>：能够基于科学原理并采用科学方法对</w:t>
            </w:r>
            <w:r>
              <w:rPr>
                <w:szCs w:val="21"/>
              </w:rPr>
              <w:t>应用化学领域</w:t>
            </w:r>
            <w:r>
              <w:rPr>
                <w:color w:val="000000"/>
                <w:szCs w:val="21"/>
              </w:rPr>
              <w:t>复杂工</w:t>
            </w:r>
            <w:r>
              <w:rPr>
                <w:color w:val="000000"/>
                <w:szCs w:val="22"/>
              </w:rPr>
              <w:t>程问题进行研究，包括设计实验、分析与解释数据，并通过信息综合得到合理有效的结论。</w:t>
            </w:r>
            <w:r>
              <w:rPr>
                <w:rFonts w:hint="eastAsia"/>
                <w:szCs w:val="21"/>
              </w:rPr>
              <w:t>。</w:t>
            </w:r>
          </w:p>
        </w:tc>
      </w:tr>
    </w:tbl>
    <w:p>
      <w:pPr>
        <w:spacing w:line="360" w:lineRule="auto"/>
        <w:ind w:firstLine="562" w:firstLineChars="200"/>
        <w:rPr>
          <w:rFonts w:hint="eastAsia"/>
          <w:b/>
          <w:sz w:val="28"/>
          <w:szCs w:val="28"/>
        </w:rPr>
      </w:pPr>
    </w:p>
    <w:p>
      <w:pPr>
        <w:spacing w:line="360" w:lineRule="auto"/>
        <w:ind w:firstLine="562" w:firstLineChars="200"/>
        <w:rPr>
          <w:b/>
          <w:sz w:val="28"/>
          <w:szCs w:val="28"/>
        </w:rPr>
      </w:pPr>
      <w:r>
        <w:rPr>
          <w:rFonts w:hint="eastAsia"/>
          <w:b/>
          <w:sz w:val="28"/>
          <w:szCs w:val="28"/>
        </w:rPr>
        <w:t>三</w:t>
      </w:r>
      <w:r>
        <w:rPr>
          <w:b/>
          <w:sz w:val="28"/>
          <w:szCs w:val="28"/>
        </w:rPr>
        <w:t>、课程内容及要求</w:t>
      </w:r>
    </w:p>
    <w:p>
      <w:pPr>
        <w:spacing w:line="360" w:lineRule="auto"/>
        <w:ind w:firstLine="482" w:firstLineChars="200"/>
        <w:rPr>
          <w:rFonts w:hint="eastAsia"/>
          <w:b/>
          <w:color w:val="000000"/>
          <w:sz w:val="24"/>
        </w:rPr>
      </w:pPr>
      <w:r>
        <w:rPr>
          <w:rFonts w:hint="eastAsia"/>
          <w:b/>
          <w:color w:val="000000"/>
          <w:sz w:val="24"/>
        </w:rPr>
        <w:t>（一）设计内容及总体要求</w:t>
      </w:r>
    </w:p>
    <w:p>
      <w:pPr>
        <w:spacing w:line="400" w:lineRule="exact"/>
        <w:ind w:firstLine="480" w:firstLineChars="200"/>
        <w:rPr>
          <w:rFonts w:hint="eastAsia"/>
          <w:sz w:val="24"/>
        </w:rPr>
      </w:pPr>
      <w:r>
        <w:rPr>
          <w:sz w:val="24"/>
        </w:rPr>
        <w:t>实验基础知识教育和常见玻璃仪器的识别。</w:t>
      </w:r>
    </w:p>
    <w:p>
      <w:pPr>
        <w:spacing w:line="400" w:lineRule="exact"/>
        <w:ind w:firstLine="480" w:firstLineChars="200"/>
        <w:rPr>
          <w:sz w:val="24"/>
        </w:rPr>
      </w:pPr>
      <w:r>
        <w:rPr>
          <w:sz w:val="24"/>
        </w:rPr>
        <w:t>掌握有机化合物熔点测定原理和方法；有机化合物蒸馏原理和沸点测定方法；重结晶的原理和提纯固体化合物的操作；</w:t>
      </w:r>
      <w:r>
        <w:rPr>
          <w:rFonts w:hint="eastAsia"/>
          <w:sz w:val="24"/>
        </w:rPr>
        <w:t>柱色谱分离的原理和</w:t>
      </w:r>
      <w:r>
        <w:rPr>
          <w:sz w:val="24"/>
        </w:rPr>
        <w:t>操作实现方法</w:t>
      </w:r>
      <w:r>
        <w:rPr>
          <w:rFonts w:hint="eastAsia"/>
          <w:sz w:val="24"/>
        </w:rPr>
        <w:t>；</w:t>
      </w:r>
      <w:r>
        <w:rPr>
          <w:sz w:val="24"/>
        </w:rPr>
        <w:t>卤代烃的制备原理和操作实现方法；醇类化合物的制备原理和操作实现方法；酮类化合物的制备原理和操作实现方法；酯类化合物的制备原理和操作实现方法。</w:t>
      </w:r>
    </w:p>
    <w:p>
      <w:pPr>
        <w:spacing w:line="400" w:lineRule="exact"/>
        <w:ind w:firstLine="480" w:firstLineChars="200"/>
        <w:rPr>
          <w:sz w:val="24"/>
        </w:rPr>
      </w:pPr>
      <w:r>
        <w:rPr>
          <w:sz w:val="24"/>
        </w:rPr>
        <w:t>掌握各类有机化合物官能的检测方法和操作。</w:t>
      </w:r>
    </w:p>
    <w:p>
      <w:pPr>
        <w:spacing w:line="360" w:lineRule="auto"/>
        <w:ind w:firstLine="241" w:firstLineChars="100"/>
        <w:rPr>
          <w:color w:val="000000"/>
          <w:sz w:val="24"/>
        </w:rPr>
      </w:pPr>
      <w:r>
        <w:rPr>
          <w:rFonts w:hint="eastAsia"/>
          <w:b/>
          <w:color w:val="000000"/>
          <w:sz w:val="24"/>
        </w:rPr>
        <w:t>（二）教学内容与</w:t>
      </w:r>
      <w:r>
        <w:rPr>
          <w:b/>
          <w:color w:val="000000"/>
          <w:sz w:val="24"/>
        </w:rPr>
        <w:t>课程目标的</w:t>
      </w:r>
      <w:r>
        <w:rPr>
          <w:rFonts w:hint="eastAsia"/>
          <w:b/>
          <w:color w:val="000000"/>
          <w:sz w:val="24"/>
        </w:rPr>
        <w:t>对应关系及</w:t>
      </w:r>
      <w:r>
        <w:rPr>
          <w:b/>
          <w:color w:val="000000"/>
          <w:sz w:val="24"/>
        </w:rPr>
        <w:t>学时分配</w:t>
      </w:r>
    </w:p>
    <w:tbl>
      <w:tblPr>
        <w:tblStyle w:val="10"/>
        <w:tblW w:w="9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2632"/>
        <w:gridCol w:w="1319"/>
        <w:gridCol w:w="1843"/>
        <w:gridCol w:w="699"/>
        <w:gridCol w:w="975"/>
        <w:gridCol w:w="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b/>
                <w:bCs/>
                <w:szCs w:val="21"/>
              </w:rPr>
            </w:pPr>
            <w:r>
              <w:rPr>
                <w:b/>
                <w:bCs/>
                <w:szCs w:val="21"/>
              </w:rPr>
              <w:t>序号</w:t>
            </w:r>
          </w:p>
        </w:tc>
        <w:tc>
          <w:tcPr>
            <w:tcW w:w="2632" w:type="dxa"/>
            <w:noWrap w:val="0"/>
            <w:vAlign w:val="center"/>
          </w:tcPr>
          <w:p>
            <w:pPr>
              <w:jc w:val="center"/>
              <w:rPr>
                <w:b/>
                <w:bCs/>
                <w:szCs w:val="21"/>
              </w:rPr>
            </w:pPr>
            <w:r>
              <w:rPr>
                <w:b/>
                <w:bCs/>
                <w:szCs w:val="21"/>
              </w:rPr>
              <w:t>教学内容</w:t>
            </w:r>
          </w:p>
        </w:tc>
        <w:tc>
          <w:tcPr>
            <w:tcW w:w="1319" w:type="dxa"/>
            <w:noWrap w:val="0"/>
            <w:vAlign w:val="center"/>
          </w:tcPr>
          <w:p>
            <w:pPr>
              <w:jc w:val="center"/>
              <w:rPr>
                <w:rFonts w:hint="eastAsia"/>
                <w:b/>
                <w:bCs/>
                <w:szCs w:val="21"/>
              </w:rPr>
            </w:pPr>
            <w:r>
              <w:rPr>
                <w:b/>
                <w:bCs/>
                <w:szCs w:val="21"/>
              </w:rPr>
              <w:t>思政元素</w:t>
            </w:r>
          </w:p>
        </w:tc>
        <w:tc>
          <w:tcPr>
            <w:tcW w:w="1843" w:type="dxa"/>
            <w:noWrap w:val="0"/>
            <w:vAlign w:val="center"/>
          </w:tcPr>
          <w:p>
            <w:pPr>
              <w:jc w:val="center"/>
              <w:rPr>
                <w:rFonts w:hint="eastAsia"/>
                <w:b/>
                <w:bCs/>
                <w:szCs w:val="21"/>
              </w:rPr>
            </w:pPr>
            <w:r>
              <w:rPr>
                <w:b/>
                <w:bCs/>
                <w:szCs w:val="21"/>
              </w:rPr>
              <w:t>预期学习成果</w:t>
            </w:r>
          </w:p>
        </w:tc>
        <w:tc>
          <w:tcPr>
            <w:tcW w:w="699" w:type="dxa"/>
            <w:noWrap w:val="0"/>
            <w:vAlign w:val="center"/>
          </w:tcPr>
          <w:p>
            <w:pPr>
              <w:jc w:val="center"/>
              <w:rPr>
                <w:b/>
                <w:bCs/>
                <w:szCs w:val="21"/>
              </w:rPr>
            </w:pPr>
            <w:r>
              <w:rPr>
                <w:b/>
                <w:bCs/>
                <w:szCs w:val="21"/>
              </w:rPr>
              <w:t>教学学时</w:t>
            </w:r>
          </w:p>
        </w:tc>
        <w:tc>
          <w:tcPr>
            <w:tcW w:w="975" w:type="dxa"/>
            <w:noWrap w:val="0"/>
            <w:vAlign w:val="center"/>
          </w:tcPr>
          <w:p>
            <w:pPr>
              <w:jc w:val="center"/>
              <w:rPr>
                <w:b/>
                <w:bCs/>
                <w:szCs w:val="21"/>
              </w:rPr>
            </w:pPr>
            <w:r>
              <w:rPr>
                <w:b/>
                <w:bCs/>
                <w:szCs w:val="21"/>
              </w:rPr>
              <w:t>教学方式</w:t>
            </w:r>
          </w:p>
        </w:tc>
        <w:tc>
          <w:tcPr>
            <w:tcW w:w="925" w:type="dxa"/>
            <w:noWrap w:val="0"/>
            <w:vAlign w:val="center"/>
          </w:tcPr>
          <w:p>
            <w:pPr>
              <w:jc w:val="center"/>
              <w:rPr>
                <w:b/>
                <w:bCs/>
                <w:szCs w:val="21"/>
              </w:rPr>
            </w:pPr>
            <w:r>
              <w:rPr>
                <w:b/>
                <w:bCs/>
                <w:szCs w:val="21"/>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szCs w:val="21"/>
              </w:rPr>
            </w:pPr>
            <w:r>
              <w:rPr>
                <w:szCs w:val="21"/>
              </w:rPr>
              <w:t>1</w:t>
            </w:r>
          </w:p>
        </w:tc>
        <w:tc>
          <w:tcPr>
            <w:tcW w:w="2632" w:type="dxa"/>
            <w:noWrap w:val="0"/>
            <w:vAlign w:val="center"/>
          </w:tcPr>
          <w:p>
            <w:pPr>
              <w:rPr>
                <w:b/>
                <w:kern w:val="0"/>
                <w:szCs w:val="21"/>
              </w:rPr>
            </w:pPr>
            <w:r>
              <w:rPr>
                <w:rFonts w:hint="eastAsia"/>
                <w:b/>
                <w:kern w:val="0"/>
                <w:szCs w:val="21"/>
              </w:rPr>
              <w:t>实验基础知识教育和常见玻璃仪器的识别</w:t>
            </w:r>
          </w:p>
          <w:p>
            <w:pPr>
              <w:rPr>
                <w:rFonts w:hint="eastAsia"/>
                <w:kern w:val="0"/>
                <w:szCs w:val="21"/>
              </w:rPr>
            </w:pPr>
            <w:r>
              <w:rPr>
                <w:rFonts w:hint="eastAsia"/>
                <w:kern w:val="0"/>
                <w:szCs w:val="21"/>
              </w:rPr>
              <w:t>内容：有机化学实验的一般知识；</w:t>
            </w:r>
          </w:p>
          <w:p>
            <w:pPr>
              <w:rPr>
                <w:rFonts w:hint="eastAsia"/>
                <w:kern w:val="0"/>
                <w:szCs w:val="21"/>
              </w:rPr>
            </w:pPr>
            <w:r>
              <w:rPr>
                <w:rFonts w:hint="eastAsia"/>
                <w:kern w:val="0"/>
                <w:szCs w:val="21"/>
              </w:rPr>
              <w:t>要求：1、使学生明白进入有机化学实验学习，必须阅读有机化学实验的一般知识的内容及安全实验是有机化学实验的基本要求；</w:t>
            </w:r>
          </w:p>
          <w:p>
            <w:pPr>
              <w:rPr>
                <w:rFonts w:hint="eastAsia"/>
                <w:kern w:val="0"/>
                <w:szCs w:val="21"/>
              </w:rPr>
            </w:pPr>
            <w:r>
              <w:rPr>
                <w:rFonts w:hint="eastAsia"/>
                <w:kern w:val="0"/>
                <w:szCs w:val="21"/>
              </w:rPr>
              <w:t>2、养成正确观察和分析实验现象的习惯；</w:t>
            </w:r>
          </w:p>
          <w:p>
            <w:pPr>
              <w:rPr>
                <w:kern w:val="0"/>
                <w:szCs w:val="21"/>
              </w:rPr>
            </w:pPr>
            <w:r>
              <w:rPr>
                <w:rFonts w:hint="eastAsia"/>
                <w:kern w:val="0"/>
                <w:szCs w:val="21"/>
              </w:rPr>
              <w:t>3、培养学生良好的实验安全、卫生、环保的理念；</w:t>
            </w:r>
          </w:p>
          <w:p>
            <w:pPr>
              <w:rPr>
                <w:rFonts w:hint="eastAsia"/>
                <w:kern w:val="0"/>
                <w:szCs w:val="21"/>
              </w:rPr>
            </w:pPr>
          </w:p>
        </w:tc>
        <w:tc>
          <w:tcPr>
            <w:tcW w:w="1319" w:type="dxa"/>
            <w:noWrap w:val="0"/>
            <w:vAlign w:val="center"/>
          </w:tcPr>
          <w:p>
            <w:pPr>
              <w:autoSpaceDE w:val="0"/>
              <w:autoSpaceDN w:val="0"/>
              <w:adjustRightInd w:val="0"/>
              <w:rPr>
                <w:kern w:val="0"/>
                <w:szCs w:val="21"/>
              </w:rPr>
            </w:pPr>
            <w:r>
              <w:rPr>
                <w:rFonts w:hint="eastAsia"/>
                <w:kern w:val="0"/>
                <w:szCs w:val="21"/>
              </w:rPr>
              <w:t>进行实验室安全教育，使学生树立安全、环保的实验意识。</w:t>
            </w:r>
          </w:p>
        </w:tc>
        <w:tc>
          <w:tcPr>
            <w:tcW w:w="1843" w:type="dxa"/>
            <w:noWrap w:val="0"/>
            <w:vAlign w:val="center"/>
          </w:tcPr>
          <w:p>
            <w:pPr>
              <w:rPr>
                <w:kern w:val="0"/>
                <w:szCs w:val="21"/>
              </w:rPr>
            </w:pPr>
            <w:r>
              <w:rPr>
                <w:rFonts w:hint="eastAsia"/>
                <w:kern w:val="0"/>
                <w:szCs w:val="21"/>
              </w:rPr>
              <w:t>养成正确观察和分析实验现象的习惯；培养学生良好的实验安全、卫生、环保的理念。</w:t>
            </w:r>
          </w:p>
        </w:tc>
        <w:tc>
          <w:tcPr>
            <w:tcW w:w="699" w:type="dxa"/>
            <w:noWrap w:val="0"/>
            <w:vAlign w:val="center"/>
          </w:tcPr>
          <w:p>
            <w:pPr>
              <w:jc w:val="center"/>
              <w:rPr>
                <w:szCs w:val="21"/>
              </w:rPr>
            </w:pPr>
            <w:r>
              <w:rPr>
                <w:rFonts w:hint="eastAsia"/>
                <w:szCs w:val="21"/>
              </w:rPr>
              <w:t>3</w:t>
            </w:r>
          </w:p>
        </w:tc>
        <w:tc>
          <w:tcPr>
            <w:tcW w:w="975" w:type="dxa"/>
            <w:noWrap w:val="0"/>
            <w:vAlign w:val="center"/>
          </w:tcPr>
          <w:p>
            <w:pPr>
              <w:rPr>
                <w:szCs w:val="21"/>
              </w:rPr>
            </w:pPr>
            <w:r>
              <w:rPr>
                <w:szCs w:val="21"/>
              </w:rPr>
              <w:t>讲授/</w:t>
            </w:r>
            <w:r>
              <w:rPr>
                <w:rFonts w:hint="eastAsia"/>
                <w:szCs w:val="21"/>
              </w:rPr>
              <w:t>实验</w:t>
            </w:r>
            <w:r>
              <w:rPr>
                <w:szCs w:val="21"/>
              </w:rPr>
              <w:t>等</w:t>
            </w:r>
          </w:p>
        </w:tc>
        <w:tc>
          <w:tcPr>
            <w:tcW w:w="925" w:type="dxa"/>
            <w:noWrap w:val="0"/>
            <w:vAlign w:val="center"/>
          </w:tcPr>
          <w:p>
            <w:pPr>
              <w:jc w:val="center"/>
              <w:rPr>
                <w:szCs w:val="21"/>
              </w:rPr>
            </w:pPr>
            <w:r>
              <w:rPr>
                <w:b/>
                <w:kern w:val="0"/>
                <w:szCs w:val="21"/>
              </w:rPr>
              <w:t>目标</w:t>
            </w:r>
            <w:r>
              <w:rPr>
                <w:rFonts w:hint="eastAsia"/>
                <w:b/>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szCs w:val="21"/>
              </w:rPr>
            </w:pPr>
            <w:r>
              <w:rPr>
                <w:szCs w:val="21"/>
              </w:rPr>
              <w:t>2</w:t>
            </w:r>
          </w:p>
        </w:tc>
        <w:tc>
          <w:tcPr>
            <w:tcW w:w="2632" w:type="dxa"/>
            <w:noWrap w:val="0"/>
            <w:vAlign w:val="center"/>
          </w:tcPr>
          <w:p>
            <w:pPr>
              <w:rPr>
                <w:b/>
                <w:kern w:val="0"/>
                <w:szCs w:val="21"/>
              </w:rPr>
            </w:pPr>
            <w:r>
              <w:rPr>
                <w:rFonts w:hint="eastAsia"/>
                <w:b/>
                <w:kern w:val="0"/>
                <w:szCs w:val="21"/>
              </w:rPr>
              <w:t>有机化合物熔点测定原理和方法</w:t>
            </w:r>
          </w:p>
          <w:p>
            <w:pPr>
              <w:rPr>
                <w:rFonts w:hint="eastAsia"/>
                <w:kern w:val="0"/>
                <w:szCs w:val="21"/>
              </w:rPr>
            </w:pPr>
            <w:r>
              <w:rPr>
                <w:rFonts w:hint="eastAsia"/>
                <w:kern w:val="0"/>
                <w:szCs w:val="21"/>
              </w:rPr>
              <w:t>内容：熔点仪的使用和测定原理</w:t>
            </w:r>
          </w:p>
          <w:p>
            <w:pPr>
              <w:rPr>
                <w:rFonts w:hint="eastAsia"/>
                <w:kern w:val="0"/>
                <w:szCs w:val="21"/>
              </w:rPr>
            </w:pPr>
            <w:r>
              <w:rPr>
                <w:rFonts w:hint="eastAsia"/>
                <w:kern w:val="0"/>
                <w:szCs w:val="21"/>
              </w:rPr>
              <w:t>要求：1、掌握熔点测定的原理和意义；</w:t>
            </w:r>
          </w:p>
          <w:p>
            <w:pPr>
              <w:rPr>
                <w:rFonts w:hint="eastAsia"/>
                <w:kern w:val="0"/>
                <w:szCs w:val="21"/>
              </w:rPr>
            </w:pPr>
            <w:r>
              <w:rPr>
                <w:rFonts w:hint="eastAsia"/>
                <w:kern w:val="0"/>
                <w:szCs w:val="21"/>
              </w:rPr>
              <w:t>2、掌握熔点测定的操作方法；</w:t>
            </w:r>
          </w:p>
          <w:p>
            <w:pPr>
              <w:rPr>
                <w:kern w:val="0"/>
                <w:szCs w:val="21"/>
              </w:rPr>
            </w:pPr>
            <w:r>
              <w:rPr>
                <w:rFonts w:hint="eastAsia"/>
                <w:kern w:val="0"/>
                <w:szCs w:val="21"/>
              </w:rPr>
              <w:t>3、了解温度计校正的方法。</w:t>
            </w:r>
          </w:p>
        </w:tc>
        <w:tc>
          <w:tcPr>
            <w:tcW w:w="1319" w:type="dxa"/>
            <w:noWrap w:val="0"/>
            <w:vAlign w:val="center"/>
          </w:tcPr>
          <w:p>
            <w:pPr>
              <w:rPr>
                <w:szCs w:val="21"/>
              </w:rPr>
            </w:pPr>
            <w:r>
              <w:rPr>
                <w:rFonts w:hint="eastAsia"/>
                <w:kern w:val="0"/>
                <w:szCs w:val="21"/>
              </w:rPr>
              <w:t>。通过介绍熔点的概念以及测定意义，讲解目前测定熔点的先进的仪器及方法，激发学生的民族自豪感。</w:t>
            </w:r>
          </w:p>
        </w:tc>
        <w:tc>
          <w:tcPr>
            <w:tcW w:w="1843" w:type="dxa"/>
            <w:noWrap w:val="0"/>
            <w:vAlign w:val="center"/>
          </w:tcPr>
          <w:p>
            <w:pPr>
              <w:rPr>
                <w:szCs w:val="21"/>
              </w:rPr>
            </w:pPr>
            <w:r>
              <w:rPr>
                <w:rFonts w:hint="eastAsia"/>
                <w:kern w:val="0"/>
                <w:szCs w:val="21"/>
              </w:rPr>
              <w:t>掌握实验基本原理和基本操作。</w:t>
            </w:r>
          </w:p>
        </w:tc>
        <w:tc>
          <w:tcPr>
            <w:tcW w:w="699" w:type="dxa"/>
            <w:noWrap w:val="0"/>
            <w:vAlign w:val="center"/>
          </w:tcPr>
          <w:p>
            <w:pPr>
              <w:jc w:val="center"/>
              <w:rPr>
                <w:szCs w:val="21"/>
              </w:rPr>
            </w:pPr>
            <w:r>
              <w:rPr>
                <w:rFonts w:hint="eastAsia"/>
                <w:szCs w:val="21"/>
              </w:rPr>
              <w:t>3</w:t>
            </w:r>
          </w:p>
        </w:tc>
        <w:tc>
          <w:tcPr>
            <w:tcW w:w="975" w:type="dxa"/>
            <w:noWrap w:val="0"/>
            <w:vAlign w:val="center"/>
          </w:tcPr>
          <w:p>
            <w:pPr>
              <w:rPr>
                <w:szCs w:val="21"/>
              </w:rPr>
            </w:pPr>
            <w:r>
              <w:rPr>
                <w:szCs w:val="21"/>
              </w:rPr>
              <w:t>讲授/</w:t>
            </w:r>
            <w:r>
              <w:rPr>
                <w:rFonts w:hint="eastAsia"/>
                <w:szCs w:val="21"/>
              </w:rPr>
              <w:t>实验</w:t>
            </w:r>
            <w:r>
              <w:rPr>
                <w:szCs w:val="21"/>
              </w:rPr>
              <w:t>等</w:t>
            </w:r>
          </w:p>
        </w:tc>
        <w:tc>
          <w:tcPr>
            <w:tcW w:w="925" w:type="dxa"/>
            <w:noWrap w:val="0"/>
            <w:vAlign w:val="center"/>
          </w:tcPr>
          <w:p>
            <w:pPr>
              <w:jc w:val="center"/>
              <w:rPr>
                <w:rFonts w:hint="eastAsia"/>
                <w:szCs w:val="21"/>
              </w:rPr>
            </w:pPr>
            <w:r>
              <w:rPr>
                <w:b/>
                <w:kern w:val="0"/>
                <w:szCs w:val="21"/>
              </w:rPr>
              <w:t>目标</w:t>
            </w:r>
            <w:r>
              <w:rPr>
                <w:rFonts w:hint="eastAsia"/>
                <w:b/>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szCs w:val="21"/>
              </w:rPr>
            </w:pPr>
            <w:r>
              <w:rPr>
                <w:szCs w:val="21"/>
              </w:rPr>
              <w:t>3</w:t>
            </w:r>
          </w:p>
        </w:tc>
        <w:tc>
          <w:tcPr>
            <w:tcW w:w="2632" w:type="dxa"/>
            <w:noWrap w:val="0"/>
            <w:vAlign w:val="center"/>
          </w:tcPr>
          <w:p>
            <w:pPr>
              <w:rPr>
                <w:b/>
                <w:kern w:val="0"/>
                <w:szCs w:val="21"/>
              </w:rPr>
            </w:pPr>
            <w:r>
              <w:rPr>
                <w:rFonts w:hint="eastAsia"/>
                <w:b/>
                <w:kern w:val="0"/>
                <w:szCs w:val="21"/>
              </w:rPr>
              <w:t>有机化合物蒸馏原理和沸点测定方法</w:t>
            </w:r>
          </w:p>
          <w:p>
            <w:pPr>
              <w:rPr>
                <w:rFonts w:hint="eastAsia"/>
                <w:kern w:val="0"/>
                <w:szCs w:val="21"/>
              </w:rPr>
            </w:pPr>
            <w:r>
              <w:rPr>
                <w:rFonts w:hint="eastAsia"/>
                <w:kern w:val="0"/>
                <w:szCs w:val="21"/>
              </w:rPr>
              <w:t>内容：蒸馏和沸点测定的原理以及实验装置的搭建</w:t>
            </w:r>
          </w:p>
          <w:p>
            <w:pPr>
              <w:rPr>
                <w:rFonts w:hint="eastAsia"/>
                <w:kern w:val="0"/>
                <w:szCs w:val="21"/>
              </w:rPr>
            </w:pPr>
            <w:r>
              <w:rPr>
                <w:rFonts w:hint="eastAsia"/>
                <w:kern w:val="0"/>
                <w:szCs w:val="21"/>
              </w:rPr>
              <w:t>要求：掌握常压蒸馏原理和方法</w:t>
            </w:r>
          </w:p>
        </w:tc>
        <w:tc>
          <w:tcPr>
            <w:tcW w:w="1319" w:type="dxa"/>
            <w:noWrap w:val="0"/>
            <w:vAlign w:val="center"/>
          </w:tcPr>
          <w:p>
            <w:pPr>
              <w:rPr>
                <w:szCs w:val="21"/>
              </w:rPr>
            </w:pPr>
            <w:r>
              <w:rPr>
                <w:rFonts w:hint="eastAsia"/>
                <w:szCs w:val="21"/>
              </w:rPr>
              <w:t>通过讲解蒸馏的原理以及沸点的定义，培养学生追求进步和锐意进取的时代精神。</w:t>
            </w:r>
          </w:p>
        </w:tc>
        <w:tc>
          <w:tcPr>
            <w:tcW w:w="1843" w:type="dxa"/>
            <w:noWrap w:val="0"/>
            <w:vAlign w:val="center"/>
          </w:tcPr>
          <w:p>
            <w:pPr>
              <w:rPr>
                <w:rFonts w:hint="eastAsia"/>
                <w:kern w:val="0"/>
                <w:szCs w:val="21"/>
              </w:rPr>
            </w:pPr>
            <w:r>
              <w:rPr>
                <w:rFonts w:hint="eastAsia"/>
                <w:kern w:val="0"/>
                <w:szCs w:val="21"/>
              </w:rPr>
              <w:t>掌握常压蒸馏原理和方法，掌握实验装置的搭建方法。</w:t>
            </w:r>
          </w:p>
          <w:p>
            <w:pPr>
              <w:rPr>
                <w:szCs w:val="21"/>
              </w:rPr>
            </w:pPr>
            <w:r>
              <w:rPr>
                <w:rFonts w:hint="eastAsia"/>
                <w:kern w:val="0"/>
                <w:szCs w:val="21"/>
              </w:rPr>
              <w:t>。</w:t>
            </w:r>
          </w:p>
        </w:tc>
        <w:tc>
          <w:tcPr>
            <w:tcW w:w="699" w:type="dxa"/>
            <w:noWrap w:val="0"/>
            <w:vAlign w:val="center"/>
          </w:tcPr>
          <w:p>
            <w:pPr>
              <w:jc w:val="center"/>
              <w:rPr>
                <w:szCs w:val="21"/>
              </w:rPr>
            </w:pPr>
            <w:r>
              <w:rPr>
                <w:rFonts w:hint="eastAsia"/>
                <w:szCs w:val="21"/>
              </w:rPr>
              <w:t>3</w:t>
            </w:r>
          </w:p>
        </w:tc>
        <w:tc>
          <w:tcPr>
            <w:tcW w:w="975" w:type="dxa"/>
            <w:noWrap w:val="0"/>
            <w:vAlign w:val="center"/>
          </w:tcPr>
          <w:p>
            <w:pPr>
              <w:rPr>
                <w:szCs w:val="21"/>
              </w:rPr>
            </w:pPr>
            <w:r>
              <w:rPr>
                <w:szCs w:val="21"/>
              </w:rPr>
              <w:t>讲授/</w:t>
            </w:r>
            <w:r>
              <w:rPr>
                <w:rFonts w:hint="eastAsia"/>
                <w:szCs w:val="21"/>
              </w:rPr>
              <w:t>实验</w:t>
            </w:r>
            <w:r>
              <w:rPr>
                <w:szCs w:val="21"/>
              </w:rPr>
              <w:t>等</w:t>
            </w:r>
          </w:p>
        </w:tc>
        <w:tc>
          <w:tcPr>
            <w:tcW w:w="925" w:type="dxa"/>
            <w:noWrap w:val="0"/>
            <w:vAlign w:val="center"/>
          </w:tcPr>
          <w:p>
            <w:pPr>
              <w:jc w:val="center"/>
              <w:rPr>
                <w:szCs w:val="21"/>
              </w:rPr>
            </w:pPr>
            <w:r>
              <w:rPr>
                <w:b/>
                <w:kern w:val="0"/>
                <w:szCs w:val="21"/>
              </w:rPr>
              <w:t>目标</w:t>
            </w:r>
            <w:r>
              <w:rPr>
                <w:rFonts w:hint="eastAsia"/>
                <w:b/>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szCs w:val="21"/>
              </w:rPr>
            </w:pPr>
            <w:r>
              <w:rPr>
                <w:szCs w:val="21"/>
              </w:rPr>
              <w:t>4</w:t>
            </w:r>
          </w:p>
        </w:tc>
        <w:tc>
          <w:tcPr>
            <w:tcW w:w="2632" w:type="dxa"/>
            <w:noWrap w:val="0"/>
            <w:vAlign w:val="center"/>
          </w:tcPr>
          <w:p>
            <w:pPr>
              <w:rPr>
                <w:b/>
                <w:kern w:val="0"/>
                <w:szCs w:val="21"/>
              </w:rPr>
            </w:pPr>
            <w:r>
              <w:rPr>
                <w:rFonts w:hint="eastAsia"/>
                <w:b/>
                <w:kern w:val="0"/>
                <w:szCs w:val="21"/>
              </w:rPr>
              <w:t>重结晶的原理和提纯固体化合物的操作</w:t>
            </w:r>
          </w:p>
          <w:p>
            <w:pPr>
              <w:rPr>
                <w:rFonts w:hint="eastAsia"/>
                <w:kern w:val="0"/>
                <w:szCs w:val="21"/>
              </w:rPr>
            </w:pPr>
            <w:r>
              <w:rPr>
                <w:rFonts w:hint="eastAsia"/>
                <w:kern w:val="0"/>
                <w:szCs w:val="21"/>
              </w:rPr>
              <w:t>内容：乙酰苯胺的重结晶</w:t>
            </w:r>
          </w:p>
          <w:p>
            <w:pPr>
              <w:rPr>
                <w:rFonts w:hint="eastAsia"/>
                <w:kern w:val="0"/>
                <w:szCs w:val="21"/>
              </w:rPr>
            </w:pPr>
            <w:r>
              <w:rPr>
                <w:rFonts w:hint="eastAsia"/>
                <w:kern w:val="0"/>
                <w:szCs w:val="21"/>
              </w:rPr>
              <w:t>要求：1、了解重结晶原理；</w:t>
            </w:r>
          </w:p>
          <w:p>
            <w:pPr>
              <w:rPr>
                <w:rFonts w:hint="eastAsia"/>
                <w:kern w:val="0"/>
                <w:szCs w:val="21"/>
              </w:rPr>
            </w:pPr>
            <w:r>
              <w:rPr>
                <w:rFonts w:hint="eastAsia"/>
                <w:kern w:val="0"/>
                <w:szCs w:val="21"/>
              </w:rPr>
              <w:t>2、掌握重结晶的实验操作。</w:t>
            </w:r>
          </w:p>
        </w:tc>
        <w:tc>
          <w:tcPr>
            <w:tcW w:w="1319" w:type="dxa"/>
            <w:noWrap w:val="0"/>
            <w:vAlign w:val="center"/>
          </w:tcPr>
          <w:p>
            <w:pPr>
              <w:autoSpaceDE w:val="0"/>
              <w:autoSpaceDN w:val="0"/>
              <w:adjustRightInd w:val="0"/>
              <w:rPr>
                <w:rFonts w:hint="eastAsia"/>
                <w:szCs w:val="21"/>
              </w:rPr>
            </w:pPr>
            <w:r>
              <w:rPr>
                <w:rFonts w:hint="eastAsia"/>
                <w:szCs w:val="21"/>
              </w:rPr>
              <w:t>通过介绍乙苯酰胺的重结晶原理，培养学生严谨认真的职业素养。</w:t>
            </w:r>
          </w:p>
        </w:tc>
        <w:tc>
          <w:tcPr>
            <w:tcW w:w="1843" w:type="dxa"/>
            <w:noWrap w:val="0"/>
            <w:vAlign w:val="center"/>
          </w:tcPr>
          <w:p>
            <w:pPr>
              <w:autoSpaceDE w:val="0"/>
              <w:autoSpaceDN w:val="0"/>
              <w:adjustRightInd w:val="0"/>
              <w:rPr>
                <w:rFonts w:hint="eastAsia"/>
                <w:szCs w:val="21"/>
              </w:rPr>
            </w:pPr>
            <w:r>
              <w:rPr>
                <w:rFonts w:hint="eastAsia"/>
                <w:szCs w:val="21"/>
              </w:rPr>
              <w:t>能够掌握重结晶的原理，及其实验操作。</w:t>
            </w:r>
          </w:p>
        </w:tc>
        <w:tc>
          <w:tcPr>
            <w:tcW w:w="699" w:type="dxa"/>
            <w:noWrap w:val="0"/>
            <w:vAlign w:val="center"/>
          </w:tcPr>
          <w:p>
            <w:pPr>
              <w:jc w:val="center"/>
              <w:rPr>
                <w:szCs w:val="21"/>
              </w:rPr>
            </w:pPr>
            <w:r>
              <w:rPr>
                <w:rFonts w:hint="eastAsia"/>
                <w:szCs w:val="21"/>
              </w:rPr>
              <w:t>3</w:t>
            </w:r>
          </w:p>
        </w:tc>
        <w:tc>
          <w:tcPr>
            <w:tcW w:w="975" w:type="dxa"/>
            <w:noWrap w:val="0"/>
            <w:vAlign w:val="center"/>
          </w:tcPr>
          <w:p>
            <w:pPr>
              <w:rPr>
                <w:szCs w:val="21"/>
              </w:rPr>
            </w:pPr>
            <w:r>
              <w:rPr>
                <w:szCs w:val="21"/>
              </w:rPr>
              <w:t>讲授/</w:t>
            </w:r>
            <w:r>
              <w:rPr>
                <w:rFonts w:hint="eastAsia"/>
                <w:szCs w:val="21"/>
              </w:rPr>
              <w:t>实验</w:t>
            </w:r>
            <w:r>
              <w:rPr>
                <w:szCs w:val="21"/>
              </w:rPr>
              <w:t>等</w:t>
            </w:r>
          </w:p>
        </w:tc>
        <w:tc>
          <w:tcPr>
            <w:tcW w:w="925" w:type="dxa"/>
            <w:noWrap w:val="0"/>
            <w:vAlign w:val="center"/>
          </w:tcPr>
          <w:p>
            <w:pPr>
              <w:jc w:val="center"/>
              <w:rPr>
                <w:kern w:val="0"/>
                <w:szCs w:val="21"/>
              </w:rPr>
            </w:pPr>
            <w:r>
              <w:rPr>
                <w:b/>
                <w:kern w:val="0"/>
                <w:szCs w:val="21"/>
              </w:rPr>
              <w:t>目标</w:t>
            </w:r>
            <w:r>
              <w:rPr>
                <w:rFonts w:hint="eastAsia"/>
                <w:b/>
                <w:kern w:val="0"/>
                <w:szCs w:val="21"/>
              </w:rPr>
              <w:t>1</w:t>
            </w:r>
          </w:p>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szCs w:val="21"/>
              </w:rPr>
            </w:pPr>
            <w:r>
              <w:rPr>
                <w:szCs w:val="21"/>
              </w:rPr>
              <w:t>5</w:t>
            </w:r>
          </w:p>
        </w:tc>
        <w:tc>
          <w:tcPr>
            <w:tcW w:w="2632" w:type="dxa"/>
            <w:noWrap w:val="0"/>
            <w:vAlign w:val="center"/>
          </w:tcPr>
          <w:p>
            <w:pPr>
              <w:rPr>
                <w:b/>
                <w:kern w:val="0"/>
                <w:szCs w:val="21"/>
              </w:rPr>
            </w:pPr>
            <w:r>
              <w:rPr>
                <w:rFonts w:hint="eastAsia"/>
                <w:b/>
                <w:kern w:val="0"/>
                <w:szCs w:val="21"/>
              </w:rPr>
              <w:t>柱色谱分离的原理和操作实现方法</w:t>
            </w:r>
          </w:p>
          <w:p>
            <w:pPr>
              <w:rPr>
                <w:rFonts w:hint="eastAsia"/>
                <w:kern w:val="0"/>
                <w:szCs w:val="21"/>
              </w:rPr>
            </w:pPr>
            <w:r>
              <w:rPr>
                <w:rFonts w:hint="eastAsia"/>
                <w:kern w:val="0"/>
                <w:szCs w:val="21"/>
              </w:rPr>
              <w:t>内容：柱色谱分离操作</w:t>
            </w:r>
          </w:p>
          <w:p>
            <w:pPr>
              <w:rPr>
                <w:rFonts w:hint="eastAsia"/>
                <w:kern w:val="0"/>
                <w:szCs w:val="21"/>
              </w:rPr>
            </w:pPr>
            <w:r>
              <w:rPr>
                <w:rFonts w:hint="eastAsia"/>
                <w:kern w:val="0"/>
                <w:szCs w:val="21"/>
              </w:rPr>
              <w:t>要求：1、掌握柱色谱分离实验原理；</w:t>
            </w:r>
          </w:p>
          <w:p>
            <w:pPr>
              <w:rPr>
                <w:rFonts w:hint="eastAsia"/>
                <w:kern w:val="0"/>
                <w:szCs w:val="21"/>
              </w:rPr>
            </w:pPr>
            <w:r>
              <w:rPr>
                <w:rFonts w:hint="eastAsia"/>
                <w:kern w:val="0"/>
                <w:szCs w:val="21"/>
              </w:rPr>
              <w:t>2、掌握柱色谱分离实验操作。</w:t>
            </w:r>
          </w:p>
        </w:tc>
        <w:tc>
          <w:tcPr>
            <w:tcW w:w="1319" w:type="dxa"/>
            <w:noWrap w:val="0"/>
            <w:vAlign w:val="center"/>
          </w:tcPr>
          <w:p>
            <w:pPr>
              <w:rPr>
                <w:szCs w:val="21"/>
              </w:rPr>
            </w:pPr>
            <w:r>
              <w:rPr>
                <w:rFonts w:hint="eastAsia"/>
                <w:szCs w:val="21"/>
              </w:rPr>
              <w:t>通过讲解柱色谱分离的原理，向学生传达任何事物都是相互联系的，要学会辩证的分析问题。</w:t>
            </w:r>
          </w:p>
        </w:tc>
        <w:tc>
          <w:tcPr>
            <w:tcW w:w="1843" w:type="dxa"/>
            <w:noWrap w:val="0"/>
            <w:vAlign w:val="center"/>
          </w:tcPr>
          <w:p>
            <w:pPr>
              <w:rPr>
                <w:szCs w:val="21"/>
              </w:rPr>
            </w:pPr>
            <w:r>
              <w:rPr>
                <w:kern w:val="0"/>
                <w:szCs w:val="21"/>
              </w:rPr>
              <w:t>能够</w:t>
            </w:r>
            <w:r>
              <w:rPr>
                <w:rFonts w:hint="eastAsia"/>
                <w:kern w:val="0"/>
                <w:szCs w:val="21"/>
              </w:rPr>
              <w:t>掌握色谱柱分离混合物的原理及其实验操作。</w:t>
            </w:r>
          </w:p>
        </w:tc>
        <w:tc>
          <w:tcPr>
            <w:tcW w:w="699" w:type="dxa"/>
            <w:noWrap w:val="0"/>
            <w:vAlign w:val="center"/>
          </w:tcPr>
          <w:p>
            <w:pPr>
              <w:jc w:val="center"/>
              <w:rPr>
                <w:szCs w:val="21"/>
              </w:rPr>
            </w:pPr>
            <w:r>
              <w:rPr>
                <w:rFonts w:hint="eastAsia"/>
                <w:szCs w:val="21"/>
              </w:rPr>
              <w:t>3</w:t>
            </w:r>
          </w:p>
        </w:tc>
        <w:tc>
          <w:tcPr>
            <w:tcW w:w="975" w:type="dxa"/>
            <w:noWrap w:val="0"/>
            <w:vAlign w:val="center"/>
          </w:tcPr>
          <w:p>
            <w:pPr>
              <w:rPr>
                <w:szCs w:val="21"/>
              </w:rPr>
            </w:pPr>
            <w:r>
              <w:rPr>
                <w:szCs w:val="21"/>
              </w:rPr>
              <w:t>讲授/</w:t>
            </w:r>
            <w:r>
              <w:rPr>
                <w:rFonts w:hint="eastAsia"/>
                <w:szCs w:val="21"/>
              </w:rPr>
              <w:t>实验</w:t>
            </w:r>
            <w:r>
              <w:rPr>
                <w:szCs w:val="21"/>
              </w:rPr>
              <w:t>等</w:t>
            </w:r>
          </w:p>
        </w:tc>
        <w:tc>
          <w:tcPr>
            <w:tcW w:w="925" w:type="dxa"/>
            <w:noWrap w:val="0"/>
            <w:vAlign w:val="center"/>
          </w:tcPr>
          <w:p>
            <w:pPr>
              <w:jc w:val="center"/>
              <w:rPr>
                <w:szCs w:val="21"/>
              </w:rPr>
            </w:pPr>
            <w:r>
              <w:rPr>
                <w:b/>
                <w:kern w:val="0"/>
                <w:szCs w:val="21"/>
              </w:rPr>
              <w:t>目标</w:t>
            </w:r>
            <w:r>
              <w:rPr>
                <w:rFonts w:hint="eastAsia"/>
                <w:b/>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szCs w:val="21"/>
              </w:rPr>
            </w:pPr>
            <w:r>
              <w:rPr>
                <w:szCs w:val="21"/>
              </w:rPr>
              <w:t>6</w:t>
            </w:r>
          </w:p>
        </w:tc>
        <w:tc>
          <w:tcPr>
            <w:tcW w:w="2632" w:type="dxa"/>
            <w:noWrap w:val="0"/>
            <w:vAlign w:val="center"/>
          </w:tcPr>
          <w:p>
            <w:pPr>
              <w:rPr>
                <w:b/>
                <w:kern w:val="0"/>
                <w:szCs w:val="21"/>
              </w:rPr>
            </w:pPr>
            <w:r>
              <w:rPr>
                <w:rFonts w:hint="eastAsia"/>
                <w:b/>
                <w:kern w:val="0"/>
                <w:szCs w:val="21"/>
              </w:rPr>
              <w:t>卤代烃的制备原理和操作实现方法</w:t>
            </w:r>
          </w:p>
          <w:p>
            <w:pPr>
              <w:rPr>
                <w:rFonts w:hint="eastAsia"/>
                <w:kern w:val="0"/>
                <w:szCs w:val="21"/>
              </w:rPr>
            </w:pPr>
            <w:r>
              <w:rPr>
                <w:rFonts w:hint="eastAsia"/>
                <w:kern w:val="0"/>
                <w:szCs w:val="21"/>
              </w:rPr>
              <w:t>内容：溴乙烷的制备</w:t>
            </w:r>
          </w:p>
          <w:p>
            <w:pPr>
              <w:rPr>
                <w:rFonts w:hint="eastAsia"/>
                <w:kern w:val="0"/>
                <w:szCs w:val="21"/>
              </w:rPr>
            </w:pPr>
            <w:r>
              <w:rPr>
                <w:rFonts w:hint="eastAsia"/>
                <w:kern w:val="0"/>
                <w:szCs w:val="21"/>
              </w:rPr>
              <w:t>要求：1、学习卤代烃的制备方法和实验原理；</w:t>
            </w:r>
          </w:p>
          <w:p>
            <w:pPr>
              <w:rPr>
                <w:rFonts w:hint="eastAsia"/>
                <w:kern w:val="0"/>
                <w:szCs w:val="21"/>
              </w:rPr>
            </w:pPr>
            <w:r>
              <w:rPr>
                <w:rFonts w:hint="eastAsia"/>
                <w:kern w:val="0"/>
                <w:szCs w:val="21"/>
              </w:rPr>
              <w:t>2、掌握低沸点蒸馏和分液漏斗的操作。</w:t>
            </w:r>
          </w:p>
        </w:tc>
        <w:tc>
          <w:tcPr>
            <w:tcW w:w="1319" w:type="dxa"/>
            <w:noWrap w:val="0"/>
            <w:vAlign w:val="center"/>
          </w:tcPr>
          <w:p>
            <w:pPr>
              <w:rPr>
                <w:rFonts w:hint="eastAsia"/>
                <w:kern w:val="0"/>
                <w:szCs w:val="21"/>
              </w:rPr>
            </w:pPr>
            <w:r>
              <w:rPr>
                <w:rFonts w:hint="eastAsia"/>
                <w:kern w:val="0"/>
                <w:szCs w:val="21"/>
              </w:rPr>
              <w:t>通过介绍溴乙烷的制备原理以及分液漏斗的实验操作注意事项，培养学生树立化工生产“安全至上”的意识，培养学生爱岗敬业，严格遵守规章制度的意识。</w:t>
            </w:r>
          </w:p>
        </w:tc>
        <w:tc>
          <w:tcPr>
            <w:tcW w:w="1843" w:type="dxa"/>
            <w:noWrap w:val="0"/>
            <w:vAlign w:val="center"/>
          </w:tcPr>
          <w:p>
            <w:pPr>
              <w:rPr>
                <w:kern w:val="0"/>
                <w:szCs w:val="21"/>
              </w:rPr>
            </w:pPr>
            <w:r>
              <w:rPr>
                <w:kern w:val="0"/>
                <w:szCs w:val="21"/>
              </w:rPr>
              <w:t>能够</w:t>
            </w:r>
            <w:r>
              <w:rPr>
                <w:rFonts w:hint="eastAsia"/>
                <w:kern w:val="0"/>
                <w:szCs w:val="21"/>
              </w:rPr>
              <w:t>掌握卤代烃的制备方法和实验原理及其实验操作。</w:t>
            </w:r>
          </w:p>
        </w:tc>
        <w:tc>
          <w:tcPr>
            <w:tcW w:w="699" w:type="dxa"/>
            <w:noWrap w:val="0"/>
            <w:vAlign w:val="center"/>
          </w:tcPr>
          <w:p>
            <w:pPr>
              <w:jc w:val="center"/>
              <w:rPr>
                <w:szCs w:val="21"/>
              </w:rPr>
            </w:pPr>
            <w:r>
              <w:rPr>
                <w:rFonts w:hint="eastAsia"/>
                <w:szCs w:val="21"/>
              </w:rPr>
              <w:t>3</w:t>
            </w:r>
          </w:p>
        </w:tc>
        <w:tc>
          <w:tcPr>
            <w:tcW w:w="975" w:type="dxa"/>
            <w:noWrap w:val="0"/>
            <w:vAlign w:val="center"/>
          </w:tcPr>
          <w:p>
            <w:pPr>
              <w:rPr>
                <w:szCs w:val="21"/>
              </w:rPr>
            </w:pPr>
            <w:r>
              <w:rPr>
                <w:szCs w:val="21"/>
              </w:rPr>
              <w:t>讲授/</w:t>
            </w:r>
            <w:r>
              <w:rPr>
                <w:rFonts w:hint="eastAsia"/>
                <w:szCs w:val="21"/>
              </w:rPr>
              <w:t>实验</w:t>
            </w:r>
            <w:r>
              <w:rPr>
                <w:szCs w:val="21"/>
              </w:rPr>
              <w:t>等</w:t>
            </w:r>
          </w:p>
        </w:tc>
        <w:tc>
          <w:tcPr>
            <w:tcW w:w="925" w:type="dxa"/>
            <w:noWrap w:val="0"/>
            <w:vAlign w:val="center"/>
          </w:tcPr>
          <w:p>
            <w:pPr>
              <w:jc w:val="center"/>
              <w:rPr>
                <w:szCs w:val="21"/>
              </w:rPr>
            </w:pPr>
            <w:r>
              <w:rPr>
                <w:b/>
                <w:kern w:val="0"/>
                <w:szCs w:val="21"/>
              </w:rPr>
              <w:t>目标</w:t>
            </w:r>
            <w:r>
              <w:rPr>
                <w:rFonts w:hint="eastAsia"/>
                <w:b/>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szCs w:val="21"/>
              </w:rPr>
            </w:pPr>
            <w:r>
              <w:rPr>
                <w:szCs w:val="21"/>
              </w:rPr>
              <w:t>7</w:t>
            </w:r>
          </w:p>
        </w:tc>
        <w:tc>
          <w:tcPr>
            <w:tcW w:w="2632" w:type="dxa"/>
            <w:noWrap w:val="0"/>
            <w:vAlign w:val="center"/>
          </w:tcPr>
          <w:p>
            <w:pPr>
              <w:rPr>
                <w:b/>
                <w:kern w:val="0"/>
                <w:szCs w:val="21"/>
              </w:rPr>
            </w:pPr>
            <w:r>
              <w:rPr>
                <w:rFonts w:hint="eastAsia"/>
                <w:b/>
                <w:kern w:val="0"/>
                <w:szCs w:val="21"/>
              </w:rPr>
              <w:t>醇类化合物的制备原理和操作实现方法</w:t>
            </w:r>
          </w:p>
          <w:p>
            <w:pPr>
              <w:rPr>
                <w:rFonts w:hint="eastAsia"/>
                <w:kern w:val="0"/>
                <w:szCs w:val="21"/>
              </w:rPr>
            </w:pPr>
            <w:r>
              <w:rPr>
                <w:rFonts w:hint="eastAsia"/>
                <w:kern w:val="0"/>
                <w:szCs w:val="21"/>
              </w:rPr>
              <w:t>内容：二苯甲醇的制备</w:t>
            </w:r>
          </w:p>
          <w:p>
            <w:pPr>
              <w:rPr>
                <w:rFonts w:hint="eastAsia"/>
                <w:kern w:val="0"/>
                <w:szCs w:val="21"/>
              </w:rPr>
            </w:pPr>
            <w:r>
              <w:rPr>
                <w:rFonts w:hint="eastAsia"/>
                <w:kern w:val="0"/>
                <w:szCs w:val="21"/>
              </w:rPr>
              <w:t>要求：1、</w:t>
            </w:r>
            <w:r>
              <w:rPr>
                <w:rFonts w:hint="eastAsia"/>
                <w:kern w:val="0"/>
                <w:szCs w:val="21"/>
              </w:rPr>
              <w:tab/>
            </w:r>
            <w:r>
              <w:rPr>
                <w:rFonts w:hint="eastAsia"/>
                <w:kern w:val="0"/>
                <w:szCs w:val="21"/>
              </w:rPr>
              <w:t>掌握酮还原制备醇的原理实验方法。</w:t>
            </w:r>
          </w:p>
          <w:p>
            <w:pPr>
              <w:rPr>
                <w:kern w:val="0"/>
                <w:szCs w:val="21"/>
              </w:rPr>
            </w:pPr>
            <w:r>
              <w:rPr>
                <w:rFonts w:hint="eastAsia"/>
                <w:kern w:val="0"/>
                <w:szCs w:val="21"/>
              </w:rPr>
              <w:t>2、</w:t>
            </w:r>
            <w:r>
              <w:rPr>
                <w:rFonts w:hint="eastAsia"/>
                <w:kern w:val="0"/>
                <w:szCs w:val="21"/>
              </w:rPr>
              <w:tab/>
            </w:r>
            <w:r>
              <w:rPr>
                <w:rFonts w:hint="eastAsia"/>
                <w:kern w:val="0"/>
                <w:szCs w:val="21"/>
              </w:rPr>
              <w:t>巩固回流和重结晶的实验操作</w:t>
            </w:r>
            <w:r>
              <w:rPr>
                <w:kern w:val="0"/>
                <w:szCs w:val="21"/>
              </w:rPr>
              <w:t xml:space="preserve"> </w:t>
            </w:r>
          </w:p>
        </w:tc>
        <w:tc>
          <w:tcPr>
            <w:tcW w:w="1319" w:type="dxa"/>
            <w:noWrap w:val="0"/>
            <w:vAlign w:val="center"/>
          </w:tcPr>
          <w:p>
            <w:pPr>
              <w:rPr>
                <w:rFonts w:hint="eastAsia"/>
                <w:kern w:val="0"/>
                <w:szCs w:val="21"/>
              </w:rPr>
            </w:pPr>
            <w:r>
              <w:rPr>
                <w:rFonts w:hint="eastAsia"/>
                <w:kern w:val="0"/>
                <w:szCs w:val="21"/>
              </w:rPr>
              <w:t>通过介绍二苯甲醇的制备原理，引入团队合作的重要性，注重引导学生培养团队合作的精神和敬业精神。</w:t>
            </w:r>
          </w:p>
        </w:tc>
        <w:tc>
          <w:tcPr>
            <w:tcW w:w="1843" w:type="dxa"/>
            <w:noWrap w:val="0"/>
            <w:vAlign w:val="center"/>
          </w:tcPr>
          <w:p>
            <w:pPr>
              <w:rPr>
                <w:kern w:val="0"/>
                <w:szCs w:val="21"/>
              </w:rPr>
            </w:pPr>
            <w:r>
              <w:rPr>
                <w:kern w:val="0"/>
                <w:szCs w:val="21"/>
              </w:rPr>
              <w:t>能够</w:t>
            </w:r>
            <w:r>
              <w:rPr>
                <w:rFonts w:hint="eastAsia"/>
                <w:kern w:val="0"/>
                <w:szCs w:val="21"/>
              </w:rPr>
              <w:t>掌握醇类化合物的制备原理及其实验操作。</w:t>
            </w:r>
          </w:p>
        </w:tc>
        <w:tc>
          <w:tcPr>
            <w:tcW w:w="699" w:type="dxa"/>
            <w:noWrap w:val="0"/>
            <w:vAlign w:val="center"/>
          </w:tcPr>
          <w:p>
            <w:pPr>
              <w:jc w:val="center"/>
              <w:rPr>
                <w:szCs w:val="21"/>
              </w:rPr>
            </w:pPr>
            <w:r>
              <w:rPr>
                <w:rFonts w:hint="eastAsia"/>
                <w:szCs w:val="21"/>
              </w:rPr>
              <w:t>3</w:t>
            </w:r>
          </w:p>
        </w:tc>
        <w:tc>
          <w:tcPr>
            <w:tcW w:w="975" w:type="dxa"/>
            <w:noWrap w:val="0"/>
            <w:vAlign w:val="center"/>
          </w:tcPr>
          <w:p>
            <w:pPr>
              <w:rPr>
                <w:szCs w:val="21"/>
              </w:rPr>
            </w:pPr>
            <w:r>
              <w:rPr>
                <w:szCs w:val="21"/>
              </w:rPr>
              <w:t>讲授/</w:t>
            </w:r>
            <w:r>
              <w:rPr>
                <w:rFonts w:hint="eastAsia"/>
                <w:szCs w:val="21"/>
              </w:rPr>
              <w:t>实验</w:t>
            </w:r>
            <w:r>
              <w:rPr>
                <w:szCs w:val="21"/>
              </w:rPr>
              <w:t>等</w:t>
            </w:r>
          </w:p>
        </w:tc>
        <w:tc>
          <w:tcPr>
            <w:tcW w:w="925" w:type="dxa"/>
            <w:noWrap w:val="0"/>
            <w:vAlign w:val="center"/>
          </w:tcPr>
          <w:p>
            <w:pPr>
              <w:jc w:val="center"/>
              <w:rPr>
                <w:szCs w:val="21"/>
              </w:rPr>
            </w:pPr>
            <w:r>
              <w:rPr>
                <w:b/>
                <w:kern w:val="0"/>
                <w:szCs w:val="21"/>
              </w:rPr>
              <w:t>目标</w:t>
            </w:r>
            <w:r>
              <w:rPr>
                <w:rFonts w:hint="eastAsia"/>
                <w:b/>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szCs w:val="21"/>
              </w:rPr>
            </w:pPr>
            <w:r>
              <w:rPr>
                <w:rFonts w:hint="eastAsia"/>
                <w:szCs w:val="21"/>
              </w:rPr>
              <w:t>8</w:t>
            </w:r>
          </w:p>
        </w:tc>
        <w:tc>
          <w:tcPr>
            <w:tcW w:w="2632" w:type="dxa"/>
            <w:noWrap w:val="0"/>
            <w:vAlign w:val="center"/>
          </w:tcPr>
          <w:p>
            <w:pPr>
              <w:rPr>
                <w:b/>
                <w:kern w:val="0"/>
                <w:szCs w:val="21"/>
              </w:rPr>
            </w:pPr>
            <w:r>
              <w:rPr>
                <w:rFonts w:hint="eastAsia"/>
                <w:b/>
                <w:kern w:val="0"/>
                <w:szCs w:val="21"/>
              </w:rPr>
              <w:t>醚类化合物的制备原理和操作实验方法</w:t>
            </w:r>
          </w:p>
          <w:p>
            <w:pPr>
              <w:rPr>
                <w:rFonts w:hint="eastAsia"/>
                <w:bCs/>
                <w:kern w:val="0"/>
                <w:szCs w:val="21"/>
              </w:rPr>
            </w:pPr>
            <w:r>
              <w:rPr>
                <w:rFonts w:hint="eastAsia"/>
                <w:bCs/>
                <w:kern w:val="0"/>
                <w:szCs w:val="21"/>
              </w:rPr>
              <w:t>内容：正丁醚的制备</w:t>
            </w:r>
          </w:p>
          <w:p>
            <w:pPr>
              <w:rPr>
                <w:rFonts w:hint="eastAsia"/>
                <w:bCs/>
                <w:kern w:val="0"/>
                <w:szCs w:val="21"/>
              </w:rPr>
            </w:pPr>
            <w:r>
              <w:rPr>
                <w:rFonts w:hint="eastAsia"/>
                <w:bCs/>
                <w:kern w:val="0"/>
                <w:szCs w:val="21"/>
              </w:rPr>
              <w:t>要求：1、</w:t>
            </w:r>
            <w:r>
              <w:rPr>
                <w:rFonts w:hint="eastAsia"/>
                <w:bCs/>
                <w:kern w:val="0"/>
                <w:szCs w:val="21"/>
              </w:rPr>
              <w:tab/>
            </w:r>
            <w:r>
              <w:rPr>
                <w:rFonts w:hint="eastAsia"/>
                <w:bCs/>
                <w:kern w:val="0"/>
                <w:szCs w:val="21"/>
              </w:rPr>
              <w:t>掌握醇脱水制备醚的反应原理和实验方法；</w:t>
            </w:r>
          </w:p>
          <w:p>
            <w:pPr>
              <w:rPr>
                <w:rFonts w:hint="eastAsia"/>
                <w:bCs/>
                <w:kern w:val="0"/>
                <w:szCs w:val="21"/>
              </w:rPr>
            </w:pPr>
            <w:r>
              <w:rPr>
                <w:rFonts w:hint="eastAsia"/>
                <w:bCs/>
                <w:kern w:val="0"/>
                <w:szCs w:val="21"/>
              </w:rPr>
              <w:t>2、</w:t>
            </w:r>
            <w:r>
              <w:rPr>
                <w:rFonts w:hint="eastAsia"/>
                <w:bCs/>
                <w:kern w:val="0"/>
                <w:szCs w:val="21"/>
              </w:rPr>
              <w:tab/>
            </w:r>
            <w:r>
              <w:rPr>
                <w:rFonts w:hint="eastAsia"/>
                <w:bCs/>
                <w:kern w:val="0"/>
                <w:szCs w:val="21"/>
              </w:rPr>
              <w:t>掌握分水器的实验操作。</w:t>
            </w:r>
          </w:p>
          <w:p>
            <w:pPr>
              <w:rPr>
                <w:rFonts w:hint="eastAsia"/>
                <w:b/>
                <w:kern w:val="0"/>
                <w:szCs w:val="21"/>
              </w:rPr>
            </w:pPr>
          </w:p>
        </w:tc>
        <w:tc>
          <w:tcPr>
            <w:tcW w:w="1319" w:type="dxa"/>
            <w:noWrap w:val="0"/>
            <w:vAlign w:val="center"/>
          </w:tcPr>
          <w:p>
            <w:pPr>
              <w:rPr>
                <w:rFonts w:hint="eastAsia"/>
                <w:kern w:val="0"/>
                <w:szCs w:val="21"/>
              </w:rPr>
            </w:pPr>
            <w:r>
              <w:rPr>
                <w:rFonts w:hint="eastAsia"/>
                <w:kern w:val="0"/>
                <w:szCs w:val="21"/>
              </w:rPr>
              <w:t>通过介绍</w:t>
            </w:r>
            <w:r>
              <w:rPr>
                <w:rFonts w:hint="eastAsia"/>
                <w:bCs/>
                <w:kern w:val="0"/>
                <w:szCs w:val="21"/>
              </w:rPr>
              <w:t>正丁醚的制备原理，引导学生注重观察实验现象，培养学生理论联系实际分析问题的能力。</w:t>
            </w:r>
          </w:p>
        </w:tc>
        <w:tc>
          <w:tcPr>
            <w:tcW w:w="1843" w:type="dxa"/>
            <w:noWrap w:val="0"/>
            <w:vAlign w:val="center"/>
          </w:tcPr>
          <w:p>
            <w:pPr>
              <w:rPr>
                <w:kern w:val="0"/>
                <w:szCs w:val="21"/>
              </w:rPr>
            </w:pPr>
            <w:r>
              <w:rPr>
                <w:kern w:val="0"/>
                <w:szCs w:val="21"/>
              </w:rPr>
              <w:t>能够</w:t>
            </w:r>
            <w:r>
              <w:rPr>
                <w:rFonts w:hint="eastAsia"/>
                <w:kern w:val="0"/>
                <w:szCs w:val="21"/>
              </w:rPr>
              <w:t>掌握醚类化合物的制备原理及其实验操作。</w:t>
            </w:r>
          </w:p>
        </w:tc>
        <w:tc>
          <w:tcPr>
            <w:tcW w:w="699" w:type="dxa"/>
            <w:noWrap w:val="0"/>
            <w:vAlign w:val="center"/>
          </w:tcPr>
          <w:p>
            <w:pPr>
              <w:jc w:val="center"/>
              <w:rPr>
                <w:szCs w:val="21"/>
              </w:rPr>
            </w:pPr>
            <w:r>
              <w:rPr>
                <w:rFonts w:hint="eastAsia"/>
                <w:szCs w:val="21"/>
              </w:rPr>
              <w:t>3</w:t>
            </w:r>
          </w:p>
        </w:tc>
        <w:tc>
          <w:tcPr>
            <w:tcW w:w="975" w:type="dxa"/>
            <w:noWrap w:val="0"/>
            <w:vAlign w:val="center"/>
          </w:tcPr>
          <w:p>
            <w:pPr>
              <w:rPr>
                <w:szCs w:val="21"/>
              </w:rPr>
            </w:pPr>
            <w:r>
              <w:rPr>
                <w:szCs w:val="21"/>
              </w:rPr>
              <w:t>讲授/</w:t>
            </w:r>
            <w:r>
              <w:rPr>
                <w:rFonts w:hint="eastAsia"/>
                <w:szCs w:val="21"/>
              </w:rPr>
              <w:t>实验</w:t>
            </w:r>
            <w:r>
              <w:rPr>
                <w:szCs w:val="21"/>
              </w:rPr>
              <w:t>等</w:t>
            </w:r>
          </w:p>
        </w:tc>
        <w:tc>
          <w:tcPr>
            <w:tcW w:w="925" w:type="dxa"/>
            <w:noWrap w:val="0"/>
            <w:vAlign w:val="center"/>
          </w:tcPr>
          <w:p>
            <w:pPr>
              <w:jc w:val="center"/>
              <w:rPr>
                <w:b/>
                <w:kern w:val="0"/>
                <w:szCs w:val="21"/>
              </w:rPr>
            </w:pPr>
            <w:r>
              <w:rPr>
                <w:b/>
                <w:kern w:val="0"/>
                <w:szCs w:val="21"/>
              </w:rPr>
              <w:t>目标</w:t>
            </w:r>
            <w:r>
              <w:rPr>
                <w:rFonts w:hint="eastAsia"/>
                <w:b/>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hint="eastAsia"/>
                <w:szCs w:val="21"/>
              </w:rPr>
            </w:pPr>
            <w:r>
              <w:rPr>
                <w:rFonts w:hint="eastAsia"/>
                <w:szCs w:val="21"/>
              </w:rPr>
              <w:t>9</w:t>
            </w:r>
          </w:p>
        </w:tc>
        <w:tc>
          <w:tcPr>
            <w:tcW w:w="2632" w:type="dxa"/>
            <w:noWrap w:val="0"/>
            <w:vAlign w:val="center"/>
          </w:tcPr>
          <w:p>
            <w:pPr>
              <w:rPr>
                <w:b/>
                <w:kern w:val="0"/>
                <w:szCs w:val="21"/>
              </w:rPr>
            </w:pPr>
            <w:r>
              <w:rPr>
                <w:rFonts w:hint="eastAsia"/>
                <w:b/>
                <w:kern w:val="0"/>
                <w:szCs w:val="21"/>
              </w:rPr>
              <w:t>酮类化合物的制备原理和操作实现方法</w:t>
            </w:r>
          </w:p>
          <w:p>
            <w:pPr>
              <w:rPr>
                <w:rFonts w:hint="eastAsia"/>
                <w:bCs/>
                <w:kern w:val="0"/>
                <w:szCs w:val="21"/>
              </w:rPr>
            </w:pPr>
            <w:r>
              <w:rPr>
                <w:rFonts w:hint="eastAsia"/>
                <w:bCs/>
                <w:kern w:val="0"/>
                <w:szCs w:val="21"/>
              </w:rPr>
              <w:t>内容：环己酮的制备</w:t>
            </w:r>
          </w:p>
          <w:p>
            <w:pPr>
              <w:rPr>
                <w:rFonts w:hint="eastAsia"/>
                <w:b/>
                <w:kern w:val="0"/>
                <w:szCs w:val="21"/>
              </w:rPr>
            </w:pPr>
            <w:r>
              <w:rPr>
                <w:rFonts w:hint="eastAsia"/>
                <w:bCs/>
                <w:kern w:val="0"/>
                <w:szCs w:val="21"/>
              </w:rPr>
              <w:t>要求：掌握酮类化合物的制备原理和操作方法</w:t>
            </w:r>
          </w:p>
        </w:tc>
        <w:tc>
          <w:tcPr>
            <w:tcW w:w="1319" w:type="dxa"/>
            <w:noWrap w:val="0"/>
            <w:vAlign w:val="center"/>
          </w:tcPr>
          <w:p>
            <w:pPr>
              <w:rPr>
                <w:rFonts w:hint="eastAsia"/>
                <w:kern w:val="0"/>
                <w:szCs w:val="21"/>
              </w:rPr>
            </w:pPr>
            <w:r>
              <w:rPr>
                <w:rFonts w:hint="eastAsia"/>
                <w:kern w:val="0"/>
                <w:szCs w:val="21"/>
              </w:rPr>
              <w:t>通过介绍环己酮的制备原理以及注意事项，引入安全操作的重要性，培养学生树立安全生产的意识。</w:t>
            </w:r>
          </w:p>
        </w:tc>
        <w:tc>
          <w:tcPr>
            <w:tcW w:w="1843" w:type="dxa"/>
            <w:noWrap w:val="0"/>
            <w:vAlign w:val="center"/>
          </w:tcPr>
          <w:p>
            <w:pPr>
              <w:rPr>
                <w:kern w:val="0"/>
                <w:szCs w:val="21"/>
              </w:rPr>
            </w:pPr>
            <w:r>
              <w:rPr>
                <w:kern w:val="0"/>
                <w:szCs w:val="21"/>
              </w:rPr>
              <w:t>能够</w:t>
            </w:r>
            <w:r>
              <w:rPr>
                <w:rFonts w:hint="eastAsia"/>
                <w:kern w:val="0"/>
                <w:szCs w:val="21"/>
              </w:rPr>
              <w:t>掌握醚类化合物的制备原理及其实验操作。</w:t>
            </w:r>
          </w:p>
        </w:tc>
        <w:tc>
          <w:tcPr>
            <w:tcW w:w="699" w:type="dxa"/>
            <w:noWrap w:val="0"/>
            <w:vAlign w:val="center"/>
          </w:tcPr>
          <w:p>
            <w:pPr>
              <w:jc w:val="center"/>
              <w:rPr>
                <w:szCs w:val="21"/>
              </w:rPr>
            </w:pPr>
            <w:r>
              <w:rPr>
                <w:rFonts w:hint="eastAsia"/>
                <w:szCs w:val="21"/>
              </w:rPr>
              <w:t>3</w:t>
            </w:r>
          </w:p>
        </w:tc>
        <w:tc>
          <w:tcPr>
            <w:tcW w:w="975" w:type="dxa"/>
            <w:noWrap w:val="0"/>
            <w:vAlign w:val="center"/>
          </w:tcPr>
          <w:p>
            <w:pPr>
              <w:rPr>
                <w:szCs w:val="21"/>
              </w:rPr>
            </w:pPr>
            <w:r>
              <w:rPr>
                <w:szCs w:val="21"/>
              </w:rPr>
              <w:t>讲授/</w:t>
            </w:r>
            <w:r>
              <w:rPr>
                <w:rFonts w:hint="eastAsia"/>
                <w:szCs w:val="21"/>
              </w:rPr>
              <w:t>实验</w:t>
            </w:r>
            <w:r>
              <w:rPr>
                <w:szCs w:val="21"/>
              </w:rPr>
              <w:t>等</w:t>
            </w:r>
          </w:p>
        </w:tc>
        <w:tc>
          <w:tcPr>
            <w:tcW w:w="925" w:type="dxa"/>
            <w:noWrap w:val="0"/>
            <w:vAlign w:val="center"/>
          </w:tcPr>
          <w:p>
            <w:pPr>
              <w:jc w:val="center"/>
              <w:rPr>
                <w:b/>
                <w:kern w:val="0"/>
                <w:szCs w:val="21"/>
              </w:rPr>
            </w:pPr>
            <w:r>
              <w:rPr>
                <w:b/>
                <w:kern w:val="0"/>
                <w:szCs w:val="21"/>
              </w:rPr>
              <w:t>目标</w:t>
            </w:r>
            <w:r>
              <w:rPr>
                <w:rFonts w:hint="eastAsia"/>
                <w:b/>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hint="eastAsia"/>
                <w:szCs w:val="21"/>
              </w:rPr>
            </w:pPr>
            <w:r>
              <w:rPr>
                <w:rFonts w:hint="eastAsia"/>
                <w:szCs w:val="21"/>
              </w:rPr>
              <w:t>1</w:t>
            </w:r>
            <w:r>
              <w:rPr>
                <w:szCs w:val="21"/>
              </w:rPr>
              <w:t>0</w:t>
            </w:r>
          </w:p>
        </w:tc>
        <w:tc>
          <w:tcPr>
            <w:tcW w:w="2632" w:type="dxa"/>
            <w:noWrap w:val="0"/>
            <w:vAlign w:val="center"/>
          </w:tcPr>
          <w:p>
            <w:pPr>
              <w:rPr>
                <w:b/>
                <w:kern w:val="0"/>
                <w:szCs w:val="21"/>
              </w:rPr>
            </w:pPr>
            <w:r>
              <w:rPr>
                <w:rFonts w:hint="eastAsia"/>
                <w:b/>
                <w:kern w:val="0"/>
                <w:szCs w:val="21"/>
              </w:rPr>
              <w:t>酯类化合物的制备原理和操作实现方法</w:t>
            </w:r>
          </w:p>
          <w:p>
            <w:pPr>
              <w:rPr>
                <w:rFonts w:hint="eastAsia"/>
                <w:bCs/>
                <w:kern w:val="0"/>
                <w:szCs w:val="21"/>
              </w:rPr>
            </w:pPr>
            <w:r>
              <w:rPr>
                <w:rFonts w:hint="eastAsia"/>
                <w:bCs/>
                <w:kern w:val="0"/>
                <w:szCs w:val="21"/>
              </w:rPr>
              <w:t>内容：乙酸乙酯的制备</w:t>
            </w:r>
          </w:p>
          <w:p>
            <w:pPr>
              <w:rPr>
                <w:rFonts w:hint="eastAsia"/>
                <w:bCs/>
                <w:kern w:val="0"/>
                <w:szCs w:val="21"/>
              </w:rPr>
            </w:pPr>
            <w:r>
              <w:rPr>
                <w:rFonts w:hint="eastAsia"/>
                <w:bCs/>
                <w:kern w:val="0"/>
                <w:szCs w:val="21"/>
              </w:rPr>
              <w:t>要求：1、掌握乙酸乙酯的制备原理及实验方法。</w:t>
            </w:r>
          </w:p>
          <w:p>
            <w:pPr>
              <w:rPr>
                <w:rFonts w:hint="eastAsia"/>
                <w:b/>
                <w:kern w:val="0"/>
                <w:szCs w:val="21"/>
              </w:rPr>
            </w:pPr>
            <w:r>
              <w:rPr>
                <w:rFonts w:hint="eastAsia"/>
                <w:bCs/>
                <w:kern w:val="0"/>
                <w:szCs w:val="21"/>
              </w:rPr>
              <w:t>2、</w:t>
            </w:r>
            <w:r>
              <w:rPr>
                <w:rFonts w:hint="eastAsia"/>
                <w:bCs/>
                <w:kern w:val="0"/>
                <w:szCs w:val="21"/>
              </w:rPr>
              <w:tab/>
            </w:r>
            <w:r>
              <w:rPr>
                <w:rFonts w:hint="eastAsia"/>
                <w:bCs/>
                <w:kern w:val="0"/>
                <w:szCs w:val="21"/>
              </w:rPr>
              <w:t>巩固回流和重结晶的实验操作</w:t>
            </w:r>
          </w:p>
        </w:tc>
        <w:tc>
          <w:tcPr>
            <w:tcW w:w="1319" w:type="dxa"/>
            <w:noWrap w:val="0"/>
            <w:vAlign w:val="center"/>
          </w:tcPr>
          <w:p>
            <w:pPr>
              <w:rPr>
                <w:rFonts w:hint="eastAsia"/>
                <w:kern w:val="0"/>
                <w:szCs w:val="21"/>
              </w:rPr>
            </w:pPr>
            <w:r>
              <w:rPr>
                <w:rFonts w:hint="eastAsia"/>
                <w:kern w:val="0"/>
                <w:szCs w:val="21"/>
              </w:rPr>
              <w:t>通过介绍乙酸乙酯的制备原理及其实验操作注意事项，引入适度原则的重要意义。</w:t>
            </w:r>
          </w:p>
        </w:tc>
        <w:tc>
          <w:tcPr>
            <w:tcW w:w="1843" w:type="dxa"/>
            <w:noWrap w:val="0"/>
            <w:vAlign w:val="center"/>
          </w:tcPr>
          <w:p>
            <w:pPr>
              <w:rPr>
                <w:kern w:val="0"/>
                <w:szCs w:val="21"/>
              </w:rPr>
            </w:pPr>
            <w:r>
              <w:rPr>
                <w:rFonts w:hint="eastAsia"/>
                <w:kern w:val="0"/>
                <w:szCs w:val="21"/>
              </w:rPr>
              <w:t>能够掌握类化合物的制备原理及其实验操作。</w:t>
            </w:r>
          </w:p>
        </w:tc>
        <w:tc>
          <w:tcPr>
            <w:tcW w:w="699" w:type="dxa"/>
            <w:noWrap w:val="0"/>
            <w:vAlign w:val="center"/>
          </w:tcPr>
          <w:p>
            <w:pPr>
              <w:jc w:val="center"/>
              <w:rPr>
                <w:szCs w:val="21"/>
              </w:rPr>
            </w:pPr>
            <w:r>
              <w:rPr>
                <w:rFonts w:hint="eastAsia"/>
                <w:szCs w:val="21"/>
              </w:rPr>
              <w:t>3</w:t>
            </w:r>
          </w:p>
        </w:tc>
        <w:tc>
          <w:tcPr>
            <w:tcW w:w="975" w:type="dxa"/>
            <w:noWrap w:val="0"/>
            <w:vAlign w:val="center"/>
          </w:tcPr>
          <w:p>
            <w:pPr>
              <w:rPr>
                <w:szCs w:val="21"/>
              </w:rPr>
            </w:pPr>
            <w:r>
              <w:rPr>
                <w:szCs w:val="21"/>
              </w:rPr>
              <w:t>讲授/</w:t>
            </w:r>
            <w:r>
              <w:rPr>
                <w:rFonts w:hint="eastAsia"/>
                <w:szCs w:val="21"/>
              </w:rPr>
              <w:t>实验</w:t>
            </w:r>
            <w:r>
              <w:rPr>
                <w:szCs w:val="21"/>
              </w:rPr>
              <w:t>等</w:t>
            </w:r>
          </w:p>
        </w:tc>
        <w:tc>
          <w:tcPr>
            <w:tcW w:w="925" w:type="dxa"/>
            <w:noWrap w:val="0"/>
            <w:vAlign w:val="center"/>
          </w:tcPr>
          <w:p>
            <w:pPr>
              <w:jc w:val="center"/>
              <w:rPr>
                <w:b/>
                <w:kern w:val="0"/>
                <w:szCs w:val="21"/>
              </w:rPr>
            </w:pPr>
            <w:r>
              <w:rPr>
                <w:b/>
                <w:kern w:val="0"/>
                <w:szCs w:val="21"/>
              </w:rPr>
              <w:t>目标</w:t>
            </w:r>
            <w:r>
              <w:rPr>
                <w:rFonts w:hint="eastAsia"/>
                <w:b/>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hint="eastAsia"/>
                <w:szCs w:val="21"/>
              </w:rPr>
            </w:pPr>
            <w:r>
              <w:rPr>
                <w:rFonts w:hint="eastAsia"/>
                <w:szCs w:val="21"/>
              </w:rPr>
              <w:t>11</w:t>
            </w:r>
          </w:p>
        </w:tc>
        <w:tc>
          <w:tcPr>
            <w:tcW w:w="2632" w:type="dxa"/>
            <w:noWrap w:val="0"/>
            <w:vAlign w:val="center"/>
          </w:tcPr>
          <w:p>
            <w:pPr>
              <w:rPr>
                <w:b/>
                <w:kern w:val="0"/>
                <w:szCs w:val="21"/>
              </w:rPr>
            </w:pPr>
            <w:r>
              <w:rPr>
                <w:rFonts w:hint="eastAsia"/>
                <w:b/>
                <w:kern w:val="0"/>
                <w:szCs w:val="21"/>
              </w:rPr>
              <w:t>各类有机化合物官能团的检测</w:t>
            </w:r>
          </w:p>
          <w:p>
            <w:pPr>
              <w:rPr>
                <w:rFonts w:hint="eastAsia"/>
                <w:bCs/>
                <w:kern w:val="0"/>
                <w:szCs w:val="21"/>
              </w:rPr>
            </w:pPr>
            <w:r>
              <w:rPr>
                <w:rFonts w:hint="eastAsia"/>
                <w:bCs/>
                <w:kern w:val="0"/>
                <w:szCs w:val="21"/>
              </w:rPr>
              <w:t>内容：红外仪器对常见有机化合物的表征</w:t>
            </w:r>
          </w:p>
          <w:p>
            <w:pPr>
              <w:rPr>
                <w:rFonts w:hint="eastAsia"/>
                <w:bCs/>
                <w:kern w:val="0"/>
                <w:szCs w:val="21"/>
              </w:rPr>
            </w:pPr>
            <w:r>
              <w:rPr>
                <w:rFonts w:hint="eastAsia"/>
                <w:bCs/>
                <w:kern w:val="0"/>
                <w:szCs w:val="21"/>
              </w:rPr>
              <w:t>要求：1、了解红外测定有机物官能团的原理；</w:t>
            </w:r>
          </w:p>
          <w:p>
            <w:pPr>
              <w:rPr>
                <w:rFonts w:hint="eastAsia"/>
                <w:b/>
                <w:kern w:val="0"/>
                <w:szCs w:val="21"/>
              </w:rPr>
            </w:pPr>
            <w:r>
              <w:rPr>
                <w:rFonts w:hint="eastAsia"/>
                <w:bCs/>
                <w:kern w:val="0"/>
                <w:szCs w:val="21"/>
              </w:rPr>
              <w:t>2、掌握常见官能团的特征峰位。</w:t>
            </w:r>
          </w:p>
        </w:tc>
        <w:tc>
          <w:tcPr>
            <w:tcW w:w="1319" w:type="dxa"/>
            <w:noWrap w:val="0"/>
            <w:vAlign w:val="center"/>
          </w:tcPr>
          <w:p>
            <w:pPr>
              <w:rPr>
                <w:rFonts w:hint="eastAsia"/>
                <w:kern w:val="0"/>
                <w:szCs w:val="21"/>
              </w:rPr>
            </w:pPr>
            <w:r>
              <w:rPr>
                <w:rFonts w:hint="eastAsia"/>
                <w:kern w:val="0"/>
                <w:szCs w:val="21"/>
              </w:rPr>
              <w:t>通过介绍红外仪器以及其检测原理，引入我国目前红外检测的进展，增强学生的民族自豪感。</w:t>
            </w:r>
          </w:p>
        </w:tc>
        <w:tc>
          <w:tcPr>
            <w:tcW w:w="1843" w:type="dxa"/>
            <w:noWrap w:val="0"/>
            <w:vAlign w:val="center"/>
          </w:tcPr>
          <w:p>
            <w:pPr>
              <w:rPr>
                <w:kern w:val="0"/>
                <w:szCs w:val="21"/>
              </w:rPr>
            </w:pPr>
            <w:r>
              <w:rPr>
                <w:rFonts w:hint="eastAsia"/>
                <w:kern w:val="0"/>
                <w:szCs w:val="21"/>
              </w:rPr>
              <w:t>能够掌握常见有机物官能团的检测方法及检测原理。</w:t>
            </w:r>
          </w:p>
        </w:tc>
        <w:tc>
          <w:tcPr>
            <w:tcW w:w="699" w:type="dxa"/>
            <w:noWrap w:val="0"/>
            <w:vAlign w:val="center"/>
          </w:tcPr>
          <w:p>
            <w:pPr>
              <w:jc w:val="center"/>
              <w:rPr>
                <w:szCs w:val="21"/>
              </w:rPr>
            </w:pPr>
            <w:r>
              <w:rPr>
                <w:rFonts w:hint="eastAsia"/>
                <w:szCs w:val="21"/>
              </w:rPr>
              <w:t>2</w:t>
            </w:r>
          </w:p>
        </w:tc>
        <w:tc>
          <w:tcPr>
            <w:tcW w:w="975" w:type="dxa"/>
            <w:noWrap w:val="0"/>
            <w:vAlign w:val="center"/>
          </w:tcPr>
          <w:p>
            <w:pPr>
              <w:rPr>
                <w:szCs w:val="21"/>
              </w:rPr>
            </w:pPr>
            <w:r>
              <w:rPr>
                <w:szCs w:val="21"/>
              </w:rPr>
              <w:t>讲授/</w:t>
            </w:r>
            <w:r>
              <w:rPr>
                <w:rFonts w:hint="eastAsia"/>
                <w:szCs w:val="21"/>
              </w:rPr>
              <w:t>实验</w:t>
            </w:r>
            <w:r>
              <w:rPr>
                <w:szCs w:val="21"/>
              </w:rPr>
              <w:t>等</w:t>
            </w:r>
          </w:p>
        </w:tc>
        <w:tc>
          <w:tcPr>
            <w:tcW w:w="925" w:type="dxa"/>
            <w:noWrap w:val="0"/>
            <w:vAlign w:val="center"/>
          </w:tcPr>
          <w:p>
            <w:pPr>
              <w:jc w:val="center"/>
              <w:rPr>
                <w:b/>
                <w:kern w:val="0"/>
                <w:szCs w:val="21"/>
              </w:rPr>
            </w:pPr>
            <w:r>
              <w:rPr>
                <w:b/>
                <w:kern w:val="0"/>
                <w:szCs w:val="21"/>
              </w:rPr>
              <w:t>目标</w:t>
            </w:r>
            <w:r>
              <w:rPr>
                <w:rFonts w:hint="eastAsia"/>
                <w:b/>
                <w:kern w:val="0"/>
                <w:szCs w:val="21"/>
              </w:rPr>
              <w:t>1</w:t>
            </w:r>
          </w:p>
        </w:tc>
      </w:tr>
    </w:tbl>
    <w:p>
      <w:pPr>
        <w:spacing w:line="360" w:lineRule="auto"/>
        <w:ind w:firstLine="562" w:firstLineChars="200"/>
        <w:rPr>
          <w:b/>
          <w:sz w:val="28"/>
          <w:szCs w:val="28"/>
        </w:rPr>
      </w:pPr>
    </w:p>
    <w:p>
      <w:pPr>
        <w:spacing w:line="360" w:lineRule="auto"/>
        <w:ind w:firstLine="562" w:firstLineChars="200"/>
        <w:rPr>
          <w:b/>
          <w:sz w:val="28"/>
          <w:szCs w:val="28"/>
        </w:rPr>
      </w:pPr>
      <w:r>
        <w:rPr>
          <w:rFonts w:hint="eastAsia"/>
          <w:b/>
          <w:sz w:val="28"/>
          <w:szCs w:val="28"/>
        </w:rPr>
        <w:t>四、课程实施</w:t>
      </w:r>
    </w:p>
    <w:p>
      <w:pPr>
        <w:spacing w:line="360" w:lineRule="auto"/>
        <w:ind w:firstLine="482" w:firstLineChars="200"/>
        <w:rPr>
          <w:b/>
          <w:sz w:val="24"/>
        </w:rPr>
      </w:pPr>
      <w:r>
        <w:rPr>
          <w:rFonts w:hint="eastAsia"/>
          <w:b/>
          <w:sz w:val="24"/>
        </w:rPr>
        <w:t>（一）教学方法与教学手段</w:t>
      </w:r>
    </w:p>
    <w:p>
      <w:pPr>
        <w:spacing w:line="360" w:lineRule="auto"/>
        <w:ind w:firstLine="480" w:firstLineChars="200"/>
        <w:jc w:val="left"/>
        <w:rPr>
          <w:color w:val="000000"/>
          <w:sz w:val="24"/>
        </w:rPr>
      </w:pPr>
      <w:r>
        <w:rPr>
          <w:rFonts w:hint="eastAsia"/>
          <w:color w:val="000000"/>
          <w:sz w:val="24"/>
        </w:rPr>
        <w:t>有机化学实验强调实践、动手能力，注重实验过程中产品质量和产率，同时绿色化学和可持续发展理念也会贯穿整个课程始终，因此，课程采用案例分析法配合实际操作演示，将有机化学实验的复杂性和侧重点通过多种方式教授给学生。</w:t>
      </w:r>
    </w:p>
    <w:tbl>
      <w:tblPr>
        <w:tblStyle w:val="10"/>
        <w:tblW w:w="88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
        <w:gridCol w:w="1276"/>
        <w:gridCol w:w="6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17" w:type="dxa"/>
            <w:gridSpan w:val="2"/>
            <w:noWrap w:val="0"/>
            <w:vAlign w:val="center"/>
          </w:tcPr>
          <w:p>
            <w:pPr>
              <w:snapToGrid w:val="0"/>
              <w:jc w:val="center"/>
              <w:rPr>
                <w:bCs/>
              </w:rPr>
            </w:pPr>
            <w:r>
              <w:rPr>
                <w:bCs/>
              </w:rPr>
              <w:t>主要</w:t>
            </w:r>
            <w:r>
              <w:rPr>
                <w:rFonts w:hint="eastAsia"/>
                <w:bCs/>
              </w:rPr>
              <w:t>教学</w:t>
            </w:r>
            <w:r>
              <w:rPr>
                <w:bCs/>
              </w:rPr>
              <w:t>环节</w:t>
            </w:r>
          </w:p>
        </w:tc>
        <w:tc>
          <w:tcPr>
            <w:tcW w:w="6704" w:type="dxa"/>
            <w:noWrap w:val="0"/>
            <w:vAlign w:val="center"/>
          </w:tcPr>
          <w:p>
            <w:pPr>
              <w:snapToGrid w:val="0"/>
              <w:jc w:val="center"/>
              <w:rPr>
                <w:bCs/>
              </w:rPr>
            </w:pPr>
            <w:r>
              <w:rPr>
                <w:bCs/>
              </w:rPr>
              <w:t>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1" w:type="dxa"/>
            <w:vMerge w:val="restart"/>
            <w:noWrap w:val="0"/>
            <w:vAlign w:val="center"/>
          </w:tcPr>
          <w:p>
            <w:pPr>
              <w:jc w:val="center"/>
              <w:rPr>
                <w:szCs w:val="21"/>
              </w:rPr>
            </w:pPr>
            <w:r>
              <w:rPr>
                <w:rFonts w:hint="eastAsia"/>
                <w:szCs w:val="21"/>
              </w:rPr>
              <w:t>准备</w:t>
            </w:r>
            <w:r>
              <w:rPr>
                <w:szCs w:val="21"/>
              </w:rPr>
              <w:t>阶段</w:t>
            </w:r>
          </w:p>
        </w:tc>
        <w:tc>
          <w:tcPr>
            <w:tcW w:w="1276" w:type="dxa"/>
            <w:noWrap w:val="0"/>
            <w:vAlign w:val="center"/>
          </w:tcPr>
          <w:p>
            <w:pPr>
              <w:spacing w:line="276" w:lineRule="auto"/>
              <w:rPr>
                <w:szCs w:val="21"/>
              </w:rPr>
            </w:pPr>
            <w:r>
              <w:rPr>
                <w:szCs w:val="21"/>
              </w:rPr>
              <w:t>1.实践计划</w:t>
            </w:r>
          </w:p>
        </w:tc>
        <w:tc>
          <w:tcPr>
            <w:tcW w:w="6704" w:type="dxa"/>
            <w:noWrap w:val="0"/>
            <w:vAlign w:val="center"/>
          </w:tcPr>
          <w:p>
            <w:pPr>
              <w:spacing w:line="276" w:lineRule="auto"/>
              <w:rPr>
                <w:szCs w:val="21"/>
              </w:rPr>
            </w:pPr>
            <w:r>
              <w:rPr>
                <w:szCs w:val="21"/>
              </w:rPr>
              <w:t>根据学校要求及专业人才培养方案，制定详实可行的</w:t>
            </w:r>
            <w:r>
              <w:rPr>
                <w:rFonts w:hint="eastAsia"/>
                <w:szCs w:val="21"/>
              </w:rPr>
              <w:t>实验项目</w:t>
            </w:r>
            <w:r>
              <w:rPr>
                <w:szCs w:val="21"/>
              </w:rPr>
              <w:t>计划，并在设计开始前发放给学生。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1" w:type="dxa"/>
            <w:vMerge w:val="continue"/>
            <w:noWrap w:val="0"/>
            <w:vAlign w:val="center"/>
          </w:tcPr>
          <w:p>
            <w:pPr>
              <w:jc w:val="center"/>
              <w:rPr>
                <w:szCs w:val="21"/>
              </w:rPr>
            </w:pPr>
          </w:p>
        </w:tc>
        <w:tc>
          <w:tcPr>
            <w:tcW w:w="1276" w:type="dxa"/>
            <w:noWrap w:val="0"/>
            <w:vAlign w:val="center"/>
          </w:tcPr>
          <w:p>
            <w:pPr>
              <w:snapToGrid w:val="0"/>
              <w:spacing w:line="276" w:lineRule="auto"/>
              <w:rPr>
                <w:szCs w:val="21"/>
              </w:rPr>
            </w:pPr>
            <w:r>
              <w:rPr>
                <w:szCs w:val="21"/>
              </w:rPr>
              <w:t>2.指导老师</w:t>
            </w:r>
          </w:p>
        </w:tc>
        <w:tc>
          <w:tcPr>
            <w:tcW w:w="6704" w:type="dxa"/>
            <w:noWrap w:val="0"/>
            <w:vAlign w:val="center"/>
          </w:tcPr>
          <w:p>
            <w:pPr>
              <w:snapToGrid w:val="0"/>
              <w:spacing w:line="276" w:lineRule="auto"/>
              <w:rPr>
                <w:rFonts w:hint="eastAsia"/>
                <w:szCs w:val="21"/>
              </w:rPr>
            </w:pPr>
            <w:r>
              <w:rPr>
                <w:szCs w:val="21"/>
              </w:rPr>
              <w:t>指导教师由工程经验丰富、对动手能力强的讲师及以上职称的教师担任，具备扎实的理论基础知识和丰富的实践经验；指导教师在</w:t>
            </w:r>
            <w:r>
              <w:rPr>
                <w:rFonts w:hint="eastAsia"/>
                <w:szCs w:val="21"/>
              </w:rPr>
              <w:t>实验指导</w:t>
            </w:r>
            <w:r>
              <w:rPr>
                <w:szCs w:val="21"/>
              </w:rPr>
              <w:t>前熟悉大纲。</w:t>
            </w:r>
            <w:r>
              <w:rPr>
                <w:rFonts w:hint="eastAsia"/>
                <w:szCs w:val="21"/>
              </w:rPr>
              <w:t>并与配备的实验室辅助人员进行沟通和分配工作任务，做好实验前药品及实验室相关准备工作。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1" w:type="dxa"/>
            <w:vMerge w:val="continue"/>
            <w:noWrap w:val="0"/>
            <w:vAlign w:val="center"/>
          </w:tcPr>
          <w:p>
            <w:pPr>
              <w:jc w:val="center"/>
              <w:rPr>
                <w:szCs w:val="21"/>
              </w:rPr>
            </w:pPr>
          </w:p>
        </w:tc>
        <w:tc>
          <w:tcPr>
            <w:tcW w:w="1276" w:type="dxa"/>
            <w:noWrap w:val="0"/>
            <w:vAlign w:val="center"/>
          </w:tcPr>
          <w:p>
            <w:pPr>
              <w:snapToGrid w:val="0"/>
              <w:spacing w:line="276" w:lineRule="auto"/>
              <w:rPr>
                <w:szCs w:val="21"/>
              </w:rPr>
            </w:pPr>
            <w:r>
              <w:rPr>
                <w:szCs w:val="21"/>
              </w:rPr>
              <w:t>3.实践教材</w:t>
            </w:r>
          </w:p>
        </w:tc>
        <w:tc>
          <w:tcPr>
            <w:tcW w:w="6704" w:type="dxa"/>
            <w:noWrap w:val="0"/>
            <w:vAlign w:val="center"/>
          </w:tcPr>
          <w:p>
            <w:pPr>
              <w:snapToGrid w:val="0"/>
              <w:spacing w:line="276" w:lineRule="auto"/>
              <w:rPr>
                <w:szCs w:val="21"/>
              </w:rPr>
            </w:pPr>
            <w:r>
              <w:rPr>
                <w:szCs w:val="21"/>
              </w:rPr>
              <w:t>根据教学大纲要求和教学时采用的教材，撰写有针对性的指导书。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1" w:type="dxa"/>
            <w:vMerge w:val="continue"/>
            <w:noWrap w:val="0"/>
            <w:vAlign w:val="center"/>
          </w:tcPr>
          <w:p>
            <w:pPr>
              <w:jc w:val="center"/>
              <w:rPr>
                <w:szCs w:val="21"/>
              </w:rPr>
            </w:pPr>
          </w:p>
        </w:tc>
        <w:tc>
          <w:tcPr>
            <w:tcW w:w="1276" w:type="dxa"/>
            <w:noWrap w:val="0"/>
            <w:vAlign w:val="center"/>
          </w:tcPr>
          <w:p>
            <w:pPr>
              <w:snapToGrid w:val="0"/>
              <w:spacing w:line="276" w:lineRule="auto"/>
              <w:rPr>
                <w:szCs w:val="21"/>
              </w:rPr>
            </w:pPr>
            <w:r>
              <w:rPr>
                <w:szCs w:val="21"/>
              </w:rPr>
              <w:t>4.组织管理</w:t>
            </w:r>
          </w:p>
        </w:tc>
        <w:tc>
          <w:tcPr>
            <w:tcW w:w="6704" w:type="dxa"/>
            <w:noWrap w:val="0"/>
            <w:vAlign w:val="center"/>
          </w:tcPr>
          <w:p>
            <w:pPr>
              <w:snapToGrid w:val="0"/>
              <w:spacing w:line="276" w:lineRule="auto"/>
              <w:rPr>
                <w:szCs w:val="21"/>
              </w:rPr>
            </w:pPr>
            <w:r>
              <w:rPr>
                <w:szCs w:val="21"/>
              </w:rPr>
              <w:t>进行安全教育</w:t>
            </w:r>
            <w:r>
              <w:rPr>
                <w:rFonts w:hint="eastAsia"/>
                <w:szCs w:val="21"/>
              </w:rPr>
              <w:t>和培训，并通过实验室安全管理的相关考核后方可进入实验室</w:t>
            </w:r>
            <w:r>
              <w:rPr>
                <w:szCs w:val="21"/>
              </w:rPr>
              <w:t>，</w:t>
            </w:r>
            <w:r>
              <w:rPr>
                <w:rFonts w:hint="eastAsia"/>
                <w:szCs w:val="21"/>
              </w:rPr>
              <w:t>并</w:t>
            </w:r>
            <w:r>
              <w:rPr>
                <w:szCs w:val="21"/>
              </w:rPr>
              <w:t>建立有效交流手段，明确具体</w:t>
            </w:r>
            <w:r>
              <w:rPr>
                <w:rFonts w:hint="eastAsia"/>
                <w:szCs w:val="21"/>
              </w:rPr>
              <w:t>实验的</w:t>
            </w:r>
            <w:r>
              <w:rPr>
                <w:szCs w:val="21"/>
              </w:rPr>
              <w:t>任务和要求。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1" w:type="dxa"/>
            <w:vMerge w:val="restart"/>
            <w:noWrap w:val="0"/>
            <w:vAlign w:val="center"/>
          </w:tcPr>
          <w:p>
            <w:pPr>
              <w:jc w:val="center"/>
              <w:rPr>
                <w:szCs w:val="21"/>
              </w:rPr>
            </w:pPr>
            <w:r>
              <w:rPr>
                <w:rFonts w:hint="eastAsia"/>
                <w:szCs w:val="21"/>
              </w:rPr>
              <w:t>实施</w:t>
            </w:r>
            <w:r>
              <w:rPr>
                <w:szCs w:val="21"/>
              </w:rPr>
              <w:t>阶段</w:t>
            </w:r>
          </w:p>
        </w:tc>
        <w:tc>
          <w:tcPr>
            <w:tcW w:w="1276" w:type="dxa"/>
            <w:noWrap w:val="0"/>
            <w:vAlign w:val="center"/>
          </w:tcPr>
          <w:p>
            <w:pPr>
              <w:spacing w:line="276" w:lineRule="auto"/>
              <w:rPr>
                <w:szCs w:val="21"/>
              </w:rPr>
            </w:pPr>
            <w:r>
              <w:rPr>
                <w:szCs w:val="21"/>
              </w:rPr>
              <w:t>1.计划执行</w:t>
            </w:r>
          </w:p>
        </w:tc>
        <w:tc>
          <w:tcPr>
            <w:tcW w:w="6704" w:type="dxa"/>
            <w:noWrap w:val="0"/>
            <w:vAlign w:val="center"/>
          </w:tcPr>
          <w:p>
            <w:pPr>
              <w:spacing w:line="276" w:lineRule="auto"/>
              <w:rPr>
                <w:szCs w:val="21"/>
              </w:rPr>
            </w:pPr>
            <w:r>
              <w:rPr>
                <w:szCs w:val="21"/>
              </w:rPr>
              <w:t xml:space="preserve">严格教学大纲的要求，及时开展设计进程。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1" w:type="dxa"/>
            <w:vMerge w:val="continue"/>
            <w:noWrap w:val="0"/>
            <w:vAlign w:val="center"/>
          </w:tcPr>
          <w:p>
            <w:pPr>
              <w:jc w:val="center"/>
              <w:rPr>
                <w:szCs w:val="21"/>
              </w:rPr>
            </w:pPr>
          </w:p>
        </w:tc>
        <w:tc>
          <w:tcPr>
            <w:tcW w:w="1276" w:type="dxa"/>
            <w:noWrap w:val="0"/>
            <w:vAlign w:val="center"/>
          </w:tcPr>
          <w:p>
            <w:pPr>
              <w:snapToGrid w:val="0"/>
              <w:spacing w:line="276" w:lineRule="auto"/>
              <w:rPr>
                <w:szCs w:val="21"/>
              </w:rPr>
            </w:pPr>
            <w:r>
              <w:rPr>
                <w:szCs w:val="21"/>
              </w:rPr>
              <w:t>2.实践指导</w:t>
            </w:r>
          </w:p>
        </w:tc>
        <w:tc>
          <w:tcPr>
            <w:tcW w:w="6704" w:type="dxa"/>
            <w:noWrap w:val="0"/>
            <w:vAlign w:val="center"/>
          </w:tcPr>
          <w:p>
            <w:pPr>
              <w:snapToGrid w:val="0"/>
              <w:spacing w:line="276" w:lineRule="auto"/>
              <w:rPr>
                <w:szCs w:val="21"/>
              </w:rPr>
            </w:pPr>
            <w:r>
              <w:rPr>
                <w:szCs w:val="21"/>
              </w:rPr>
              <w:t>按要求对每个学生予以指导，及时解决</w:t>
            </w:r>
            <w:r>
              <w:rPr>
                <w:rFonts w:hint="eastAsia"/>
                <w:szCs w:val="21"/>
              </w:rPr>
              <w:t>实验过程</w:t>
            </w:r>
            <w:r>
              <w:rPr>
                <w:szCs w:val="21"/>
              </w:rPr>
              <w:t>中的问题。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1" w:type="dxa"/>
            <w:vMerge w:val="continue"/>
            <w:noWrap w:val="0"/>
            <w:vAlign w:val="center"/>
          </w:tcPr>
          <w:p>
            <w:pPr>
              <w:jc w:val="center"/>
              <w:rPr>
                <w:szCs w:val="21"/>
              </w:rPr>
            </w:pPr>
          </w:p>
        </w:tc>
        <w:tc>
          <w:tcPr>
            <w:tcW w:w="1276" w:type="dxa"/>
            <w:noWrap w:val="0"/>
            <w:vAlign w:val="center"/>
          </w:tcPr>
          <w:p>
            <w:pPr>
              <w:snapToGrid w:val="0"/>
              <w:spacing w:line="276" w:lineRule="auto"/>
              <w:rPr>
                <w:szCs w:val="21"/>
              </w:rPr>
            </w:pPr>
            <w:r>
              <w:rPr>
                <w:szCs w:val="21"/>
              </w:rPr>
              <w:t>3.学生管理</w:t>
            </w:r>
          </w:p>
        </w:tc>
        <w:tc>
          <w:tcPr>
            <w:tcW w:w="6704" w:type="dxa"/>
            <w:noWrap w:val="0"/>
            <w:vAlign w:val="center"/>
          </w:tcPr>
          <w:p>
            <w:pPr>
              <w:snapToGrid w:val="0"/>
              <w:spacing w:line="276" w:lineRule="auto"/>
              <w:rPr>
                <w:szCs w:val="21"/>
              </w:rPr>
            </w:pPr>
            <w:r>
              <w:rPr>
                <w:szCs w:val="21"/>
              </w:rPr>
              <w:t>严格进行考勤和平时考核；对迟到、早退和无故缺勤等违纪情况及时处理。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1" w:type="dxa"/>
            <w:vMerge w:val="continue"/>
            <w:noWrap w:val="0"/>
            <w:vAlign w:val="center"/>
          </w:tcPr>
          <w:p>
            <w:pPr>
              <w:jc w:val="center"/>
              <w:rPr>
                <w:szCs w:val="21"/>
              </w:rPr>
            </w:pPr>
          </w:p>
        </w:tc>
        <w:tc>
          <w:tcPr>
            <w:tcW w:w="1276" w:type="dxa"/>
            <w:noWrap w:val="0"/>
            <w:vAlign w:val="center"/>
          </w:tcPr>
          <w:p>
            <w:pPr>
              <w:snapToGrid w:val="0"/>
              <w:spacing w:line="276" w:lineRule="auto"/>
              <w:rPr>
                <w:szCs w:val="21"/>
              </w:rPr>
            </w:pPr>
            <w:r>
              <w:rPr>
                <w:szCs w:val="21"/>
              </w:rPr>
              <w:t>4.教学检查</w:t>
            </w:r>
          </w:p>
        </w:tc>
        <w:tc>
          <w:tcPr>
            <w:tcW w:w="6704" w:type="dxa"/>
            <w:noWrap w:val="0"/>
            <w:vAlign w:val="center"/>
          </w:tcPr>
          <w:p>
            <w:pPr>
              <w:snapToGrid w:val="0"/>
              <w:spacing w:line="276" w:lineRule="auto"/>
              <w:rPr>
                <w:szCs w:val="21"/>
              </w:rPr>
            </w:pPr>
            <w:r>
              <w:rPr>
                <w:szCs w:val="21"/>
              </w:rPr>
              <w:t>学院有计划地开展督导检查，并及时反馈检查情况。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1" w:type="dxa"/>
            <w:vMerge w:val="restart"/>
            <w:noWrap w:val="0"/>
            <w:vAlign w:val="center"/>
          </w:tcPr>
          <w:p>
            <w:pPr>
              <w:jc w:val="center"/>
              <w:rPr>
                <w:szCs w:val="21"/>
              </w:rPr>
            </w:pPr>
            <w:r>
              <w:rPr>
                <w:szCs w:val="21"/>
              </w:rPr>
              <w:t>总结考核</w:t>
            </w:r>
          </w:p>
        </w:tc>
        <w:tc>
          <w:tcPr>
            <w:tcW w:w="1276" w:type="dxa"/>
            <w:noWrap w:val="0"/>
            <w:vAlign w:val="center"/>
          </w:tcPr>
          <w:p>
            <w:pPr>
              <w:spacing w:line="276" w:lineRule="auto"/>
              <w:rPr>
                <w:szCs w:val="21"/>
              </w:rPr>
            </w:pPr>
            <w:r>
              <w:rPr>
                <w:szCs w:val="21"/>
              </w:rPr>
              <w:t>1.实践报告</w:t>
            </w:r>
          </w:p>
        </w:tc>
        <w:tc>
          <w:tcPr>
            <w:tcW w:w="6704" w:type="dxa"/>
            <w:noWrap w:val="0"/>
            <w:vAlign w:val="center"/>
          </w:tcPr>
          <w:p>
            <w:pPr>
              <w:spacing w:line="276" w:lineRule="auto"/>
              <w:rPr>
                <w:szCs w:val="21"/>
              </w:rPr>
            </w:pPr>
            <w:r>
              <w:rPr>
                <w:szCs w:val="21"/>
              </w:rPr>
              <w:t>结束后，及时按要求提交</w:t>
            </w:r>
            <w:r>
              <w:rPr>
                <w:rFonts w:hint="eastAsia"/>
                <w:szCs w:val="21"/>
              </w:rPr>
              <w:t>实验</w:t>
            </w:r>
            <w:r>
              <w:rPr>
                <w:szCs w:val="21"/>
              </w:rPr>
              <w:t>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1" w:type="dxa"/>
            <w:vMerge w:val="continue"/>
            <w:noWrap w:val="0"/>
            <w:vAlign w:val="center"/>
          </w:tcPr>
          <w:p>
            <w:pPr>
              <w:jc w:val="center"/>
              <w:rPr>
                <w:szCs w:val="21"/>
              </w:rPr>
            </w:pPr>
          </w:p>
        </w:tc>
        <w:tc>
          <w:tcPr>
            <w:tcW w:w="1276" w:type="dxa"/>
            <w:noWrap w:val="0"/>
            <w:vAlign w:val="center"/>
          </w:tcPr>
          <w:p>
            <w:pPr>
              <w:snapToGrid w:val="0"/>
              <w:spacing w:line="276" w:lineRule="auto"/>
              <w:rPr>
                <w:szCs w:val="21"/>
              </w:rPr>
            </w:pPr>
            <w:r>
              <w:rPr>
                <w:szCs w:val="21"/>
              </w:rPr>
              <w:t>2.实践考核</w:t>
            </w:r>
          </w:p>
        </w:tc>
        <w:tc>
          <w:tcPr>
            <w:tcW w:w="6704" w:type="dxa"/>
            <w:noWrap w:val="0"/>
            <w:vAlign w:val="center"/>
          </w:tcPr>
          <w:p>
            <w:pPr>
              <w:snapToGrid w:val="0"/>
              <w:spacing w:line="276" w:lineRule="auto"/>
              <w:rPr>
                <w:szCs w:val="21"/>
              </w:rPr>
            </w:pPr>
            <w:r>
              <w:rPr>
                <w:szCs w:val="21"/>
              </w:rPr>
              <w:t>根据考核标准及评价要求，对每位学生设计情况进行考核、合理评价，并按照学校有关规定登记成绩。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1" w:type="dxa"/>
            <w:vMerge w:val="continue"/>
            <w:noWrap w:val="0"/>
            <w:vAlign w:val="center"/>
          </w:tcPr>
          <w:p>
            <w:pPr>
              <w:rPr>
                <w:szCs w:val="21"/>
              </w:rPr>
            </w:pPr>
          </w:p>
        </w:tc>
        <w:tc>
          <w:tcPr>
            <w:tcW w:w="1276" w:type="dxa"/>
            <w:noWrap w:val="0"/>
            <w:vAlign w:val="center"/>
          </w:tcPr>
          <w:p>
            <w:pPr>
              <w:snapToGrid w:val="0"/>
              <w:spacing w:line="276" w:lineRule="auto"/>
              <w:rPr>
                <w:szCs w:val="21"/>
              </w:rPr>
            </w:pPr>
            <w:r>
              <w:rPr>
                <w:szCs w:val="21"/>
              </w:rPr>
              <w:t>3.总结归档</w:t>
            </w:r>
          </w:p>
        </w:tc>
        <w:tc>
          <w:tcPr>
            <w:tcW w:w="6704" w:type="dxa"/>
            <w:noWrap w:val="0"/>
            <w:vAlign w:val="center"/>
          </w:tcPr>
          <w:p>
            <w:pPr>
              <w:snapToGrid w:val="0"/>
              <w:spacing w:line="276" w:lineRule="auto"/>
              <w:rPr>
                <w:szCs w:val="21"/>
              </w:rPr>
            </w:pPr>
            <w:r>
              <w:rPr>
                <w:szCs w:val="21"/>
              </w:rPr>
              <w:t>及时总结交流经验与体会，按要求做好材料归档。</w:t>
            </w:r>
          </w:p>
        </w:tc>
      </w:tr>
    </w:tbl>
    <w:p>
      <w:pPr>
        <w:spacing w:line="360" w:lineRule="auto"/>
        <w:ind w:firstLine="480" w:firstLineChars="200"/>
        <w:rPr>
          <w:sz w:val="24"/>
        </w:rPr>
      </w:pPr>
    </w:p>
    <w:p>
      <w:pPr>
        <w:spacing w:line="360" w:lineRule="auto"/>
        <w:ind w:firstLine="562" w:firstLineChars="200"/>
        <w:rPr>
          <w:b/>
          <w:sz w:val="28"/>
          <w:szCs w:val="28"/>
        </w:rPr>
      </w:pPr>
      <w:r>
        <w:rPr>
          <w:rFonts w:hint="eastAsia"/>
          <w:b/>
          <w:sz w:val="28"/>
          <w:szCs w:val="28"/>
        </w:rPr>
        <w:t>五、课程</w:t>
      </w:r>
      <w:r>
        <w:rPr>
          <w:b/>
          <w:sz w:val="28"/>
          <w:szCs w:val="28"/>
        </w:rPr>
        <w:t>考核</w:t>
      </w:r>
    </w:p>
    <w:p>
      <w:pPr>
        <w:spacing w:line="360" w:lineRule="auto"/>
        <w:ind w:firstLine="480" w:firstLineChars="200"/>
        <w:rPr>
          <w:sz w:val="24"/>
        </w:rPr>
      </w:pPr>
      <w:r>
        <w:rPr>
          <w:rFonts w:hint="eastAsia"/>
          <w:sz w:val="24"/>
        </w:rPr>
        <w:t>（一）本实践教学环节主要从</w:t>
      </w:r>
      <w:r>
        <w:rPr>
          <w:rFonts w:hint="eastAsia"/>
          <w:kern w:val="0"/>
          <w:sz w:val="24"/>
        </w:rPr>
        <w:t>平时成绩及出勤、实验报告、平时表现及操作、</w:t>
      </w:r>
      <w:r>
        <w:rPr>
          <w:kern w:val="0"/>
          <w:sz w:val="24"/>
        </w:rPr>
        <w:t>期末</w:t>
      </w:r>
      <w:r>
        <w:rPr>
          <w:rFonts w:hint="eastAsia"/>
          <w:kern w:val="0"/>
          <w:sz w:val="24"/>
        </w:rPr>
        <w:t>考核四个方面进行考察</w:t>
      </w:r>
      <w:r>
        <w:rPr>
          <w:sz w:val="24"/>
        </w:rPr>
        <w:t>。</w:t>
      </w:r>
      <w:r>
        <w:rPr>
          <w:rFonts w:hint="eastAsia"/>
          <w:sz w:val="24"/>
        </w:rPr>
        <w:t>期末考试采取</w:t>
      </w:r>
      <w:r>
        <w:rPr>
          <w:sz w:val="24"/>
        </w:rPr>
        <w:t>闭卷或</w:t>
      </w:r>
      <w:r>
        <w:rPr>
          <w:rFonts w:hint="eastAsia"/>
          <w:sz w:val="24"/>
        </w:rPr>
        <w:t>实验操作</w:t>
      </w:r>
      <w:r>
        <w:rPr>
          <w:sz w:val="24"/>
        </w:rPr>
        <w:t>考试。</w:t>
      </w:r>
    </w:p>
    <w:p>
      <w:pPr>
        <w:spacing w:line="360" w:lineRule="auto"/>
        <w:ind w:firstLine="480" w:firstLineChars="200"/>
        <w:rPr>
          <w:rFonts w:hint="eastAsia"/>
          <w:sz w:val="24"/>
        </w:rPr>
      </w:pPr>
      <w:r>
        <w:rPr>
          <w:sz w:val="24"/>
        </w:rPr>
        <w:t>具体内容和比例</w:t>
      </w:r>
      <w:r>
        <w:rPr>
          <w:rFonts w:hint="eastAsia"/>
          <w:sz w:val="24"/>
        </w:rPr>
        <w:t>如表所示。</w:t>
      </w:r>
    </w:p>
    <w:tbl>
      <w:tblPr>
        <w:tblStyle w:val="10"/>
        <w:tblW w:w="92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1565"/>
        <w:gridCol w:w="808"/>
        <w:gridCol w:w="4410"/>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FFFFFF"/>
            <w:noWrap w:val="0"/>
            <w:tcMar>
              <w:left w:w="57" w:type="dxa"/>
              <w:right w:w="57" w:type="dxa"/>
            </w:tcMar>
            <w:vAlign w:val="center"/>
          </w:tcPr>
          <w:p>
            <w:pPr>
              <w:pStyle w:val="14"/>
              <w:jc w:val="center"/>
              <w:rPr>
                <w:rFonts w:eastAsia="宋体"/>
              </w:rPr>
            </w:pPr>
            <w:r>
              <w:rPr>
                <w:rFonts w:eastAsia="宋体"/>
              </w:rPr>
              <w:t>成绩组成</w:t>
            </w:r>
          </w:p>
        </w:tc>
        <w:tc>
          <w:tcPr>
            <w:tcW w:w="1565" w:type="dxa"/>
            <w:shd w:val="clear" w:color="auto" w:fill="FFFFFF"/>
            <w:noWrap w:val="0"/>
            <w:vAlign w:val="center"/>
          </w:tcPr>
          <w:p>
            <w:pPr>
              <w:pStyle w:val="14"/>
              <w:jc w:val="center"/>
              <w:rPr>
                <w:rFonts w:eastAsia="宋体"/>
              </w:rPr>
            </w:pPr>
            <w:r>
              <w:rPr>
                <w:rFonts w:eastAsia="宋体"/>
              </w:rPr>
              <w:t>考核/评价环节</w:t>
            </w:r>
          </w:p>
        </w:tc>
        <w:tc>
          <w:tcPr>
            <w:tcW w:w="808" w:type="dxa"/>
            <w:shd w:val="clear" w:color="auto" w:fill="FFFFFF"/>
            <w:noWrap w:val="0"/>
            <w:vAlign w:val="center"/>
          </w:tcPr>
          <w:p>
            <w:pPr>
              <w:pStyle w:val="14"/>
              <w:jc w:val="center"/>
              <w:rPr>
                <w:rFonts w:eastAsia="宋体"/>
              </w:rPr>
            </w:pPr>
            <w:r>
              <w:rPr>
                <w:rFonts w:hint="eastAsia" w:eastAsia="宋体"/>
              </w:rPr>
              <w:t>权重</w:t>
            </w:r>
          </w:p>
        </w:tc>
        <w:tc>
          <w:tcPr>
            <w:tcW w:w="4410" w:type="dxa"/>
            <w:shd w:val="clear" w:color="auto" w:fill="FFFFFF"/>
            <w:noWrap w:val="0"/>
            <w:vAlign w:val="center"/>
          </w:tcPr>
          <w:p>
            <w:pPr>
              <w:pStyle w:val="14"/>
              <w:jc w:val="center"/>
              <w:rPr>
                <w:rFonts w:eastAsia="宋体"/>
              </w:rPr>
            </w:pPr>
            <w:r>
              <w:rPr>
                <w:rFonts w:eastAsia="宋体"/>
              </w:rPr>
              <w:t>考核/评价细则</w:t>
            </w:r>
          </w:p>
        </w:tc>
        <w:tc>
          <w:tcPr>
            <w:tcW w:w="1470" w:type="dxa"/>
            <w:shd w:val="clear" w:color="auto" w:fill="FFFFFF"/>
            <w:noWrap w:val="0"/>
            <w:vAlign w:val="center"/>
          </w:tcPr>
          <w:p>
            <w:pPr>
              <w:pStyle w:val="14"/>
              <w:jc w:val="center"/>
              <w:rPr>
                <w:rFonts w:eastAsia="宋体"/>
              </w:rPr>
            </w:pPr>
            <w:r>
              <w:rPr>
                <w:rFonts w:eastAsia="宋体"/>
              </w:rPr>
              <w:t>对应的毕业要求指标点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044" w:type="dxa"/>
            <w:noWrap w:val="0"/>
            <w:tcMar>
              <w:left w:w="57" w:type="dxa"/>
              <w:right w:w="57" w:type="dxa"/>
            </w:tcMar>
            <w:vAlign w:val="center"/>
          </w:tcPr>
          <w:p>
            <w:pPr>
              <w:pStyle w:val="14"/>
              <w:jc w:val="center"/>
              <w:rPr>
                <w:rFonts w:hint="eastAsia" w:eastAsia="宋体"/>
              </w:rPr>
            </w:pPr>
            <w:r>
              <w:rPr>
                <w:rFonts w:hint="eastAsia" w:eastAsia="宋体"/>
              </w:rPr>
              <w:t>预习</w:t>
            </w:r>
            <w:r>
              <w:rPr>
                <w:rFonts w:eastAsia="宋体"/>
              </w:rPr>
              <w:t>成绩</w:t>
            </w:r>
            <w:r>
              <w:rPr>
                <w:rFonts w:hint="eastAsia" w:eastAsia="宋体"/>
              </w:rPr>
              <w:t>及出勤</w:t>
            </w:r>
          </w:p>
        </w:tc>
        <w:tc>
          <w:tcPr>
            <w:tcW w:w="1565" w:type="dxa"/>
            <w:noWrap w:val="0"/>
            <w:vAlign w:val="center"/>
          </w:tcPr>
          <w:p>
            <w:pPr>
              <w:pStyle w:val="14"/>
              <w:ind w:firstLine="210" w:firstLineChars="100"/>
              <w:rPr>
                <w:rFonts w:eastAsia="宋体"/>
              </w:rPr>
            </w:pPr>
            <w:r>
              <w:rPr>
                <w:rFonts w:hint="eastAsia" w:eastAsia="宋体"/>
              </w:rPr>
              <w:t>考查</w:t>
            </w:r>
          </w:p>
        </w:tc>
        <w:tc>
          <w:tcPr>
            <w:tcW w:w="808" w:type="dxa"/>
            <w:noWrap w:val="0"/>
            <w:vAlign w:val="center"/>
          </w:tcPr>
          <w:p>
            <w:pPr>
              <w:pStyle w:val="14"/>
              <w:jc w:val="center"/>
              <w:rPr>
                <w:rFonts w:eastAsia="宋体"/>
              </w:rPr>
            </w:pPr>
            <w:r>
              <w:rPr>
                <w:rFonts w:hint="eastAsia" w:eastAsia="宋体"/>
              </w:rPr>
              <w:t>1</w:t>
            </w:r>
            <w:r>
              <w:rPr>
                <w:rFonts w:eastAsia="宋体"/>
              </w:rPr>
              <w:t>0</w:t>
            </w:r>
            <w:r>
              <w:rPr>
                <w:rFonts w:hint="eastAsia" w:eastAsia="宋体"/>
              </w:rPr>
              <w:t xml:space="preserve"> </w:t>
            </w:r>
            <w:r>
              <w:rPr>
                <w:rFonts w:eastAsia="宋体"/>
              </w:rPr>
              <w:t>%</w:t>
            </w:r>
          </w:p>
        </w:tc>
        <w:tc>
          <w:tcPr>
            <w:tcW w:w="4410" w:type="dxa"/>
            <w:noWrap w:val="0"/>
            <w:vAlign w:val="center"/>
          </w:tcPr>
          <w:p>
            <w:pPr>
              <w:pStyle w:val="14"/>
              <w:rPr>
                <w:rFonts w:eastAsia="宋体"/>
                <w:szCs w:val="21"/>
              </w:rPr>
            </w:pPr>
            <w:r>
              <w:rPr>
                <w:rFonts w:hint="eastAsia" w:eastAsia="宋体"/>
                <w:szCs w:val="21"/>
              </w:rPr>
              <w:t>主要从出勤、预习报告两个方面考查</w:t>
            </w:r>
            <w:r>
              <w:rPr>
                <w:rFonts w:hint="eastAsia" w:ascii="宋体" w:hAnsi="宋体" w:eastAsia="宋体" w:cs="宋体"/>
                <w:kern w:val="0"/>
                <w:szCs w:val="21"/>
              </w:rPr>
              <w:t>。</w:t>
            </w:r>
          </w:p>
        </w:tc>
        <w:tc>
          <w:tcPr>
            <w:tcW w:w="1470" w:type="dxa"/>
            <w:noWrap w:val="0"/>
            <w:vAlign w:val="center"/>
          </w:tcPr>
          <w:p>
            <w:pPr>
              <w:pStyle w:val="14"/>
              <w:jc w:val="center"/>
              <w:rPr>
                <w:rFonts w:eastAsia="宋体"/>
              </w:rPr>
            </w:pPr>
            <w:r>
              <w:rPr>
                <w:rFonts w:eastAsia="宋体"/>
                <w:szCs w:val="21"/>
              </w:rPr>
              <w:t>4</w:t>
            </w:r>
            <w:r>
              <w:rPr>
                <w:rFonts w:hint="eastAsia" w:eastAsia="宋体"/>
                <w:szCs w:val="21"/>
              </w:rPr>
              <w:t>-</w:t>
            </w:r>
            <w:r>
              <w:rPr>
                <w:rFonts w:eastAsia="宋体"/>
                <w:szCs w:val="21"/>
              </w:rPr>
              <w:t>1</w:t>
            </w:r>
            <w:r>
              <w:rPr>
                <w:rFonts w:hint="eastAsia" w:eastAsia="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1044" w:type="dxa"/>
            <w:noWrap w:val="0"/>
            <w:tcMar>
              <w:left w:w="57" w:type="dxa"/>
              <w:right w:w="57" w:type="dxa"/>
            </w:tcMar>
            <w:vAlign w:val="center"/>
          </w:tcPr>
          <w:p>
            <w:pPr>
              <w:pStyle w:val="14"/>
              <w:jc w:val="center"/>
              <w:rPr>
                <w:rFonts w:eastAsia="宋体"/>
              </w:rPr>
            </w:pPr>
            <w:r>
              <w:rPr>
                <w:rFonts w:hint="eastAsia" w:eastAsia="宋体"/>
              </w:rPr>
              <w:t>实验报告</w:t>
            </w:r>
          </w:p>
        </w:tc>
        <w:tc>
          <w:tcPr>
            <w:tcW w:w="1565" w:type="dxa"/>
            <w:noWrap w:val="0"/>
            <w:vAlign w:val="center"/>
          </w:tcPr>
          <w:p>
            <w:pPr>
              <w:pStyle w:val="14"/>
              <w:ind w:firstLine="210" w:firstLineChars="100"/>
              <w:rPr>
                <w:rFonts w:eastAsia="宋体"/>
              </w:rPr>
            </w:pPr>
            <w:r>
              <w:rPr>
                <w:rFonts w:hint="eastAsia" w:eastAsia="宋体"/>
              </w:rPr>
              <w:t>考查</w:t>
            </w:r>
          </w:p>
        </w:tc>
        <w:tc>
          <w:tcPr>
            <w:tcW w:w="808" w:type="dxa"/>
            <w:noWrap w:val="0"/>
            <w:vAlign w:val="center"/>
          </w:tcPr>
          <w:p>
            <w:pPr>
              <w:pStyle w:val="14"/>
              <w:rPr>
                <w:rFonts w:eastAsia="宋体"/>
              </w:rPr>
            </w:pPr>
            <w:r>
              <w:rPr>
                <w:rFonts w:hint="eastAsia" w:eastAsia="宋体"/>
              </w:rPr>
              <w:t>20%</w:t>
            </w:r>
          </w:p>
        </w:tc>
        <w:tc>
          <w:tcPr>
            <w:tcW w:w="4410" w:type="dxa"/>
            <w:noWrap w:val="0"/>
            <w:vAlign w:val="center"/>
          </w:tcPr>
          <w:p>
            <w:pPr>
              <w:pStyle w:val="14"/>
              <w:rPr>
                <w:rFonts w:hint="eastAsia" w:eastAsia="宋体"/>
                <w:szCs w:val="21"/>
              </w:rPr>
            </w:pPr>
            <w:r>
              <w:rPr>
                <w:rFonts w:hint="eastAsia" w:eastAsia="宋体"/>
                <w:szCs w:val="21"/>
              </w:rPr>
              <w:t>主要从实验步骤和现象的记录、实验结果的正确性、实验结果的分析三个方面考查。</w:t>
            </w:r>
          </w:p>
        </w:tc>
        <w:tc>
          <w:tcPr>
            <w:tcW w:w="1470" w:type="dxa"/>
            <w:noWrap w:val="0"/>
            <w:vAlign w:val="center"/>
          </w:tcPr>
          <w:p>
            <w:pPr>
              <w:pStyle w:val="14"/>
              <w:jc w:val="center"/>
              <w:rPr>
                <w:rFonts w:eastAsia="宋体"/>
              </w:rPr>
            </w:pPr>
            <w:r>
              <w:rPr>
                <w:rFonts w:hint="eastAsia" w:eastAsia="宋体"/>
              </w:rPr>
              <w:t>4-</w:t>
            </w:r>
            <w:r>
              <w:rPr>
                <w:rFonts w:eastAsia="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1044" w:type="dxa"/>
            <w:noWrap w:val="0"/>
            <w:tcMar>
              <w:left w:w="57" w:type="dxa"/>
              <w:right w:w="57" w:type="dxa"/>
            </w:tcMar>
            <w:vAlign w:val="center"/>
          </w:tcPr>
          <w:p>
            <w:pPr>
              <w:pStyle w:val="14"/>
              <w:jc w:val="center"/>
              <w:rPr>
                <w:rFonts w:hint="eastAsia" w:eastAsia="宋体"/>
              </w:rPr>
            </w:pPr>
            <w:r>
              <w:rPr>
                <w:rFonts w:hint="eastAsia" w:eastAsia="宋体"/>
              </w:rPr>
              <w:t>平时表现及操作</w:t>
            </w:r>
          </w:p>
        </w:tc>
        <w:tc>
          <w:tcPr>
            <w:tcW w:w="1565" w:type="dxa"/>
            <w:noWrap w:val="0"/>
            <w:vAlign w:val="center"/>
          </w:tcPr>
          <w:p>
            <w:pPr>
              <w:pStyle w:val="14"/>
              <w:ind w:firstLine="210" w:firstLineChars="100"/>
              <w:rPr>
                <w:rFonts w:hint="eastAsia" w:eastAsia="宋体"/>
              </w:rPr>
            </w:pPr>
            <w:r>
              <w:rPr>
                <w:rFonts w:hint="eastAsia" w:eastAsia="宋体"/>
              </w:rPr>
              <w:t>考察</w:t>
            </w:r>
          </w:p>
        </w:tc>
        <w:tc>
          <w:tcPr>
            <w:tcW w:w="808" w:type="dxa"/>
            <w:noWrap w:val="0"/>
            <w:vAlign w:val="center"/>
          </w:tcPr>
          <w:p>
            <w:pPr>
              <w:pStyle w:val="14"/>
              <w:rPr>
                <w:rFonts w:hint="eastAsia" w:eastAsia="宋体"/>
              </w:rPr>
            </w:pPr>
            <w:r>
              <w:rPr>
                <w:rFonts w:hint="eastAsia" w:eastAsia="宋体"/>
              </w:rPr>
              <w:t>30%</w:t>
            </w:r>
          </w:p>
        </w:tc>
        <w:tc>
          <w:tcPr>
            <w:tcW w:w="4410" w:type="dxa"/>
            <w:noWrap w:val="0"/>
            <w:vAlign w:val="center"/>
          </w:tcPr>
          <w:p>
            <w:pPr>
              <w:pStyle w:val="14"/>
              <w:rPr>
                <w:rFonts w:hint="eastAsia" w:eastAsia="宋体"/>
                <w:szCs w:val="21"/>
              </w:rPr>
            </w:pPr>
            <w:r>
              <w:rPr>
                <w:rFonts w:hint="eastAsia" w:eastAsia="宋体"/>
                <w:szCs w:val="21"/>
              </w:rPr>
              <w:t>主要从平时表现和有无违规操作等方面综合考察。</w:t>
            </w:r>
          </w:p>
        </w:tc>
        <w:tc>
          <w:tcPr>
            <w:tcW w:w="1470" w:type="dxa"/>
            <w:noWrap w:val="0"/>
            <w:vAlign w:val="center"/>
          </w:tcPr>
          <w:p>
            <w:pPr>
              <w:pStyle w:val="14"/>
              <w:jc w:val="center"/>
              <w:rPr>
                <w:rFonts w:hint="eastAsia" w:eastAsia="宋体"/>
              </w:rPr>
            </w:pPr>
            <w:r>
              <w:rPr>
                <w:rFonts w:hint="eastAsia" w:eastAsia="宋体"/>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1044" w:type="dxa"/>
            <w:noWrap w:val="0"/>
            <w:tcMar>
              <w:left w:w="57" w:type="dxa"/>
              <w:right w:w="57" w:type="dxa"/>
            </w:tcMar>
            <w:vAlign w:val="center"/>
          </w:tcPr>
          <w:p>
            <w:pPr>
              <w:pStyle w:val="14"/>
              <w:jc w:val="center"/>
              <w:rPr>
                <w:rFonts w:eastAsia="宋体"/>
              </w:rPr>
            </w:pPr>
            <w:r>
              <w:rPr>
                <w:rFonts w:eastAsia="宋体"/>
              </w:rPr>
              <w:t>期末</w:t>
            </w:r>
            <w:r>
              <w:rPr>
                <w:rFonts w:hint="eastAsia" w:eastAsia="宋体"/>
              </w:rPr>
              <w:t>考核成绩</w:t>
            </w:r>
          </w:p>
        </w:tc>
        <w:tc>
          <w:tcPr>
            <w:tcW w:w="1565" w:type="dxa"/>
            <w:noWrap w:val="0"/>
            <w:vAlign w:val="center"/>
          </w:tcPr>
          <w:p>
            <w:pPr>
              <w:pStyle w:val="14"/>
              <w:rPr>
                <w:rFonts w:hint="eastAsia" w:eastAsia="宋体"/>
              </w:rPr>
            </w:pPr>
            <w:r>
              <w:rPr>
                <w:rFonts w:hint="eastAsia" w:eastAsia="宋体"/>
              </w:rPr>
              <w:t xml:space="preserve"> </w:t>
            </w:r>
            <w:r>
              <w:rPr>
                <w:rFonts w:eastAsia="宋体"/>
              </w:rPr>
              <w:t xml:space="preserve"> </w:t>
            </w:r>
            <w:r>
              <w:rPr>
                <w:rFonts w:hint="eastAsia" w:eastAsia="宋体"/>
              </w:rPr>
              <w:t>考查</w:t>
            </w:r>
          </w:p>
        </w:tc>
        <w:tc>
          <w:tcPr>
            <w:tcW w:w="808" w:type="dxa"/>
            <w:noWrap w:val="0"/>
            <w:vAlign w:val="center"/>
          </w:tcPr>
          <w:p>
            <w:pPr>
              <w:pStyle w:val="14"/>
              <w:rPr>
                <w:rFonts w:eastAsia="宋体"/>
              </w:rPr>
            </w:pPr>
            <w:r>
              <w:rPr>
                <w:rFonts w:eastAsia="宋体"/>
              </w:rPr>
              <w:t>40 %</w:t>
            </w:r>
            <w:r>
              <w:rPr>
                <w:rFonts w:hint="eastAsia" w:eastAsia="宋体"/>
              </w:rPr>
              <w:t xml:space="preserve"> </w:t>
            </w:r>
          </w:p>
        </w:tc>
        <w:tc>
          <w:tcPr>
            <w:tcW w:w="4410" w:type="dxa"/>
            <w:noWrap w:val="0"/>
            <w:vAlign w:val="center"/>
          </w:tcPr>
          <w:p>
            <w:pPr>
              <w:pStyle w:val="14"/>
              <w:rPr>
                <w:rFonts w:hint="eastAsia" w:eastAsia="宋体"/>
                <w:szCs w:val="21"/>
              </w:rPr>
            </w:pPr>
            <w:r>
              <w:rPr>
                <w:rFonts w:hint="eastAsia" w:eastAsia="宋体"/>
                <w:szCs w:val="21"/>
              </w:rPr>
              <w:t>主要考查实验细节、实验步骤和现象的记录、实验习惯以及实验结果的正确与否</w:t>
            </w:r>
          </w:p>
        </w:tc>
        <w:tc>
          <w:tcPr>
            <w:tcW w:w="1470" w:type="dxa"/>
            <w:noWrap w:val="0"/>
            <w:vAlign w:val="center"/>
          </w:tcPr>
          <w:p>
            <w:pPr>
              <w:pStyle w:val="14"/>
              <w:jc w:val="center"/>
              <w:rPr>
                <w:rFonts w:eastAsia="宋体"/>
                <w:szCs w:val="21"/>
              </w:rPr>
            </w:pPr>
            <w:r>
              <w:rPr>
                <w:rFonts w:eastAsia="宋体"/>
                <w:szCs w:val="21"/>
              </w:rPr>
              <w:t>4</w:t>
            </w:r>
            <w:r>
              <w:rPr>
                <w:rFonts w:hint="eastAsia" w:eastAsia="宋体"/>
                <w:szCs w:val="21"/>
              </w:rPr>
              <w:t>-</w:t>
            </w:r>
            <w:r>
              <w:rPr>
                <w:rFonts w:eastAsia="宋体"/>
                <w:szCs w:val="21"/>
              </w:rPr>
              <w:t>1</w:t>
            </w:r>
          </w:p>
        </w:tc>
      </w:tr>
    </w:tbl>
    <w:p>
      <w:pPr>
        <w:spacing w:line="360" w:lineRule="auto"/>
        <w:ind w:firstLine="562" w:firstLineChars="200"/>
        <w:rPr>
          <w:rFonts w:hint="eastAsia"/>
          <w:b/>
          <w:sz w:val="28"/>
          <w:szCs w:val="28"/>
        </w:rPr>
      </w:pPr>
      <w:r>
        <w:rPr>
          <w:rFonts w:hint="eastAsia"/>
          <w:b/>
          <w:sz w:val="28"/>
          <w:szCs w:val="28"/>
        </w:rPr>
        <w:t>六</w:t>
      </w:r>
      <w:r>
        <w:rPr>
          <w:b/>
          <w:sz w:val="28"/>
          <w:szCs w:val="28"/>
        </w:rPr>
        <w:t>、</w:t>
      </w:r>
      <w:r>
        <w:rPr>
          <w:rFonts w:hint="eastAsia"/>
          <w:b/>
          <w:sz w:val="28"/>
          <w:szCs w:val="28"/>
        </w:rPr>
        <w:t>有关说明</w:t>
      </w:r>
    </w:p>
    <w:p>
      <w:pPr>
        <w:spacing w:line="360" w:lineRule="auto"/>
        <w:ind w:firstLine="482" w:firstLineChars="200"/>
        <w:rPr>
          <w:rFonts w:hint="eastAsia"/>
          <w:b/>
          <w:color w:val="000000"/>
          <w:sz w:val="24"/>
        </w:rPr>
      </w:pPr>
      <w:r>
        <w:rPr>
          <w:rFonts w:hint="eastAsia"/>
          <w:b/>
          <w:color w:val="000000"/>
          <w:sz w:val="24"/>
        </w:rPr>
        <w:t>（一）持续改进</w:t>
      </w:r>
    </w:p>
    <w:p>
      <w:pPr>
        <w:spacing w:line="360" w:lineRule="auto"/>
        <w:ind w:firstLine="480" w:firstLineChars="200"/>
        <w:rPr>
          <w:kern w:val="0"/>
          <w:sz w:val="24"/>
          <w:szCs w:val="21"/>
        </w:rPr>
      </w:pPr>
      <w:r>
        <w:rPr>
          <w:rFonts w:hint="eastAsia"/>
          <w:color w:val="000000"/>
          <w:sz w:val="24"/>
        </w:rPr>
        <w:t>本实践教学环节是对有机合成反应的综合考察，涉及内容广，学生因素复杂，需根据实际状况，因材施教施教，不断分析、总结实践环节中不足之处，适时调整考核标准中部分指标和达成度，完善指导书的具体内容等，并在下一轮实践中改进提高，</w:t>
      </w:r>
      <w:r>
        <w:rPr>
          <w:rFonts w:hint="eastAsia"/>
          <w:kern w:val="0"/>
          <w:sz w:val="24"/>
          <w:szCs w:val="21"/>
        </w:rPr>
        <w:t>确保课程内容与教学方式能有效实现课程目标，使得考核结果能够证明课程目标达成。</w:t>
      </w:r>
    </w:p>
    <w:p>
      <w:pPr>
        <w:spacing w:line="360" w:lineRule="auto"/>
        <w:ind w:firstLine="482" w:firstLineChars="200"/>
        <w:rPr>
          <w:rFonts w:hint="eastAsia"/>
          <w:b/>
          <w:color w:val="000000"/>
          <w:sz w:val="24"/>
        </w:rPr>
      </w:pPr>
      <w:r>
        <w:rPr>
          <w:rFonts w:hint="eastAsia"/>
          <w:b/>
          <w:color w:val="000000"/>
          <w:sz w:val="24"/>
        </w:rPr>
        <w:t>（二）</w:t>
      </w:r>
      <w:r>
        <w:rPr>
          <w:b/>
          <w:color w:val="000000"/>
          <w:sz w:val="24"/>
        </w:rPr>
        <w:t>参考书目及学习资料</w:t>
      </w:r>
    </w:p>
    <w:p>
      <w:pPr>
        <w:spacing w:line="400" w:lineRule="exact"/>
        <w:ind w:firstLine="480" w:firstLineChars="200"/>
        <w:rPr>
          <w:kern w:val="0"/>
          <w:sz w:val="24"/>
        </w:rPr>
      </w:pPr>
      <w:r>
        <w:rPr>
          <w:kern w:val="0"/>
          <w:sz w:val="24"/>
        </w:rPr>
        <w:t>1.周科衍等                        有机化学实验    高等教育出版社</w:t>
      </w:r>
    </w:p>
    <w:p>
      <w:pPr>
        <w:spacing w:line="400" w:lineRule="exact"/>
        <w:ind w:firstLine="480" w:firstLineChars="200"/>
        <w:rPr>
          <w:kern w:val="0"/>
          <w:sz w:val="24"/>
        </w:rPr>
      </w:pPr>
      <w:r>
        <w:rPr>
          <w:kern w:val="0"/>
          <w:sz w:val="24"/>
        </w:rPr>
        <w:t>2.北京大学化学系有机化学教研室    有机化学实验    高等教育出版社</w:t>
      </w:r>
    </w:p>
    <w:p>
      <w:pPr>
        <w:spacing w:line="312" w:lineRule="auto"/>
        <w:rPr>
          <w:sz w:val="24"/>
        </w:rPr>
      </w:pPr>
    </w:p>
    <w:p>
      <w:pPr>
        <w:spacing w:line="312" w:lineRule="auto"/>
        <w:rPr>
          <w:sz w:val="24"/>
        </w:rPr>
      </w:pPr>
    </w:p>
    <w:p>
      <w:pPr>
        <w:spacing w:line="312" w:lineRule="auto"/>
        <w:rPr>
          <w:sz w:val="24"/>
        </w:rPr>
      </w:pPr>
    </w:p>
    <w:p>
      <w:pPr>
        <w:spacing w:line="312" w:lineRule="auto"/>
        <w:rPr>
          <w:sz w:val="24"/>
        </w:rPr>
      </w:pPr>
    </w:p>
    <w:p>
      <w:pPr>
        <w:spacing w:line="312" w:lineRule="auto"/>
        <w:rPr>
          <w:sz w:val="24"/>
        </w:rPr>
      </w:pPr>
    </w:p>
    <w:p>
      <w:pPr>
        <w:spacing w:line="312" w:lineRule="auto"/>
        <w:rPr>
          <w:rFonts w:hint="eastAsia"/>
          <w:sz w:val="24"/>
        </w:rPr>
      </w:pPr>
    </w:p>
    <w:p>
      <w:pPr>
        <w:autoSpaceDE w:val="0"/>
        <w:autoSpaceDN w:val="0"/>
        <w:adjustRightInd w:val="0"/>
        <w:spacing w:line="360" w:lineRule="auto"/>
        <w:ind w:firstLine="480" w:firstLineChars="200"/>
        <w:jc w:val="left"/>
        <w:rPr>
          <w:kern w:val="0"/>
          <w:sz w:val="24"/>
          <w:szCs w:val="21"/>
        </w:rPr>
      </w:pPr>
      <w:r>
        <w:rPr>
          <w:rFonts w:hint="eastAsia"/>
          <w:sz w:val="24"/>
        </w:rPr>
        <w:t xml:space="preserve">                                               </w:t>
      </w:r>
      <w:r>
        <w:rPr>
          <w:kern w:val="0"/>
          <w:sz w:val="24"/>
          <w:szCs w:val="21"/>
        </w:rPr>
        <w:t xml:space="preserve">执笔人： </w:t>
      </w:r>
      <w:r>
        <w:rPr>
          <w:rFonts w:hint="eastAsia"/>
          <w:kern w:val="0"/>
          <w:sz w:val="24"/>
          <w:szCs w:val="21"/>
        </w:rPr>
        <w:t>孙潇楠</w:t>
      </w:r>
    </w:p>
    <w:p>
      <w:pPr>
        <w:autoSpaceDE w:val="0"/>
        <w:autoSpaceDN w:val="0"/>
        <w:adjustRightInd w:val="0"/>
        <w:spacing w:line="360" w:lineRule="auto"/>
        <w:ind w:firstLine="6240" w:firstLineChars="2600"/>
        <w:jc w:val="left"/>
        <w:rPr>
          <w:kern w:val="0"/>
          <w:sz w:val="24"/>
          <w:szCs w:val="21"/>
        </w:rPr>
      </w:pPr>
      <w:r>
        <w:rPr>
          <w:kern w:val="0"/>
          <w:sz w:val="24"/>
          <w:szCs w:val="21"/>
        </w:rPr>
        <w:t xml:space="preserve">审定人： </w:t>
      </w:r>
      <w:r>
        <w:rPr>
          <w:rFonts w:hint="eastAsia"/>
          <w:kern w:val="0"/>
          <w:sz w:val="24"/>
          <w:szCs w:val="21"/>
        </w:rPr>
        <w:t>魏雪姣</w:t>
      </w:r>
    </w:p>
    <w:p>
      <w:pPr>
        <w:autoSpaceDE w:val="0"/>
        <w:autoSpaceDN w:val="0"/>
        <w:adjustRightInd w:val="0"/>
        <w:spacing w:line="360" w:lineRule="auto"/>
        <w:ind w:firstLine="6240" w:firstLineChars="2600"/>
        <w:jc w:val="left"/>
        <w:rPr>
          <w:rFonts w:hint="eastAsia"/>
          <w:kern w:val="0"/>
          <w:sz w:val="24"/>
          <w:szCs w:val="21"/>
        </w:rPr>
      </w:pPr>
      <w:r>
        <w:rPr>
          <w:rFonts w:hint="eastAsia"/>
          <w:kern w:val="0"/>
          <w:sz w:val="24"/>
          <w:szCs w:val="21"/>
        </w:rPr>
        <w:t>审批</w:t>
      </w:r>
      <w:r>
        <w:rPr>
          <w:kern w:val="0"/>
          <w:sz w:val="24"/>
          <w:szCs w:val="21"/>
        </w:rPr>
        <w:t>人：</w:t>
      </w:r>
      <w:r>
        <w:rPr>
          <w:rFonts w:hint="eastAsia"/>
          <w:kern w:val="0"/>
          <w:sz w:val="24"/>
          <w:szCs w:val="21"/>
        </w:rPr>
        <w:t xml:space="preserve"> 吴泽颖</w:t>
      </w:r>
    </w:p>
    <w:p>
      <w:pPr>
        <w:spacing w:line="360" w:lineRule="auto"/>
        <w:rPr>
          <w:rFonts w:hint="eastAsia"/>
          <w:kern w:val="0"/>
          <w:sz w:val="24"/>
          <w:szCs w:val="21"/>
        </w:rPr>
      </w:pPr>
      <w:r>
        <w:rPr>
          <w:rFonts w:hint="eastAsia"/>
          <w:sz w:val="24"/>
        </w:rPr>
        <w:t xml:space="preserve">                                                      </w:t>
      </w:r>
      <w:r>
        <w:rPr>
          <w:rFonts w:hint="eastAsia"/>
          <w:kern w:val="0"/>
          <w:sz w:val="24"/>
          <w:szCs w:val="21"/>
        </w:rPr>
        <w:t>日期：202</w:t>
      </w:r>
      <w:r>
        <w:rPr>
          <w:kern w:val="0"/>
          <w:sz w:val="24"/>
          <w:szCs w:val="21"/>
        </w:rPr>
        <w:t>1</w:t>
      </w:r>
      <w:r>
        <w:rPr>
          <w:rFonts w:hint="eastAsia"/>
          <w:kern w:val="0"/>
          <w:sz w:val="24"/>
          <w:szCs w:val="21"/>
        </w:rPr>
        <w:t xml:space="preserve">. </w:t>
      </w:r>
      <w:r>
        <w:rPr>
          <w:kern w:val="0"/>
          <w:sz w:val="24"/>
          <w:szCs w:val="21"/>
        </w:rPr>
        <w:t>10</w:t>
      </w:r>
      <w:r>
        <w:rPr>
          <w:rFonts w:hint="eastAsia"/>
          <w:kern w:val="0"/>
          <w:sz w:val="24"/>
          <w:szCs w:val="21"/>
        </w:rPr>
        <w:t>.20</w:t>
      </w:r>
    </w:p>
    <w:p>
      <w:pPr>
        <w:spacing w:line="360" w:lineRule="auto"/>
        <w:rPr>
          <w:rFonts w:hint="eastAsia"/>
          <w:kern w:val="0"/>
          <w:sz w:val="24"/>
          <w:szCs w:val="21"/>
        </w:rPr>
      </w:pPr>
    </w:p>
    <w:p>
      <w:pPr>
        <w:spacing w:line="360" w:lineRule="auto"/>
        <w:rPr>
          <w:rFonts w:hint="eastAsia"/>
          <w:kern w:val="0"/>
          <w:sz w:val="24"/>
          <w:szCs w:val="21"/>
        </w:rPr>
      </w:pPr>
    </w:p>
    <w:p>
      <w:pPr>
        <w:spacing w:line="360" w:lineRule="auto"/>
        <w:rPr>
          <w:rFonts w:hint="eastAsia"/>
          <w:kern w:val="0"/>
          <w:sz w:val="24"/>
          <w:szCs w:val="21"/>
        </w:rPr>
      </w:pPr>
    </w:p>
    <w:p>
      <w:pPr>
        <w:spacing w:line="360" w:lineRule="auto"/>
        <w:rPr>
          <w:rFonts w:hint="eastAsia"/>
          <w:kern w:val="0"/>
          <w:sz w:val="24"/>
          <w:szCs w:val="21"/>
        </w:rPr>
      </w:pPr>
    </w:p>
    <w:p>
      <w:pPr>
        <w:spacing w:line="360" w:lineRule="auto"/>
        <w:rPr>
          <w:rFonts w:hint="eastAsia"/>
          <w:kern w:val="0"/>
          <w:sz w:val="24"/>
          <w:szCs w:val="21"/>
        </w:rPr>
      </w:pPr>
    </w:p>
    <w:p>
      <w:pPr>
        <w:spacing w:line="360" w:lineRule="auto"/>
        <w:rPr>
          <w:rFonts w:hint="eastAsia"/>
          <w:kern w:val="0"/>
          <w:sz w:val="24"/>
          <w:szCs w:val="21"/>
        </w:rPr>
      </w:pPr>
    </w:p>
    <w:p>
      <w:pPr>
        <w:spacing w:line="360" w:lineRule="auto"/>
        <w:rPr>
          <w:rFonts w:hint="eastAsia"/>
          <w:kern w:val="0"/>
          <w:sz w:val="24"/>
          <w:szCs w:val="21"/>
        </w:rPr>
      </w:pPr>
    </w:p>
    <w:p>
      <w:pPr>
        <w:spacing w:line="360" w:lineRule="auto"/>
        <w:rPr>
          <w:rFonts w:hint="eastAsia"/>
          <w:kern w:val="0"/>
          <w:sz w:val="24"/>
          <w:szCs w:val="21"/>
        </w:rPr>
      </w:pPr>
    </w:p>
    <w:p>
      <w:pPr>
        <w:spacing w:line="360" w:lineRule="auto"/>
        <w:rPr>
          <w:rFonts w:hint="eastAsia"/>
          <w:kern w:val="0"/>
          <w:sz w:val="24"/>
          <w:szCs w:val="21"/>
        </w:rPr>
      </w:pPr>
    </w:p>
    <w:p>
      <w:pPr>
        <w:spacing w:line="360" w:lineRule="auto"/>
        <w:rPr>
          <w:rFonts w:hint="eastAsia"/>
          <w:kern w:val="0"/>
          <w:sz w:val="24"/>
          <w:szCs w:val="21"/>
        </w:rPr>
      </w:pPr>
    </w:p>
    <w:p>
      <w:pPr>
        <w:spacing w:line="360" w:lineRule="auto"/>
        <w:rPr>
          <w:rFonts w:hint="eastAsia"/>
          <w:kern w:val="0"/>
          <w:sz w:val="24"/>
          <w:szCs w:val="21"/>
        </w:rPr>
      </w:pPr>
    </w:p>
    <w:p>
      <w:pPr>
        <w:spacing w:line="360" w:lineRule="auto"/>
        <w:rPr>
          <w:rFonts w:hint="eastAsia"/>
          <w:kern w:val="0"/>
          <w:sz w:val="24"/>
          <w:szCs w:val="21"/>
        </w:rPr>
      </w:pPr>
    </w:p>
    <w:p>
      <w:pPr>
        <w:spacing w:line="360" w:lineRule="auto"/>
        <w:rPr>
          <w:rFonts w:hint="eastAsia"/>
          <w:kern w:val="0"/>
          <w:sz w:val="24"/>
          <w:szCs w:val="21"/>
        </w:rPr>
      </w:pPr>
    </w:p>
    <w:p>
      <w:pPr>
        <w:spacing w:line="360" w:lineRule="auto"/>
        <w:rPr>
          <w:rFonts w:hint="eastAsia"/>
          <w:kern w:val="0"/>
          <w:sz w:val="24"/>
          <w:szCs w:val="21"/>
        </w:rPr>
      </w:pPr>
    </w:p>
    <w:p>
      <w:pPr>
        <w:pStyle w:val="3"/>
        <w:bidi w:val="0"/>
        <w:jc w:val="center"/>
        <w:rPr>
          <w:b/>
          <w:bCs/>
        </w:rPr>
      </w:pPr>
      <w:bookmarkStart w:id="21" w:name="_Toc30104"/>
      <w:bookmarkStart w:id="22" w:name="_Toc11478"/>
      <w:r>
        <w:t>物理化学</w:t>
      </w:r>
      <w:r>
        <w:rPr>
          <w:rFonts w:hint="eastAsia"/>
        </w:rPr>
        <w:t>实验课程</w:t>
      </w:r>
      <w:r>
        <w:t>教学大纲</w:t>
      </w:r>
      <w:bookmarkEnd w:id="21"/>
      <w:bookmarkEnd w:id="22"/>
    </w:p>
    <w:p>
      <w:pPr>
        <w:spacing w:line="312" w:lineRule="auto"/>
        <w:jc w:val="center"/>
        <w:rPr>
          <w:b/>
          <w:bCs/>
          <w:sz w:val="30"/>
        </w:rPr>
      </w:pPr>
      <w:r>
        <w:rPr>
          <w:b/>
          <w:bCs/>
          <w:sz w:val="30"/>
        </w:rPr>
        <w:t>（E</w:t>
      </w:r>
      <w:r>
        <w:rPr>
          <w:rFonts w:hint="eastAsia"/>
          <w:b/>
          <w:bCs/>
          <w:sz w:val="30"/>
        </w:rPr>
        <w:t xml:space="preserve">xperiment of </w:t>
      </w:r>
      <w:r>
        <w:rPr>
          <w:rFonts w:hint="eastAsia"/>
          <w:b/>
          <w:bCs/>
          <w:sz w:val="30"/>
          <w:szCs w:val="30"/>
        </w:rPr>
        <w:t>P</w:t>
      </w:r>
      <w:r>
        <w:rPr>
          <w:b/>
          <w:bCs/>
          <w:sz w:val="30"/>
          <w:szCs w:val="30"/>
        </w:rPr>
        <w:t>hysics Chemistry</w:t>
      </w:r>
      <w:r>
        <w:rPr>
          <w:b/>
          <w:bCs/>
          <w:sz w:val="30"/>
        </w:rPr>
        <w:t>）</w:t>
      </w:r>
    </w:p>
    <w:p>
      <w:pPr>
        <w:spacing w:line="312" w:lineRule="auto"/>
        <w:jc w:val="center"/>
        <w:rPr>
          <w:rFonts w:eastAsia="黑体"/>
          <w:bCs/>
          <w:sz w:val="30"/>
        </w:rPr>
      </w:pPr>
    </w:p>
    <w:p>
      <w:pPr>
        <w:spacing w:line="360" w:lineRule="auto"/>
        <w:ind w:firstLine="551" w:firstLineChars="196"/>
        <w:rPr>
          <w:rFonts w:hint="eastAsia"/>
          <w:b/>
          <w:sz w:val="28"/>
          <w:szCs w:val="28"/>
        </w:rPr>
      </w:pPr>
      <w:r>
        <w:rPr>
          <w:b/>
          <w:sz w:val="28"/>
          <w:szCs w:val="28"/>
        </w:rPr>
        <w:t>一、课程概况</w:t>
      </w:r>
    </w:p>
    <w:p>
      <w:pPr>
        <w:spacing w:line="360" w:lineRule="auto"/>
        <w:ind w:firstLine="482" w:firstLineChars="200"/>
        <w:rPr>
          <w:b/>
          <w:sz w:val="28"/>
          <w:szCs w:val="28"/>
        </w:rPr>
      </w:pPr>
      <w:r>
        <w:rPr>
          <w:b/>
          <w:bCs/>
          <w:kern w:val="0"/>
          <w:sz w:val="24"/>
        </w:rPr>
        <w:t>课程代码</w:t>
      </w:r>
      <w:r>
        <w:rPr>
          <w:b/>
          <w:kern w:val="0"/>
          <w:sz w:val="24"/>
        </w:rPr>
        <w:t>：</w:t>
      </w:r>
      <w:r>
        <w:rPr>
          <w:b/>
          <w:bCs/>
          <w:sz w:val="24"/>
          <w:szCs w:val="40"/>
        </w:rPr>
        <w:t>2501604</w:t>
      </w:r>
    </w:p>
    <w:p>
      <w:pPr>
        <w:spacing w:line="360" w:lineRule="auto"/>
        <w:ind w:firstLine="482" w:firstLineChars="200"/>
        <w:rPr>
          <w:rFonts w:hint="eastAsia"/>
          <w:kern w:val="0"/>
          <w:sz w:val="24"/>
        </w:rPr>
      </w:pPr>
      <w:r>
        <w:rPr>
          <w:b/>
          <w:bCs/>
          <w:kern w:val="0"/>
          <w:sz w:val="24"/>
        </w:rPr>
        <w:t>学    分</w:t>
      </w:r>
      <w:r>
        <w:rPr>
          <w:b/>
          <w:kern w:val="0"/>
          <w:sz w:val="24"/>
        </w:rPr>
        <w:t>：</w:t>
      </w:r>
      <w:r>
        <w:rPr>
          <w:kern w:val="0"/>
          <w:sz w:val="24"/>
        </w:rPr>
        <w:t>1</w:t>
      </w:r>
    </w:p>
    <w:p>
      <w:pPr>
        <w:spacing w:line="360" w:lineRule="auto"/>
        <w:ind w:firstLine="482" w:firstLineChars="200"/>
        <w:rPr>
          <w:kern w:val="0"/>
          <w:sz w:val="24"/>
        </w:rPr>
      </w:pPr>
      <w:r>
        <w:rPr>
          <w:b/>
          <w:bCs/>
          <w:kern w:val="0"/>
          <w:sz w:val="24"/>
        </w:rPr>
        <w:t>学    时</w:t>
      </w:r>
      <w:r>
        <w:rPr>
          <w:b/>
          <w:kern w:val="0"/>
          <w:sz w:val="24"/>
        </w:rPr>
        <w:t>：</w:t>
      </w:r>
      <w:r>
        <w:rPr>
          <w:kern w:val="0"/>
          <w:sz w:val="24"/>
        </w:rPr>
        <w:t>32</w:t>
      </w:r>
    </w:p>
    <w:p>
      <w:pPr>
        <w:spacing w:line="360" w:lineRule="auto"/>
        <w:ind w:firstLine="482" w:firstLineChars="200"/>
        <w:rPr>
          <w:rFonts w:hint="eastAsia"/>
          <w:bCs/>
          <w:kern w:val="0"/>
          <w:sz w:val="24"/>
        </w:rPr>
      </w:pPr>
      <w:r>
        <w:rPr>
          <w:b/>
          <w:bCs/>
          <w:kern w:val="0"/>
          <w:sz w:val="24"/>
        </w:rPr>
        <w:t>先修课程</w:t>
      </w:r>
      <w:r>
        <w:rPr>
          <w:b/>
          <w:kern w:val="0"/>
          <w:sz w:val="24"/>
        </w:rPr>
        <w:t>：</w:t>
      </w:r>
      <w:r>
        <w:rPr>
          <w:kern w:val="0"/>
          <w:sz w:val="24"/>
        </w:rPr>
        <w:t>高等数学、</w:t>
      </w:r>
      <w:r>
        <w:rPr>
          <w:rFonts w:hint="eastAsia"/>
          <w:sz w:val="24"/>
        </w:rPr>
        <w:t>大学</w:t>
      </w:r>
      <w:r>
        <w:rPr>
          <w:sz w:val="24"/>
        </w:rPr>
        <w:t>物理、无机化学</w:t>
      </w:r>
      <w:r>
        <w:rPr>
          <w:bCs/>
          <w:sz w:val="24"/>
        </w:rPr>
        <w:t>、</w:t>
      </w:r>
      <w:r>
        <w:rPr>
          <w:rFonts w:hint="eastAsia"/>
          <w:bCs/>
          <w:sz w:val="24"/>
        </w:rPr>
        <w:t>分析化学、有机化学</w:t>
      </w:r>
    </w:p>
    <w:p>
      <w:pPr>
        <w:spacing w:line="360" w:lineRule="auto"/>
        <w:ind w:firstLine="482" w:firstLineChars="200"/>
        <w:rPr>
          <w:kern w:val="0"/>
          <w:sz w:val="24"/>
        </w:rPr>
      </w:pPr>
      <w:r>
        <w:rPr>
          <w:b/>
          <w:bCs/>
          <w:kern w:val="0"/>
          <w:sz w:val="24"/>
        </w:rPr>
        <w:t>适用专业</w:t>
      </w:r>
      <w:r>
        <w:rPr>
          <w:b/>
          <w:kern w:val="0"/>
          <w:sz w:val="24"/>
        </w:rPr>
        <w:t>：</w:t>
      </w:r>
      <w:r>
        <w:rPr>
          <w:rFonts w:hint="eastAsia"/>
          <w:sz w:val="24"/>
        </w:rPr>
        <w:t>化学工程与工艺、应用化学</w:t>
      </w:r>
    </w:p>
    <w:p>
      <w:pPr>
        <w:spacing w:line="360" w:lineRule="auto"/>
        <w:ind w:firstLine="482" w:firstLineChars="200"/>
        <w:rPr>
          <w:rFonts w:hint="eastAsia"/>
          <w:sz w:val="24"/>
        </w:rPr>
      </w:pPr>
      <w:r>
        <w:rPr>
          <w:b/>
          <w:bCs/>
          <w:kern w:val="0"/>
          <w:sz w:val="24"/>
        </w:rPr>
        <w:t>教</w:t>
      </w:r>
      <w:r>
        <w:rPr>
          <w:rFonts w:hint="eastAsia"/>
          <w:b/>
          <w:bCs/>
          <w:kern w:val="0"/>
          <w:sz w:val="24"/>
        </w:rPr>
        <w:t xml:space="preserve"> </w:t>
      </w:r>
      <w:r>
        <w:rPr>
          <w:b/>
          <w:bCs/>
          <w:kern w:val="0"/>
          <w:sz w:val="24"/>
        </w:rPr>
        <w:t xml:space="preserve">   材</w:t>
      </w:r>
      <w:r>
        <w:rPr>
          <w:b/>
          <w:kern w:val="0"/>
          <w:sz w:val="24"/>
        </w:rPr>
        <w:t>：</w:t>
      </w:r>
      <w:r>
        <w:rPr>
          <w:rFonts w:hint="eastAsia"/>
          <w:sz w:val="24"/>
          <w:szCs w:val="21"/>
        </w:rPr>
        <w:t xml:space="preserve">复旦大学. </w:t>
      </w:r>
      <w:r>
        <w:rPr>
          <w:sz w:val="24"/>
          <w:szCs w:val="21"/>
        </w:rPr>
        <w:t>物理化学</w:t>
      </w:r>
      <w:r>
        <w:rPr>
          <w:rFonts w:hint="eastAsia"/>
          <w:sz w:val="24"/>
          <w:szCs w:val="21"/>
        </w:rPr>
        <w:t>实验</w:t>
      </w:r>
      <w:r>
        <w:rPr>
          <w:sz w:val="24"/>
          <w:szCs w:val="21"/>
        </w:rPr>
        <w:t>（第三版）</w:t>
      </w:r>
      <w:r>
        <w:rPr>
          <w:rFonts w:hint="eastAsia"/>
          <w:sz w:val="24"/>
          <w:szCs w:val="21"/>
        </w:rPr>
        <w:t>[M]. 北京：</w:t>
      </w:r>
      <w:r>
        <w:rPr>
          <w:sz w:val="24"/>
          <w:szCs w:val="21"/>
        </w:rPr>
        <w:t>高等教育出版社，20</w:t>
      </w:r>
      <w:r>
        <w:rPr>
          <w:rFonts w:hint="eastAsia"/>
          <w:sz w:val="24"/>
          <w:szCs w:val="21"/>
        </w:rPr>
        <w:t>04</w:t>
      </w:r>
    </w:p>
    <w:p>
      <w:pPr>
        <w:spacing w:line="360" w:lineRule="auto"/>
        <w:ind w:firstLine="482" w:firstLineChars="200"/>
        <w:rPr>
          <w:rFonts w:ascii="宋体" w:hAnsi="宋体"/>
          <w:bCs/>
          <w:kern w:val="0"/>
          <w:sz w:val="24"/>
        </w:rPr>
      </w:pPr>
      <w:r>
        <w:rPr>
          <w:b/>
          <w:bCs/>
          <w:kern w:val="0"/>
          <w:sz w:val="24"/>
        </w:rPr>
        <w:t>课程归口：</w:t>
      </w:r>
      <w:r>
        <w:rPr>
          <w:rFonts w:hint="eastAsia" w:ascii="宋体" w:hAnsi="宋体"/>
          <w:bCs/>
          <w:kern w:val="0"/>
          <w:sz w:val="24"/>
        </w:rPr>
        <w:t>化工与材料学院</w:t>
      </w:r>
    </w:p>
    <w:p>
      <w:pPr>
        <w:spacing w:line="360" w:lineRule="auto"/>
        <w:ind w:firstLine="482" w:firstLineChars="200"/>
        <w:rPr>
          <w:rFonts w:hint="eastAsia"/>
          <w:bCs/>
          <w:kern w:val="0"/>
          <w:sz w:val="24"/>
        </w:rPr>
      </w:pPr>
      <w:r>
        <w:rPr>
          <w:b/>
          <w:bCs/>
          <w:kern w:val="0"/>
          <w:sz w:val="24"/>
        </w:rPr>
        <w:t>课程团队：</w:t>
      </w:r>
      <w:r>
        <w:rPr>
          <w:rFonts w:hint="eastAsia"/>
          <w:kern w:val="0"/>
          <w:sz w:val="24"/>
        </w:rPr>
        <w:t>王玮、刘天宇、汪敏、刘福燕、邓瑶瑶、张震威</w:t>
      </w:r>
    </w:p>
    <w:p>
      <w:pPr>
        <w:spacing w:line="360" w:lineRule="auto"/>
        <w:ind w:firstLine="482" w:firstLineChars="200"/>
        <w:rPr>
          <w:sz w:val="24"/>
        </w:rPr>
      </w:pPr>
      <w:r>
        <w:rPr>
          <w:b/>
          <w:bCs/>
          <w:kern w:val="0"/>
          <w:sz w:val="24"/>
        </w:rPr>
        <w:t>课程性质与任务</w:t>
      </w:r>
      <w:r>
        <w:rPr>
          <w:rFonts w:hint="eastAsia"/>
          <w:b/>
          <w:bCs/>
          <w:kern w:val="0"/>
          <w:sz w:val="24"/>
        </w:rPr>
        <w:t>：</w:t>
      </w:r>
      <w:r>
        <w:rPr>
          <w:bCs/>
          <w:sz w:val="24"/>
        </w:rPr>
        <w:t>本课程</w:t>
      </w:r>
      <w:r>
        <w:rPr>
          <w:sz w:val="24"/>
        </w:rPr>
        <w:t>是</w:t>
      </w:r>
      <w:r>
        <w:rPr>
          <w:rFonts w:hint="eastAsia"/>
          <w:sz w:val="24"/>
        </w:rPr>
        <w:t>利用</w:t>
      </w:r>
      <w:r>
        <w:rPr>
          <w:sz w:val="24"/>
        </w:rPr>
        <w:t>物理学的研究方法去探讨化学变化的规律性问题</w:t>
      </w:r>
      <w:r>
        <w:rPr>
          <w:rFonts w:hint="eastAsia"/>
          <w:sz w:val="24"/>
        </w:rPr>
        <w:t>。</w:t>
      </w:r>
      <w:r>
        <w:rPr>
          <w:sz w:val="24"/>
        </w:rPr>
        <w:t>即利用物理仪器和手段间接计算化学反应中所涉及的有关量的变化</w:t>
      </w:r>
      <w:r>
        <w:rPr>
          <w:rFonts w:hint="eastAsia"/>
          <w:sz w:val="24"/>
        </w:rPr>
        <w:t>，</w:t>
      </w:r>
      <w:r>
        <w:rPr>
          <w:sz w:val="24"/>
        </w:rPr>
        <w:t>从而解决化学反应中能量转化</w:t>
      </w:r>
      <w:r>
        <w:rPr>
          <w:rFonts w:hint="eastAsia"/>
          <w:sz w:val="24"/>
        </w:rPr>
        <w:t>、</w:t>
      </w:r>
      <w:r>
        <w:rPr>
          <w:sz w:val="24"/>
        </w:rPr>
        <w:t>方向和限度</w:t>
      </w:r>
      <w:r>
        <w:rPr>
          <w:rFonts w:hint="eastAsia"/>
          <w:sz w:val="24"/>
        </w:rPr>
        <w:t>、</w:t>
      </w:r>
      <w:r>
        <w:rPr>
          <w:sz w:val="24"/>
        </w:rPr>
        <w:t>化学反应速率等问题</w:t>
      </w:r>
      <w:r>
        <w:rPr>
          <w:rFonts w:hint="eastAsia"/>
          <w:sz w:val="24"/>
        </w:rPr>
        <w:t>，</w:t>
      </w:r>
      <w:r>
        <w:rPr>
          <w:sz w:val="24"/>
        </w:rPr>
        <w:t>并将其用在化学化工科研</w:t>
      </w:r>
      <w:r>
        <w:rPr>
          <w:rFonts w:hint="eastAsia"/>
          <w:sz w:val="24"/>
        </w:rPr>
        <w:t>、</w:t>
      </w:r>
      <w:r>
        <w:rPr>
          <w:sz w:val="24"/>
        </w:rPr>
        <w:t>生产的单元操作实际中</w:t>
      </w:r>
      <w:r>
        <w:rPr>
          <w:rFonts w:hint="eastAsia"/>
          <w:sz w:val="24"/>
        </w:rPr>
        <w:t>。</w:t>
      </w:r>
      <w:r>
        <w:rPr>
          <w:sz w:val="24"/>
        </w:rPr>
        <w:t>本课程是为化学工程与工艺和应用化学专业开设的学科专业基础必修实验课程</w:t>
      </w:r>
      <w:r>
        <w:rPr>
          <w:rFonts w:hint="eastAsia"/>
          <w:sz w:val="24"/>
        </w:rPr>
        <w:t>，</w:t>
      </w:r>
      <w:r>
        <w:rPr>
          <w:sz w:val="24"/>
        </w:rPr>
        <w:t>为学生毕业后从事化学</w:t>
      </w:r>
      <w:r>
        <w:rPr>
          <w:rFonts w:hint="eastAsia"/>
          <w:sz w:val="24"/>
        </w:rPr>
        <w:t>、</w:t>
      </w:r>
      <w:r>
        <w:rPr>
          <w:sz w:val="24"/>
        </w:rPr>
        <w:t>化工等相关领域的生产</w:t>
      </w:r>
      <w:r>
        <w:rPr>
          <w:rFonts w:hint="eastAsia"/>
          <w:sz w:val="24"/>
        </w:rPr>
        <w:t>、</w:t>
      </w:r>
      <w:r>
        <w:rPr>
          <w:sz w:val="24"/>
        </w:rPr>
        <w:t>科研</w:t>
      </w:r>
      <w:r>
        <w:rPr>
          <w:rFonts w:hint="eastAsia"/>
          <w:sz w:val="24"/>
        </w:rPr>
        <w:t>、</w:t>
      </w:r>
      <w:r>
        <w:rPr>
          <w:sz w:val="24"/>
        </w:rPr>
        <w:t>质检</w:t>
      </w:r>
      <w:r>
        <w:rPr>
          <w:rFonts w:hint="eastAsia"/>
          <w:sz w:val="24"/>
        </w:rPr>
        <w:t>、</w:t>
      </w:r>
      <w:r>
        <w:rPr>
          <w:sz w:val="24"/>
        </w:rPr>
        <w:t>工艺研究</w:t>
      </w:r>
      <w:r>
        <w:rPr>
          <w:rFonts w:hint="eastAsia"/>
          <w:sz w:val="24"/>
        </w:rPr>
        <w:t>、</w:t>
      </w:r>
      <w:r>
        <w:rPr>
          <w:sz w:val="24"/>
        </w:rPr>
        <w:t>技术改造</w:t>
      </w:r>
      <w:r>
        <w:rPr>
          <w:rFonts w:hint="eastAsia"/>
          <w:sz w:val="24"/>
        </w:rPr>
        <w:t>、</w:t>
      </w:r>
      <w:r>
        <w:rPr>
          <w:sz w:val="24"/>
        </w:rPr>
        <w:t>运行管理等工作提供化学反应中所涉及的有关能量转化</w:t>
      </w:r>
      <w:r>
        <w:rPr>
          <w:rFonts w:hint="eastAsia"/>
          <w:sz w:val="24"/>
        </w:rPr>
        <w:t>、</w:t>
      </w:r>
      <w:r>
        <w:rPr>
          <w:sz w:val="24"/>
        </w:rPr>
        <w:t>方向和限度</w:t>
      </w:r>
      <w:r>
        <w:rPr>
          <w:rFonts w:hint="eastAsia"/>
          <w:sz w:val="24"/>
        </w:rPr>
        <w:t>、</w:t>
      </w:r>
      <w:r>
        <w:rPr>
          <w:sz w:val="24"/>
        </w:rPr>
        <w:t>化学反应速率等方面的专业知识</w:t>
      </w:r>
      <w:r>
        <w:rPr>
          <w:rFonts w:hint="eastAsia"/>
          <w:sz w:val="24"/>
        </w:rPr>
        <w:t>。</w:t>
      </w:r>
      <w:r>
        <w:rPr>
          <w:sz w:val="24"/>
        </w:rPr>
        <w:t>本课程主要介绍</w:t>
      </w:r>
      <w:r>
        <w:rPr>
          <w:rFonts w:hint="eastAsia"/>
          <w:sz w:val="24"/>
        </w:rPr>
        <w:t>凝固点降低法测定摩尔质量，纯</w:t>
      </w:r>
      <w:r>
        <w:rPr>
          <w:sz w:val="24"/>
        </w:rPr>
        <w:t>液体饱和蒸汽压的测定</w:t>
      </w:r>
      <w:r>
        <w:rPr>
          <w:rFonts w:hint="eastAsia"/>
          <w:sz w:val="24"/>
        </w:rPr>
        <w:t>，</w:t>
      </w:r>
      <w:r>
        <w:rPr>
          <w:sz w:val="24"/>
        </w:rPr>
        <w:t>燃烧热的测定及氧弹量热计的构造</w:t>
      </w:r>
      <w:r>
        <w:rPr>
          <w:rFonts w:hint="eastAsia"/>
          <w:sz w:val="24"/>
        </w:rPr>
        <w:t>、</w:t>
      </w:r>
      <w:r>
        <w:rPr>
          <w:sz w:val="24"/>
        </w:rPr>
        <w:t>原理和应用</w:t>
      </w:r>
      <w:r>
        <w:rPr>
          <w:rFonts w:hint="eastAsia"/>
          <w:sz w:val="24"/>
        </w:rPr>
        <w:t>，稀溶液的依数性，二元液系相图和金属相图的测定，皂化反应，电导率仪和旋光仪的构造及使用，表面张力测定及其装置等以及各实验中需注意的问题。</w:t>
      </w:r>
    </w:p>
    <w:p>
      <w:pPr>
        <w:spacing w:line="360" w:lineRule="auto"/>
        <w:ind w:firstLine="562" w:firstLineChars="200"/>
        <w:rPr>
          <w:b/>
          <w:sz w:val="28"/>
          <w:szCs w:val="28"/>
        </w:rPr>
      </w:pPr>
      <w:r>
        <w:rPr>
          <w:rFonts w:hint="eastAsia"/>
          <w:b/>
          <w:sz w:val="28"/>
          <w:szCs w:val="28"/>
        </w:rPr>
        <w:t>二</w:t>
      </w:r>
      <w:r>
        <w:rPr>
          <w:b/>
          <w:sz w:val="28"/>
          <w:szCs w:val="28"/>
        </w:rPr>
        <w:t>、</w:t>
      </w:r>
      <w:r>
        <w:rPr>
          <w:rFonts w:hint="eastAsia"/>
          <w:b/>
          <w:sz w:val="28"/>
          <w:szCs w:val="28"/>
        </w:rPr>
        <w:t>课程目标及对毕业要求观测点的支撑</w:t>
      </w:r>
    </w:p>
    <w:tbl>
      <w:tblPr>
        <w:tblStyle w:val="1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118"/>
        <w:gridCol w:w="2292"/>
        <w:gridCol w:w="3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38" w:type="dxa"/>
            <w:noWrap/>
            <w:vAlign w:val="center"/>
          </w:tcPr>
          <w:p>
            <w:pPr>
              <w:widowControl/>
              <w:jc w:val="center"/>
              <w:rPr>
                <w:b/>
                <w:bCs/>
                <w:kern w:val="0"/>
                <w:szCs w:val="21"/>
              </w:rPr>
            </w:pPr>
            <w:r>
              <w:rPr>
                <w:b/>
                <w:bCs/>
                <w:kern w:val="0"/>
                <w:szCs w:val="21"/>
              </w:rPr>
              <w:t>序号</w:t>
            </w:r>
          </w:p>
        </w:tc>
        <w:tc>
          <w:tcPr>
            <w:tcW w:w="3118" w:type="dxa"/>
            <w:noWrap/>
            <w:vAlign w:val="center"/>
          </w:tcPr>
          <w:p>
            <w:pPr>
              <w:widowControl/>
              <w:jc w:val="center"/>
              <w:rPr>
                <w:b/>
                <w:bCs/>
                <w:kern w:val="0"/>
                <w:szCs w:val="21"/>
              </w:rPr>
            </w:pPr>
            <w:r>
              <w:rPr>
                <w:b/>
                <w:bCs/>
                <w:kern w:val="0"/>
                <w:szCs w:val="21"/>
              </w:rPr>
              <w:t>课程目标</w:t>
            </w:r>
          </w:p>
        </w:tc>
        <w:tc>
          <w:tcPr>
            <w:tcW w:w="2292" w:type="dxa"/>
            <w:noWrap/>
            <w:vAlign w:val="center"/>
          </w:tcPr>
          <w:p>
            <w:pPr>
              <w:widowControl/>
              <w:jc w:val="center"/>
              <w:rPr>
                <w:b/>
                <w:bCs/>
                <w:kern w:val="0"/>
                <w:szCs w:val="21"/>
              </w:rPr>
            </w:pPr>
            <w:r>
              <w:rPr>
                <w:b/>
                <w:bCs/>
                <w:kern w:val="0"/>
                <w:szCs w:val="21"/>
              </w:rPr>
              <w:t>支撑毕业要求观测点</w:t>
            </w:r>
          </w:p>
        </w:tc>
        <w:tc>
          <w:tcPr>
            <w:tcW w:w="3066" w:type="dxa"/>
            <w:noWrap/>
            <w:vAlign w:val="center"/>
          </w:tcPr>
          <w:p>
            <w:pPr>
              <w:widowControl/>
              <w:jc w:val="center"/>
              <w:rPr>
                <w:b/>
                <w:bCs/>
                <w:kern w:val="0"/>
                <w:szCs w:val="21"/>
              </w:rPr>
            </w:pPr>
            <w:r>
              <w:rPr>
                <w:b/>
                <w:bCs/>
                <w:kern w:val="0"/>
                <w:szCs w:val="21"/>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38" w:type="dxa"/>
            <w:noWrap/>
            <w:vAlign w:val="center"/>
          </w:tcPr>
          <w:p>
            <w:pPr>
              <w:widowControl/>
              <w:jc w:val="center"/>
              <w:rPr>
                <w:kern w:val="0"/>
                <w:szCs w:val="21"/>
              </w:rPr>
            </w:pPr>
            <w:r>
              <w:rPr>
                <w:kern w:val="0"/>
                <w:szCs w:val="21"/>
              </w:rPr>
              <w:t>1</w:t>
            </w:r>
          </w:p>
        </w:tc>
        <w:tc>
          <w:tcPr>
            <w:tcW w:w="3118" w:type="dxa"/>
            <w:noWrap/>
            <w:vAlign w:val="center"/>
          </w:tcPr>
          <w:p>
            <w:pPr>
              <w:rPr>
                <w:kern w:val="0"/>
                <w:szCs w:val="21"/>
              </w:rPr>
            </w:pPr>
            <w:r>
              <w:rPr>
                <w:b/>
                <w:kern w:val="0"/>
                <w:szCs w:val="21"/>
              </w:rPr>
              <w:t>目标1：</w:t>
            </w:r>
            <w:r>
              <w:rPr>
                <w:rFonts w:hint="eastAsia"/>
                <w:bCs/>
                <w:kern w:val="0"/>
                <w:szCs w:val="21"/>
              </w:rPr>
              <w:t>能够利用计算机辅助作图进行数据处理的能力和实验结果进行分析讨论的能力以及相关资料查询，设计实验方案的能力。</w:t>
            </w:r>
          </w:p>
        </w:tc>
        <w:tc>
          <w:tcPr>
            <w:tcW w:w="2292" w:type="dxa"/>
            <w:noWrap/>
            <w:vAlign w:val="center"/>
          </w:tcPr>
          <w:p>
            <w:pPr>
              <w:widowControl/>
              <w:rPr>
                <w:kern w:val="0"/>
                <w:szCs w:val="21"/>
              </w:rPr>
            </w:pPr>
            <w:r>
              <w:rPr>
                <w:b/>
                <w:szCs w:val="21"/>
              </w:rPr>
              <w:t>观测点1</w:t>
            </w:r>
            <w:r>
              <w:rPr>
                <w:rFonts w:hint="eastAsia"/>
                <w:b/>
                <w:szCs w:val="21"/>
              </w:rPr>
              <w:t>.</w:t>
            </w:r>
            <w:r>
              <w:rPr>
                <w:b/>
                <w:szCs w:val="21"/>
              </w:rPr>
              <w:t>3</w:t>
            </w:r>
            <w:r>
              <w:rPr>
                <w:szCs w:val="21"/>
              </w:rPr>
              <w:t>：</w:t>
            </w:r>
            <w:r>
              <w:rPr>
                <w:rFonts w:hint="eastAsia" w:ascii="宋体" w:hAnsi="宋体" w:cs="宋体"/>
                <w:color w:val="000000"/>
                <w:kern w:val="0"/>
              </w:rPr>
              <w:t>掌握电子、计算机和化工设备基础知识</w:t>
            </w:r>
          </w:p>
        </w:tc>
        <w:tc>
          <w:tcPr>
            <w:tcW w:w="3066" w:type="dxa"/>
            <w:noWrap/>
            <w:vAlign w:val="center"/>
          </w:tcPr>
          <w:p>
            <w:pPr>
              <w:widowControl/>
              <w:rPr>
                <w:kern w:val="0"/>
                <w:szCs w:val="21"/>
              </w:rPr>
            </w:pPr>
            <w:r>
              <w:rPr>
                <w:b/>
                <w:color w:val="000000"/>
                <w:kern w:val="0"/>
                <w:szCs w:val="21"/>
              </w:rPr>
              <w:t>毕业要求</w:t>
            </w:r>
            <w:r>
              <w:rPr>
                <w:rFonts w:hint="eastAsia"/>
                <w:b/>
                <w:color w:val="000000"/>
                <w:kern w:val="0"/>
                <w:szCs w:val="21"/>
              </w:rPr>
              <w:t>1</w:t>
            </w:r>
            <w:r>
              <w:rPr>
                <w:rFonts w:hint="eastAsia" w:ascii="宋体" w:hAnsi="宋体"/>
                <w:color w:val="000000"/>
                <w:szCs w:val="22"/>
              </w:rPr>
              <w:t>工程知识：能够将数学、自然科学、工程基础和专业知识用于解决化学工程与工艺领域复杂工程问题。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38" w:type="dxa"/>
            <w:noWrap/>
            <w:vAlign w:val="center"/>
          </w:tcPr>
          <w:p>
            <w:pPr>
              <w:widowControl/>
              <w:jc w:val="center"/>
              <w:rPr>
                <w:kern w:val="0"/>
                <w:szCs w:val="21"/>
              </w:rPr>
            </w:pPr>
            <w:r>
              <w:rPr>
                <w:kern w:val="0"/>
                <w:szCs w:val="21"/>
              </w:rPr>
              <w:t>2</w:t>
            </w:r>
          </w:p>
        </w:tc>
        <w:tc>
          <w:tcPr>
            <w:tcW w:w="3118" w:type="dxa"/>
            <w:noWrap/>
            <w:vAlign w:val="center"/>
          </w:tcPr>
          <w:p>
            <w:pPr>
              <w:widowControl/>
              <w:rPr>
                <w:kern w:val="0"/>
                <w:szCs w:val="21"/>
              </w:rPr>
            </w:pPr>
            <w:r>
              <w:rPr>
                <w:b/>
                <w:kern w:val="0"/>
                <w:szCs w:val="21"/>
              </w:rPr>
              <w:t>目标2：</w:t>
            </w:r>
            <w:r>
              <w:rPr>
                <w:kern w:val="0"/>
                <w:szCs w:val="21"/>
              </w:rPr>
              <w:t>能够</w:t>
            </w:r>
            <w:r>
              <w:rPr>
                <w:rFonts w:hint="eastAsia"/>
                <w:kern w:val="0"/>
                <w:szCs w:val="21"/>
              </w:rPr>
              <w:t>理解并掌握仪器设备的结构构造、使用方法和工作原理；掌握实验现象分析和实验结果的处理方法。</w:t>
            </w:r>
          </w:p>
          <w:p>
            <w:pPr>
              <w:widowControl/>
              <w:rPr>
                <w:rFonts w:hint="eastAsia"/>
                <w:kern w:val="0"/>
                <w:szCs w:val="21"/>
              </w:rPr>
            </w:pPr>
          </w:p>
        </w:tc>
        <w:tc>
          <w:tcPr>
            <w:tcW w:w="2292" w:type="dxa"/>
            <w:noWrap/>
            <w:vAlign w:val="center"/>
          </w:tcPr>
          <w:p>
            <w:pPr>
              <w:widowControl/>
              <w:rPr>
                <w:kern w:val="0"/>
                <w:szCs w:val="21"/>
              </w:rPr>
            </w:pPr>
            <w:r>
              <w:rPr>
                <w:b/>
                <w:color w:val="000000"/>
                <w:kern w:val="0"/>
                <w:szCs w:val="21"/>
              </w:rPr>
              <w:t>观测点</w:t>
            </w:r>
            <w:r>
              <w:rPr>
                <w:rFonts w:hint="eastAsia"/>
                <w:b/>
                <w:szCs w:val="21"/>
              </w:rPr>
              <w:t>4</w:t>
            </w:r>
            <w:r>
              <w:rPr>
                <w:b/>
                <w:szCs w:val="21"/>
              </w:rPr>
              <w:t>.</w:t>
            </w:r>
            <w:r>
              <w:rPr>
                <w:rFonts w:hint="eastAsia"/>
                <w:b/>
                <w:szCs w:val="21"/>
              </w:rPr>
              <w:t>3</w:t>
            </w:r>
            <w:r>
              <w:rPr>
                <w:szCs w:val="21"/>
              </w:rPr>
              <w:t>：</w:t>
            </w:r>
            <w:r>
              <w:rPr>
                <w:color w:val="000000"/>
                <w:kern w:val="0"/>
              </w:rPr>
              <w:t>能够对实验结果进行分析解释，并与理论模型进行比较</w:t>
            </w:r>
            <w:r>
              <w:rPr>
                <w:rFonts w:hint="eastAsia"/>
                <w:color w:val="000000"/>
                <w:kern w:val="0"/>
              </w:rPr>
              <w:t>。</w:t>
            </w:r>
          </w:p>
        </w:tc>
        <w:tc>
          <w:tcPr>
            <w:tcW w:w="3066" w:type="dxa"/>
            <w:noWrap/>
            <w:vAlign w:val="center"/>
          </w:tcPr>
          <w:p>
            <w:pPr>
              <w:widowControl/>
              <w:rPr>
                <w:kern w:val="0"/>
                <w:szCs w:val="21"/>
              </w:rPr>
            </w:pPr>
            <w:r>
              <w:rPr>
                <w:b/>
                <w:szCs w:val="21"/>
              </w:rPr>
              <w:t>毕业要求</w:t>
            </w:r>
            <w:r>
              <w:rPr>
                <w:rFonts w:hint="eastAsia"/>
                <w:b/>
                <w:szCs w:val="21"/>
              </w:rPr>
              <w:t>4</w:t>
            </w:r>
            <w:r>
              <w:rPr>
                <w:rFonts w:hint="eastAsia" w:ascii="宋体" w:hAnsi="宋体"/>
                <w:color w:val="000000"/>
                <w:szCs w:val="22"/>
              </w:rPr>
              <w:t>研究：能够基于科学原理并采用科学方法对复杂工程问题进行研究，包括设计实验、分析与解释数据、并通过信息综合得到合理有效的结论。</w:t>
            </w:r>
          </w:p>
        </w:tc>
      </w:tr>
    </w:tbl>
    <w:p>
      <w:pPr>
        <w:spacing w:line="360" w:lineRule="auto"/>
        <w:jc w:val="left"/>
        <w:rPr>
          <w:rFonts w:hint="eastAsia"/>
          <w:sz w:val="24"/>
        </w:rPr>
      </w:pPr>
    </w:p>
    <w:p>
      <w:pPr>
        <w:spacing w:line="360" w:lineRule="auto"/>
        <w:ind w:firstLine="562" w:firstLineChars="200"/>
        <w:rPr>
          <w:b/>
          <w:sz w:val="28"/>
          <w:szCs w:val="28"/>
        </w:rPr>
      </w:pPr>
      <w:r>
        <w:rPr>
          <w:rFonts w:hint="eastAsia"/>
          <w:b/>
          <w:sz w:val="28"/>
          <w:szCs w:val="28"/>
        </w:rPr>
        <w:t>三</w:t>
      </w:r>
      <w:r>
        <w:rPr>
          <w:b/>
          <w:sz w:val="28"/>
          <w:szCs w:val="28"/>
        </w:rPr>
        <w:t>、课程内容及要求</w:t>
      </w:r>
    </w:p>
    <w:p>
      <w:pPr>
        <w:spacing w:line="360" w:lineRule="auto"/>
        <w:ind w:firstLine="480" w:firstLineChars="200"/>
        <w:rPr>
          <w:rFonts w:hint="eastAsia"/>
          <w:bCs/>
          <w:sz w:val="24"/>
        </w:rPr>
      </w:pPr>
    </w:p>
    <w:tbl>
      <w:tblPr>
        <w:tblStyle w:val="10"/>
        <w:tblW w:w="9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701"/>
        <w:gridCol w:w="3827"/>
        <w:gridCol w:w="709"/>
        <w:gridCol w:w="708"/>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3" w:hRule="atLeast"/>
          <w:jc w:val="center"/>
        </w:trPr>
        <w:tc>
          <w:tcPr>
            <w:tcW w:w="709" w:type="dxa"/>
            <w:noWrap w:val="0"/>
            <w:vAlign w:val="center"/>
          </w:tcPr>
          <w:p>
            <w:pPr>
              <w:spacing w:line="360" w:lineRule="auto"/>
              <w:jc w:val="center"/>
              <w:rPr>
                <w:b/>
                <w:sz w:val="24"/>
              </w:rPr>
            </w:pPr>
            <w:r>
              <w:rPr>
                <w:b/>
                <w:sz w:val="24"/>
              </w:rPr>
              <w:t>序号</w:t>
            </w:r>
          </w:p>
        </w:tc>
        <w:tc>
          <w:tcPr>
            <w:tcW w:w="1276" w:type="dxa"/>
            <w:noWrap w:val="0"/>
            <w:vAlign w:val="center"/>
          </w:tcPr>
          <w:p>
            <w:pPr>
              <w:spacing w:line="360" w:lineRule="auto"/>
              <w:jc w:val="center"/>
              <w:rPr>
                <w:b/>
                <w:sz w:val="24"/>
              </w:rPr>
            </w:pPr>
            <w:r>
              <w:rPr>
                <w:b/>
                <w:sz w:val="24"/>
              </w:rPr>
              <w:t>教学内容</w:t>
            </w:r>
          </w:p>
        </w:tc>
        <w:tc>
          <w:tcPr>
            <w:tcW w:w="1701" w:type="dxa"/>
            <w:noWrap w:val="0"/>
            <w:vAlign w:val="center"/>
          </w:tcPr>
          <w:p>
            <w:pPr>
              <w:spacing w:line="360" w:lineRule="auto"/>
              <w:jc w:val="center"/>
              <w:rPr>
                <w:b/>
                <w:sz w:val="24"/>
              </w:rPr>
            </w:pPr>
            <w:r>
              <w:rPr>
                <w:b/>
                <w:sz w:val="24"/>
              </w:rPr>
              <w:t>思政元素</w:t>
            </w:r>
          </w:p>
        </w:tc>
        <w:tc>
          <w:tcPr>
            <w:tcW w:w="3827" w:type="dxa"/>
            <w:noWrap w:val="0"/>
            <w:vAlign w:val="center"/>
          </w:tcPr>
          <w:p>
            <w:pPr>
              <w:spacing w:line="360" w:lineRule="auto"/>
              <w:jc w:val="center"/>
              <w:rPr>
                <w:b/>
                <w:sz w:val="24"/>
              </w:rPr>
            </w:pPr>
            <w:r>
              <w:rPr>
                <w:rFonts w:hint="eastAsia"/>
                <w:b/>
                <w:sz w:val="24"/>
              </w:rPr>
              <w:t>预期学习成果</w:t>
            </w:r>
          </w:p>
        </w:tc>
        <w:tc>
          <w:tcPr>
            <w:tcW w:w="709" w:type="dxa"/>
            <w:noWrap w:val="0"/>
            <w:vAlign w:val="center"/>
          </w:tcPr>
          <w:p>
            <w:pPr>
              <w:spacing w:line="360" w:lineRule="auto"/>
              <w:jc w:val="center"/>
              <w:rPr>
                <w:b/>
                <w:sz w:val="24"/>
              </w:rPr>
            </w:pPr>
            <w:r>
              <w:rPr>
                <w:rFonts w:hint="eastAsia"/>
                <w:b/>
                <w:sz w:val="24"/>
              </w:rPr>
              <w:t>教学</w:t>
            </w:r>
            <w:r>
              <w:rPr>
                <w:b/>
                <w:sz w:val="24"/>
              </w:rPr>
              <w:t>学时</w:t>
            </w:r>
          </w:p>
        </w:tc>
        <w:tc>
          <w:tcPr>
            <w:tcW w:w="708" w:type="dxa"/>
            <w:noWrap w:val="0"/>
            <w:vAlign w:val="center"/>
          </w:tcPr>
          <w:p>
            <w:pPr>
              <w:spacing w:line="360" w:lineRule="auto"/>
              <w:jc w:val="center"/>
              <w:rPr>
                <w:b/>
                <w:sz w:val="24"/>
              </w:rPr>
            </w:pPr>
            <w:r>
              <w:rPr>
                <w:rFonts w:hint="eastAsia"/>
                <w:b/>
                <w:sz w:val="24"/>
              </w:rPr>
              <w:t>教学方式</w:t>
            </w:r>
          </w:p>
        </w:tc>
        <w:tc>
          <w:tcPr>
            <w:tcW w:w="990" w:type="dxa"/>
            <w:noWrap w:val="0"/>
            <w:vAlign w:val="center"/>
          </w:tcPr>
          <w:p>
            <w:pPr>
              <w:spacing w:line="360" w:lineRule="auto"/>
              <w:jc w:val="center"/>
              <w:rPr>
                <w:b/>
                <w:sz w:val="24"/>
              </w:rPr>
            </w:pPr>
            <w:r>
              <w:rPr>
                <w:rFonts w:hint="eastAsia"/>
                <w:b/>
                <w:sz w:val="24"/>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center"/>
          </w:tcPr>
          <w:p>
            <w:pPr>
              <w:spacing w:line="360" w:lineRule="auto"/>
              <w:jc w:val="center"/>
              <w:rPr>
                <w:rFonts w:hint="eastAsia"/>
                <w:bCs/>
                <w:szCs w:val="21"/>
              </w:rPr>
            </w:pPr>
            <w:r>
              <w:rPr>
                <w:rFonts w:hint="eastAsia"/>
                <w:bCs/>
                <w:szCs w:val="21"/>
              </w:rPr>
              <w:t>1</w:t>
            </w:r>
          </w:p>
        </w:tc>
        <w:tc>
          <w:tcPr>
            <w:tcW w:w="1276" w:type="dxa"/>
            <w:noWrap w:val="0"/>
            <w:vAlign w:val="center"/>
          </w:tcPr>
          <w:p>
            <w:pPr>
              <w:spacing w:line="360" w:lineRule="auto"/>
              <w:jc w:val="center"/>
              <w:rPr>
                <w:rFonts w:hint="eastAsia"/>
                <w:bCs/>
                <w:szCs w:val="21"/>
              </w:rPr>
            </w:pPr>
            <w:r>
              <w:rPr>
                <w:rFonts w:hint="eastAsia"/>
                <w:bCs/>
                <w:szCs w:val="21"/>
              </w:rPr>
              <w:t>实验室安全教育及基本操作</w:t>
            </w:r>
          </w:p>
        </w:tc>
        <w:tc>
          <w:tcPr>
            <w:tcW w:w="1701" w:type="dxa"/>
            <w:noWrap w:val="0"/>
            <w:vAlign w:val="center"/>
          </w:tcPr>
          <w:p>
            <w:pPr>
              <w:spacing w:line="360" w:lineRule="auto"/>
              <w:jc w:val="center"/>
              <w:rPr>
                <w:rFonts w:hint="eastAsia"/>
                <w:bCs/>
                <w:szCs w:val="21"/>
              </w:rPr>
            </w:pPr>
            <w:r>
              <w:rPr>
                <w:rFonts w:hint="eastAsia"/>
                <w:bCs/>
                <w:szCs w:val="21"/>
              </w:rPr>
              <w:t>从举例讲解与实验相关化学家们的感人事迹，以及为国家做出的杰出贡献，激发同学们的爱国情怀、追求科学的志趣、以及坚忍不拔的精神。</w:t>
            </w:r>
          </w:p>
        </w:tc>
        <w:tc>
          <w:tcPr>
            <w:tcW w:w="3827" w:type="dxa"/>
            <w:noWrap w:val="0"/>
            <w:vAlign w:val="center"/>
          </w:tcPr>
          <w:p>
            <w:pPr>
              <w:spacing w:line="360" w:lineRule="auto"/>
              <w:rPr>
                <w:rFonts w:hint="eastAsia"/>
                <w:bCs/>
                <w:szCs w:val="21"/>
              </w:rPr>
            </w:pPr>
            <w:r>
              <w:rPr>
                <w:rFonts w:hint="eastAsia"/>
                <w:bCs/>
                <w:szCs w:val="21"/>
              </w:rPr>
              <w:t>能够了解实验操作的相关规范要求，了解实验操作过程中的注意事项，注意安全防护。了解所做实验内容，以及掌握数据分析和处理的科学方法。</w:t>
            </w:r>
          </w:p>
        </w:tc>
        <w:tc>
          <w:tcPr>
            <w:tcW w:w="709" w:type="dxa"/>
            <w:noWrap w:val="0"/>
            <w:vAlign w:val="center"/>
          </w:tcPr>
          <w:p>
            <w:pPr>
              <w:spacing w:line="360" w:lineRule="auto"/>
              <w:jc w:val="center"/>
              <w:rPr>
                <w:rFonts w:hint="eastAsia"/>
                <w:bCs/>
                <w:szCs w:val="21"/>
              </w:rPr>
            </w:pPr>
            <w:r>
              <w:rPr>
                <w:rFonts w:hint="eastAsia"/>
                <w:bCs/>
                <w:szCs w:val="21"/>
              </w:rPr>
              <w:t>4（讲授）</w:t>
            </w:r>
          </w:p>
        </w:tc>
        <w:tc>
          <w:tcPr>
            <w:tcW w:w="708" w:type="dxa"/>
            <w:noWrap w:val="0"/>
            <w:vAlign w:val="center"/>
          </w:tcPr>
          <w:p>
            <w:pPr>
              <w:spacing w:line="360" w:lineRule="auto"/>
              <w:jc w:val="center"/>
              <w:rPr>
                <w:rFonts w:hint="eastAsia"/>
                <w:bCs/>
                <w:szCs w:val="21"/>
              </w:rPr>
            </w:pPr>
            <w:r>
              <w:rPr>
                <w:szCs w:val="21"/>
              </w:rPr>
              <w:t>讲授/讨论/实例教学等</w:t>
            </w:r>
          </w:p>
        </w:tc>
        <w:tc>
          <w:tcPr>
            <w:tcW w:w="990" w:type="dxa"/>
            <w:noWrap w:val="0"/>
            <w:vAlign w:val="center"/>
          </w:tcPr>
          <w:p>
            <w:pPr>
              <w:spacing w:line="360" w:lineRule="auto"/>
              <w:jc w:val="center"/>
              <w:rPr>
                <w:bCs/>
                <w:szCs w:val="21"/>
              </w:rPr>
            </w:pPr>
            <w:r>
              <w:rPr>
                <w:b/>
                <w:kern w:val="0"/>
                <w:szCs w:val="21"/>
              </w:rPr>
              <w:t>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center"/>
          </w:tcPr>
          <w:p>
            <w:pPr>
              <w:spacing w:line="360" w:lineRule="auto"/>
              <w:jc w:val="center"/>
              <w:rPr>
                <w:rFonts w:hint="eastAsia"/>
                <w:bCs/>
                <w:szCs w:val="21"/>
              </w:rPr>
            </w:pPr>
            <w:r>
              <w:rPr>
                <w:rFonts w:hint="eastAsia"/>
                <w:bCs/>
                <w:szCs w:val="21"/>
              </w:rPr>
              <w:t>2</w:t>
            </w:r>
          </w:p>
        </w:tc>
        <w:tc>
          <w:tcPr>
            <w:tcW w:w="1276" w:type="dxa"/>
            <w:noWrap w:val="0"/>
            <w:vAlign w:val="center"/>
          </w:tcPr>
          <w:p>
            <w:pPr>
              <w:spacing w:line="360" w:lineRule="auto"/>
              <w:jc w:val="center"/>
              <w:rPr>
                <w:bCs/>
                <w:szCs w:val="21"/>
              </w:rPr>
            </w:pPr>
            <w:r>
              <w:rPr>
                <w:bCs/>
                <w:szCs w:val="21"/>
              </w:rPr>
              <w:t>燃烧</w:t>
            </w:r>
            <w:r>
              <w:rPr>
                <w:rFonts w:hint="eastAsia"/>
                <w:bCs/>
                <w:szCs w:val="21"/>
              </w:rPr>
              <w:t>热</w:t>
            </w:r>
            <w:r>
              <w:rPr>
                <w:bCs/>
                <w:szCs w:val="21"/>
              </w:rPr>
              <w:t>的测定</w:t>
            </w:r>
          </w:p>
        </w:tc>
        <w:tc>
          <w:tcPr>
            <w:tcW w:w="1701" w:type="dxa"/>
            <w:noWrap w:val="0"/>
            <w:vAlign w:val="center"/>
          </w:tcPr>
          <w:p>
            <w:pPr>
              <w:spacing w:line="360" w:lineRule="auto"/>
              <w:jc w:val="center"/>
              <w:rPr>
                <w:bCs/>
                <w:szCs w:val="21"/>
              </w:rPr>
            </w:pPr>
          </w:p>
        </w:tc>
        <w:tc>
          <w:tcPr>
            <w:tcW w:w="3827" w:type="dxa"/>
            <w:noWrap w:val="0"/>
            <w:vAlign w:val="center"/>
          </w:tcPr>
          <w:p>
            <w:pPr>
              <w:spacing w:line="360" w:lineRule="auto"/>
              <w:rPr>
                <w:bCs/>
                <w:szCs w:val="21"/>
              </w:rPr>
            </w:pPr>
            <w:r>
              <w:rPr>
                <w:rFonts w:hint="eastAsia"/>
                <w:bCs/>
                <w:szCs w:val="21"/>
              </w:rPr>
              <w:t>能够了解</w:t>
            </w:r>
            <w:r>
              <w:rPr>
                <w:bCs/>
                <w:szCs w:val="21"/>
              </w:rPr>
              <w:t>氧弹量热计的原理</w:t>
            </w:r>
            <w:r>
              <w:rPr>
                <w:rFonts w:hint="eastAsia"/>
                <w:bCs/>
                <w:szCs w:val="21"/>
              </w:rPr>
              <w:t>、</w:t>
            </w:r>
            <w:r>
              <w:rPr>
                <w:bCs/>
                <w:szCs w:val="21"/>
              </w:rPr>
              <w:t>构造</w:t>
            </w:r>
            <w:r>
              <w:rPr>
                <w:rFonts w:hint="eastAsia"/>
                <w:bCs/>
                <w:szCs w:val="21"/>
              </w:rPr>
              <w:t>，</w:t>
            </w:r>
            <w:r>
              <w:rPr>
                <w:bCs/>
                <w:szCs w:val="21"/>
              </w:rPr>
              <w:t>及测量萘的燃烧焓</w:t>
            </w:r>
            <w:r>
              <w:rPr>
                <w:rFonts w:hint="eastAsia"/>
                <w:bCs/>
                <w:szCs w:val="21"/>
              </w:rPr>
              <w:t>，</w:t>
            </w:r>
            <w:r>
              <w:rPr>
                <w:bCs/>
                <w:szCs w:val="21"/>
              </w:rPr>
              <w:t>掌握温差的校正方法及外推法求△t和热量计算的数据处理技术</w:t>
            </w:r>
            <w:r>
              <w:rPr>
                <w:rFonts w:hint="eastAsia"/>
                <w:bCs/>
                <w:szCs w:val="21"/>
              </w:rPr>
              <w:t>。</w:t>
            </w:r>
          </w:p>
        </w:tc>
        <w:tc>
          <w:tcPr>
            <w:tcW w:w="709" w:type="dxa"/>
            <w:noWrap w:val="0"/>
            <w:vAlign w:val="center"/>
          </w:tcPr>
          <w:p>
            <w:pPr>
              <w:spacing w:line="360" w:lineRule="auto"/>
              <w:jc w:val="center"/>
              <w:rPr>
                <w:rFonts w:hint="eastAsia"/>
                <w:bCs/>
                <w:szCs w:val="21"/>
              </w:rPr>
            </w:pPr>
            <w:r>
              <w:rPr>
                <w:rFonts w:hint="eastAsia"/>
                <w:bCs/>
                <w:szCs w:val="21"/>
              </w:rPr>
              <w:t>4（实验）</w:t>
            </w:r>
          </w:p>
        </w:tc>
        <w:tc>
          <w:tcPr>
            <w:tcW w:w="708" w:type="dxa"/>
            <w:noWrap w:val="0"/>
            <w:vAlign w:val="center"/>
          </w:tcPr>
          <w:p>
            <w:pPr>
              <w:spacing w:line="360" w:lineRule="auto"/>
              <w:jc w:val="center"/>
              <w:rPr>
                <w:rFonts w:hint="eastAsia"/>
                <w:bCs/>
                <w:szCs w:val="21"/>
              </w:rPr>
            </w:pPr>
            <w:r>
              <w:rPr>
                <w:szCs w:val="21"/>
              </w:rPr>
              <w:t>实验/讨论/等</w:t>
            </w:r>
          </w:p>
        </w:tc>
        <w:tc>
          <w:tcPr>
            <w:tcW w:w="990" w:type="dxa"/>
            <w:noWrap w:val="0"/>
            <w:vAlign w:val="center"/>
          </w:tcPr>
          <w:p>
            <w:pPr>
              <w:spacing w:line="360" w:lineRule="auto"/>
              <w:jc w:val="center"/>
              <w:rPr>
                <w:b/>
                <w:kern w:val="0"/>
                <w:szCs w:val="21"/>
              </w:rPr>
            </w:pPr>
            <w:r>
              <w:rPr>
                <w:b/>
                <w:kern w:val="0"/>
                <w:szCs w:val="21"/>
              </w:rPr>
              <w:t>目标1</w:t>
            </w:r>
          </w:p>
          <w:p>
            <w:pPr>
              <w:spacing w:line="360" w:lineRule="auto"/>
              <w:jc w:val="center"/>
              <w:rPr>
                <w:bCs/>
                <w:szCs w:val="21"/>
              </w:rPr>
            </w:pPr>
            <w:r>
              <w:rPr>
                <w:b/>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center"/>
          </w:tcPr>
          <w:p>
            <w:pPr>
              <w:spacing w:line="360" w:lineRule="auto"/>
              <w:jc w:val="center"/>
              <w:rPr>
                <w:rFonts w:hint="eastAsia"/>
                <w:bCs/>
                <w:szCs w:val="21"/>
              </w:rPr>
            </w:pPr>
            <w:r>
              <w:rPr>
                <w:rFonts w:hint="eastAsia"/>
                <w:bCs/>
                <w:szCs w:val="21"/>
              </w:rPr>
              <w:t>3</w:t>
            </w:r>
          </w:p>
        </w:tc>
        <w:tc>
          <w:tcPr>
            <w:tcW w:w="1276" w:type="dxa"/>
            <w:noWrap w:val="0"/>
            <w:vAlign w:val="center"/>
          </w:tcPr>
          <w:p>
            <w:pPr>
              <w:spacing w:line="360" w:lineRule="auto"/>
              <w:jc w:val="center"/>
              <w:rPr>
                <w:bCs/>
                <w:szCs w:val="21"/>
              </w:rPr>
            </w:pPr>
            <w:r>
              <w:rPr>
                <w:bCs/>
                <w:szCs w:val="21"/>
              </w:rPr>
              <w:t>纯液体饱和蒸汽压的测</w:t>
            </w:r>
            <w:r>
              <w:rPr>
                <w:rFonts w:hint="eastAsia"/>
                <w:bCs/>
                <w:szCs w:val="21"/>
              </w:rPr>
              <w:t>量</w:t>
            </w:r>
          </w:p>
        </w:tc>
        <w:tc>
          <w:tcPr>
            <w:tcW w:w="1701" w:type="dxa"/>
            <w:noWrap w:val="0"/>
            <w:vAlign w:val="center"/>
          </w:tcPr>
          <w:p>
            <w:pPr>
              <w:spacing w:line="360" w:lineRule="auto"/>
              <w:jc w:val="center"/>
              <w:rPr>
                <w:bCs/>
                <w:szCs w:val="21"/>
              </w:rPr>
            </w:pPr>
          </w:p>
        </w:tc>
        <w:tc>
          <w:tcPr>
            <w:tcW w:w="3827" w:type="dxa"/>
            <w:noWrap w:val="0"/>
            <w:vAlign w:val="center"/>
          </w:tcPr>
          <w:p>
            <w:pPr>
              <w:spacing w:line="360" w:lineRule="auto"/>
              <w:rPr>
                <w:bCs/>
                <w:szCs w:val="21"/>
              </w:rPr>
            </w:pPr>
            <w:r>
              <w:rPr>
                <w:rFonts w:hint="eastAsia"/>
                <w:bCs/>
                <w:szCs w:val="21"/>
              </w:rPr>
              <w:t>能够了解</w:t>
            </w:r>
            <w:r>
              <w:rPr>
                <w:bCs/>
                <w:szCs w:val="21"/>
              </w:rPr>
              <w:t>静态法测量乙醇液体饱和蒸汽压</w:t>
            </w:r>
            <w:r>
              <w:rPr>
                <w:rFonts w:hint="eastAsia"/>
                <w:bCs/>
                <w:szCs w:val="21"/>
              </w:rPr>
              <w:t>、</w:t>
            </w:r>
            <w:r>
              <w:rPr>
                <w:bCs/>
                <w:szCs w:val="21"/>
              </w:rPr>
              <w:t>掌握真空技术及线性回归法计算乙醇摩尔汽化焓</w:t>
            </w:r>
          </w:p>
        </w:tc>
        <w:tc>
          <w:tcPr>
            <w:tcW w:w="709" w:type="dxa"/>
            <w:noWrap w:val="0"/>
            <w:vAlign w:val="center"/>
          </w:tcPr>
          <w:p>
            <w:pPr>
              <w:spacing w:line="360" w:lineRule="auto"/>
              <w:jc w:val="center"/>
              <w:rPr>
                <w:rFonts w:hint="eastAsia"/>
                <w:bCs/>
                <w:szCs w:val="21"/>
              </w:rPr>
            </w:pPr>
            <w:r>
              <w:rPr>
                <w:rFonts w:hint="eastAsia"/>
                <w:bCs/>
                <w:szCs w:val="21"/>
              </w:rPr>
              <w:t>4（实验）</w:t>
            </w:r>
          </w:p>
        </w:tc>
        <w:tc>
          <w:tcPr>
            <w:tcW w:w="708" w:type="dxa"/>
            <w:noWrap w:val="0"/>
            <w:vAlign w:val="center"/>
          </w:tcPr>
          <w:p>
            <w:pPr>
              <w:spacing w:line="360" w:lineRule="auto"/>
              <w:jc w:val="center"/>
              <w:rPr>
                <w:rFonts w:hint="eastAsia"/>
                <w:bCs/>
                <w:szCs w:val="21"/>
              </w:rPr>
            </w:pPr>
            <w:r>
              <w:rPr>
                <w:szCs w:val="21"/>
              </w:rPr>
              <w:t>实验/讨论/等</w:t>
            </w:r>
          </w:p>
        </w:tc>
        <w:tc>
          <w:tcPr>
            <w:tcW w:w="990" w:type="dxa"/>
            <w:noWrap w:val="0"/>
            <w:vAlign w:val="center"/>
          </w:tcPr>
          <w:p>
            <w:pPr>
              <w:spacing w:line="360" w:lineRule="auto"/>
              <w:jc w:val="center"/>
              <w:rPr>
                <w:b/>
                <w:kern w:val="0"/>
                <w:szCs w:val="21"/>
              </w:rPr>
            </w:pPr>
            <w:r>
              <w:rPr>
                <w:b/>
                <w:kern w:val="0"/>
                <w:szCs w:val="21"/>
              </w:rPr>
              <w:t>目标1</w:t>
            </w:r>
          </w:p>
          <w:p>
            <w:pPr>
              <w:spacing w:line="360" w:lineRule="auto"/>
              <w:jc w:val="center"/>
              <w:rPr>
                <w:bCs/>
                <w:szCs w:val="21"/>
              </w:rPr>
            </w:pPr>
            <w:r>
              <w:rPr>
                <w:b/>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center"/>
          </w:tcPr>
          <w:p>
            <w:pPr>
              <w:spacing w:line="360" w:lineRule="auto"/>
              <w:jc w:val="center"/>
              <w:rPr>
                <w:rFonts w:hint="eastAsia"/>
                <w:bCs/>
                <w:szCs w:val="21"/>
              </w:rPr>
            </w:pPr>
            <w:r>
              <w:rPr>
                <w:rFonts w:hint="eastAsia"/>
                <w:bCs/>
                <w:szCs w:val="21"/>
              </w:rPr>
              <w:t>4</w:t>
            </w:r>
          </w:p>
        </w:tc>
        <w:tc>
          <w:tcPr>
            <w:tcW w:w="1276" w:type="dxa"/>
            <w:noWrap w:val="0"/>
            <w:vAlign w:val="center"/>
          </w:tcPr>
          <w:p>
            <w:pPr>
              <w:spacing w:line="360" w:lineRule="auto"/>
              <w:jc w:val="center"/>
              <w:rPr>
                <w:bCs/>
                <w:szCs w:val="21"/>
              </w:rPr>
            </w:pPr>
            <w:r>
              <w:rPr>
                <w:bCs/>
                <w:szCs w:val="21"/>
              </w:rPr>
              <w:t>凝固点降低法测定摩尔</w:t>
            </w:r>
            <w:r>
              <w:rPr>
                <w:rFonts w:hint="eastAsia"/>
                <w:bCs/>
                <w:szCs w:val="21"/>
              </w:rPr>
              <w:t>质</w:t>
            </w:r>
            <w:r>
              <w:rPr>
                <w:bCs/>
                <w:szCs w:val="21"/>
              </w:rPr>
              <w:t>量</w:t>
            </w:r>
          </w:p>
        </w:tc>
        <w:tc>
          <w:tcPr>
            <w:tcW w:w="1701" w:type="dxa"/>
            <w:noWrap w:val="0"/>
            <w:vAlign w:val="center"/>
          </w:tcPr>
          <w:p>
            <w:pPr>
              <w:spacing w:line="360" w:lineRule="auto"/>
              <w:jc w:val="center"/>
              <w:rPr>
                <w:bCs/>
                <w:szCs w:val="21"/>
              </w:rPr>
            </w:pPr>
          </w:p>
        </w:tc>
        <w:tc>
          <w:tcPr>
            <w:tcW w:w="3827" w:type="dxa"/>
            <w:noWrap w:val="0"/>
            <w:vAlign w:val="center"/>
          </w:tcPr>
          <w:p>
            <w:pPr>
              <w:spacing w:line="360" w:lineRule="auto"/>
              <w:rPr>
                <w:bCs/>
                <w:szCs w:val="21"/>
              </w:rPr>
            </w:pPr>
            <w:r>
              <w:rPr>
                <w:rFonts w:hint="eastAsia"/>
                <w:bCs/>
                <w:szCs w:val="21"/>
              </w:rPr>
              <w:t>能够</w:t>
            </w:r>
            <w:r>
              <w:rPr>
                <w:bCs/>
                <w:szCs w:val="21"/>
              </w:rPr>
              <w:t>理解稀溶液的依数性</w:t>
            </w:r>
            <w:r>
              <w:rPr>
                <w:rFonts w:hint="eastAsia"/>
                <w:bCs/>
                <w:szCs w:val="21"/>
              </w:rPr>
              <w:t>；掌握</w:t>
            </w:r>
            <w:r>
              <w:rPr>
                <w:bCs/>
                <w:szCs w:val="21"/>
              </w:rPr>
              <w:t>凝固点降低法测定萘的摩尔质量的原理及凝固点的测定</w:t>
            </w:r>
          </w:p>
        </w:tc>
        <w:tc>
          <w:tcPr>
            <w:tcW w:w="709" w:type="dxa"/>
            <w:noWrap w:val="0"/>
            <w:vAlign w:val="center"/>
          </w:tcPr>
          <w:p>
            <w:pPr>
              <w:spacing w:line="360" w:lineRule="auto"/>
              <w:jc w:val="center"/>
              <w:rPr>
                <w:rFonts w:hint="eastAsia"/>
                <w:bCs/>
                <w:szCs w:val="21"/>
              </w:rPr>
            </w:pPr>
            <w:r>
              <w:rPr>
                <w:rFonts w:hint="eastAsia"/>
                <w:bCs/>
                <w:szCs w:val="21"/>
              </w:rPr>
              <w:t>4（实验）</w:t>
            </w:r>
          </w:p>
        </w:tc>
        <w:tc>
          <w:tcPr>
            <w:tcW w:w="708" w:type="dxa"/>
            <w:noWrap w:val="0"/>
            <w:vAlign w:val="center"/>
          </w:tcPr>
          <w:p>
            <w:pPr>
              <w:spacing w:line="360" w:lineRule="auto"/>
              <w:jc w:val="center"/>
              <w:rPr>
                <w:rFonts w:hint="eastAsia"/>
                <w:bCs/>
                <w:szCs w:val="21"/>
              </w:rPr>
            </w:pPr>
            <w:r>
              <w:rPr>
                <w:szCs w:val="21"/>
              </w:rPr>
              <w:t>实验/讨论/等</w:t>
            </w:r>
          </w:p>
        </w:tc>
        <w:tc>
          <w:tcPr>
            <w:tcW w:w="990" w:type="dxa"/>
            <w:noWrap w:val="0"/>
            <w:vAlign w:val="center"/>
          </w:tcPr>
          <w:p>
            <w:pPr>
              <w:spacing w:line="360" w:lineRule="auto"/>
              <w:jc w:val="center"/>
              <w:rPr>
                <w:b/>
                <w:kern w:val="0"/>
                <w:szCs w:val="21"/>
              </w:rPr>
            </w:pPr>
            <w:r>
              <w:rPr>
                <w:b/>
                <w:kern w:val="0"/>
                <w:szCs w:val="21"/>
              </w:rPr>
              <w:t>目标1</w:t>
            </w:r>
          </w:p>
          <w:p>
            <w:pPr>
              <w:spacing w:line="360" w:lineRule="auto"/>
              <w:jc w:val="center"/>
              <w:rPr>
                <w:bCs/>
                <w:szCs w:val="21"/>
              </w:rPr>
            </w:pPr>
            <w:r>
              <w:rPr>
                <w:b/>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center"/>
          </w:tcPr>
          <w:p>
            <w:pPr>
              <w:spacing w:line="360" w:lineRule="auto"/>
              <w:jc w:val="center"/>
              <w:rPr>
                <w:rFonts w:hint="eastAsia"/>
                <w:bCs/>
                <w:szCs w:val="21"/>
              </w:rPr>
            </w:pPr>
            <w:r>
              <w:rPr>
                <w:rFonts w:hint="eastAsia"/>
                <w:bCs/>
                <w:szCs w:val="21"/>
              </w:rPr>
              <w:t>5</w:t>
            </w:r>
          </w:p>
        </w:tc>
        <w:tc>
          <w:tcPr>
            <w:tcW w:w="1276" w:type="dxa"/>
            <w:noWrap w:val="0"/>
            <w:vAlign w:val="center"/>
          </w:tcPr>
          <w:p>
            <w:pPr>
              <w:spacing w:line="360" w:lineRule="auto"/>
              <w:jc w:val="center"/>
              <w:rPr>
                <w:rFonts w:hint="eastAsia"/>
                <w:bCs/>
                <w:szCs w:val="21"/>
              </w:rPr>
            </w:pPr>
            <w:r>
              <w:rPr>
                <w:rFonts w:hint="eastAsia"/>
                <w:bCs/>
                <w:szCs w:val="21"/>
              </w:rPr>
              <w:t>双</w:t>
            </w:r>
            <w:r>
              <w:rPr>
                <w:bCs/>
                <w:szCs w:val="21"/>
              </w:rPr>
              <w:t>液系气</w:t>
            </w:r>
            <w:r>
              <w:rPr>
                <w:rFonts w:hint="eastAsia"/>
                <w:bCs/>
                <w:szCs w:val="21"/>
              </w:rPr>
              <w:t>-</w:t>
            </w:r>
            <w:r>
              <w:rPr>
                <w:bCs/>
                <w:szCs w:val="21"/>
              </w:rPr>
              <w:t>液平衡相图</w:t>
            </w:r>
          </w:p>
        </w:tc>
        <w:tc>
          <w:tcPr>
            <w:tcW w:w="1701" w:type="dxa"/>
            <w:noWrap w:val="0"/>
            <w:vAlign w:val="center"/>
          </w:tcPr>
          <w:p>
            <w:pPr>
              <w:spacing w:line="360" w:lineRule="auto"/>
              <w:jc w:val="center"/>
              <w:rPr>
                <w:rFonts w:hint="eastAsia"/>
                <w:bCs/>
                <w:szCs w:val="21"/>
              </w:rPr>
            </w:pPr>
          </w:p>
        </w:tc>
        <w:tc>
          <w:tcPr>
            <w:tcW w:w="3827" w:type="dxa"/>
            <w:noWrap w:val="0"/>
            <w:vAlign w:val="center"/>
          </w:tcPr>
          <w:p>
            <w:pPr>
              <w:spacing w:line="360" w:lineRule="auto"/>
              <w:rPr>
                <w:bCs/>
                <w:szCs w:val="21"/>
              </w:rPr>
            </w:pPr>
            <w:r>
              <w:rPr>
                <w:rFonts w:hint="eastAsia"/>
                <w:bCs/>
                <w:szCs w:val="21"/>
              </w:rPr>
              <w:t>能够了解</w:t>
            </w:r>
            <w:r>
              <w:rPr>
                <w:bCs/>
                <w:szCs w:val="21"/>
              </w:rPr>
              <w:t>恒压</w:t>
            </w:r>
            <w:r>
              <w:rPr>
                <w:rFonts w:hint="eastAsia"/>
                <w:bCs/>
                <w:szCs w:val="21"/>
              </w:rPr>
              <w:t>（大气压）下气液平衡数据的测定方法和沸点仪的构造；二元液系相图的含义和折光率与物质组成的关系，沸点仪的使用和数字折光仪测定溶液组成操作，乙醇-环己烷T~x相图的绘制</w:t>
            </w:r>
          </w:p>
        </w:tc>
        <w:tc>
          <w:tcPr>
            <w:tcW w:w="709" w:type="dxa"/>
            <w:noWrap w:val="0"/>
            <w:vAlign w:val="center"/>
          </w:tcPr>
          <w:p>
            <w:pPr>
              <w:spacing w:line="360" w:lineRule="auto"/>
              <w:jc w:val="center"/>
              <w:rPr>
                <w:rFonts w:hint="eastAsia"/>
                <w:bCs/>
                <w:szCs w:val="21"/>
              </w:rPr>
            </w:pPr>
            <w:r>
              <w:rPr>
                <w:rFonts w:hint="eastAsia"/>
                <w:bCs/>
                <w:szCs w:val="21"/>
              </w:rPr>
              <w:t>4（实验）</w:t>
            </w:r>
          </w:p>
        </w:tc>
        <w:tc>
          <w:tcPr>
            <w:tcW w:w="708" w:type="dxa"/>
            <w:noWrap w:val="0"/>
            <w:vAlign w:val="center"/>
          </w:tcPr>
          <w:p>
            <w:pPr>
              <w:spacing w:line="360" w:lineRule="auto"/>
              <w:jc w:val="center"/>
              <w:rPr>
                <w:rFonts w:hint="eastAsia"/>
                <w:bCs/>
                <w:szCs w:val="21"/>
              </w:rPr>
            </w:pPr>
            <w:r>
              <w:rPr>
                <w:szCs w:val="21"/>
              </w:rPr>
              <w:t>实验/讨论/等</w:t>
            </w:r>
          </w:p>
        </w:tc>
        <w:tc>
          <w:tcPr>
            <w:tcW w:w="990" w:type="dxa"/>
            <w:noWrap w:val="0"/>
            <w:vAlign w:val="center"/>
          </w:tcPr>
          <w:p>
            <w:pPr>
              <w:spacing w:line="360" w:lineRule="auto"/>
              <w:jc w:val="center"/>
              <w:rPr>
                <w:b/>
                <w:kern w:val="0"/>
                <w:szCs w:val="21"/>
              </w:rPr>
            </w:pPr>
            <w:r>
              <w:rPr>
                <w:b/>
                <w:kern w:val="0"/>
                <w:szCs w:val="21"/>
              </w:rPr>
              <w:t>目标1</w:t>
            </w:r>
          </w:p>
          <w:p>
            <w:pPr>
              <w:spacing w:line="360" w:lineRule="auto"/>
              <w:jc w:val="center"/>
              <w:rPr>
                <w:bCs/>
                <w:szCs w:val="21"/>
              </w:rPr>
            </w:pPr>
            <w:r>
              <w:rPr>
                <w:b/>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center"/>
          </w:tcPr>
          <w:p>
            <w:pPr>
              <w:spacing w:line="360" w:lineRule="auto"/>
              <w:jc w:val="center"/>
              <w:rPr>
                <w:rFonts w:hint="eastAsia"/>
                <w:bCs/>
                <w:szCs w:val="21"/>
              </w:rPr>
            </w:pPr>
            <w:r>
              <w:rPr>
                <w:rFonts w:hint="eastAsia"/>
                <w:bCs/>
                <w:szCs w:val="21"/>
              </w:rPr>
              <w:t>6</w:t>
            </w:r>
          </w:p>
        </w:tc>
        <w:tc>
          <w:tcPr>
            <w:tcW w:w="1276" w:type="dxa"/>
            <w:noWrap w:val="0"/>
            <w:vAlign w:val="center"/>
          </w:tcPr>
          <w:p>
            <w:pPr>
              <w:spacing w:line="360" w:lineRule="auto"/>
              <w:jc w:val="center"/>
              <w:rPr>
                <w:bCs/>
                <w:szCs w:val="21"/>
              </w:rPr>
            </w:pPr>
            <w:r>
              <w:rPr>
                <w:bCs/>
                <w:szCs w:val="21"/>
              </w:rPr>
              <w:t>二组分</w:t>
            </w:r>
            <w:r>
              <w:rPr>
                <w:rFonts w:hint="eastAsia"/>
                <w:bCs/>
                <w:szCs w:val="21"/>
              </w:rPr>
              <w:t>固-</w:t>
            </w:r>
            <w:r>
              <w:rPr>
                <w:bCs/>
                <w:szCs w:val="21"/>
              </w:rPr>
              <w:t>液相图的测绘</w:t>
            </w:r>
          </w:p>
        </w:tc>
        <w:tc>
          <w:tcPr>
            <w:tcW w:w="1701" w:type="dxa"/>
            <w:noWrap w:val="0"/>
            <w:vAlign w:val="center"/>
          </w:tcPr>
          <w:p>
            <w:pPr>
              <w:spacing w:line="360" w:lineRule="auto"/>
              <w:jc w:val="center"/>
              <w:rPr>
                <w:bCs/>
                <w:szCs w:val="21"/>
              </w:rPr>
            </w:pPr>
          </w:p>
        </w:tc>
        <w:tc>
          <w:tcPr>
            <w:tcW w:w="3827" w:type="dxa"/>
            <w:noWrap w:val="0"/>
            <w:vAlign w:val="center"/>
          </w:tcPr>
          <w:p>
            <w:pPr>
              <w:spacing w:line="360" w:lineRule="auto"/>
              <w:rPr>
                <w:bCs/>
                <w:szCs w:val="21"/>
              </w:rPr>
            </w:pPr>
            <w:r>
              <w:rPr>
                <w:rFonts w:hint="eastAsia"/>
                <w:bCs/>
                <w:szCs w:val="21"/>
              </w:rPr>
              <w:t>能够掌握</w:t>
            </w:r>
            <w:r>
              <w:rPr>
                <w:bCs/>
                <w:szCs w:val="21"/>
              </w:rPr>
              <w:t>热分析法绘制相图的基本原理</w:t>
            </w:r>
            <w:r>
              <w:rPr>
                <w:rFonts w:hint="eastAsia"/>
                <w:bCs/>
                <w:szCs w:val="21"/>
              </w:rPr>
              <w:t>；</w:t>
            </w:r>
            <w:r>
              <w:rPr>
                <w:bCs/>
                <w:szCs w:val="21"/>
              </w:rPr>
              <w:t>步冷曲线的含义</w:t>
            </w:r>
            <w:r>
              <w:rPr>
                <w:rFonts w:hint="eastAsia"/>
                <w:bCs/>
                <w:szCs w:val="21"/>
              </w:rPr>
              <w:t>，</w:t>
            </w:r>
            <w:r>
              <w:rPr>
                <w:bCs/>
                <w:szCs w:val="21"/>
              </w:rPr>
              <w:t>热电偶测温和用步冷曲线作二组分相图</w:t>
            </w:r>
            <w:r>
              <w:rPr>
                <w:rFonts w:hint="eastAsia"/>
                <w:bCs/>
                <w:szCs w:val="21"/>
              </w:rPr>
              <w:t>，</w:t>
            </w:r>
            <w:r>
              <w:rPr>
                <w:bCs/>
                <w:szCs w:val="21"/>
              </w:rPr>
              <w:t>绘制锡</w:t>
            </w:r>
            <w:r>
              <w:rPr>
                <w:rFonts w:hint="eastAsia"/>
                <w:bCs/>
                <w:szCs w:val="21"/>
              </w:rPr>
              <w:t>-铋</w:t>
            </w:r>
            <w:r>
              <w:rPr>
                <w:bCs/>
                <w:szCs w:val="21"/>
              </w:rPr>
              <w:t>二元系合金相图</w:t>
            </w:r>
          </w:p>
        </w:tc>
        <w:tc>
          <w:tcPr>
            <w:tcW w:w="709" w:type="dxa"/>
            <w:noWrap w:val="0"/>
            <w:vAlign w:val="center"/>
          </w:tcPr>
          <w:p>
            <w:pPr>
              <w:spacing w:line="360" w:lineRule="auto"/>
              <w:jc w:val="center"/>
              <w:rPr>
                <w:rFonts w:hint="eastAsia"/>
                <w:bCs/>
                <w:szCs w:val="21"/>
              </w:rPr>
            </w:pPr>
            <w:r>
              <w:rPr>
                <w:rFonts w:hint="eastAsia"/>
                <w:bCs/>
                <w:szCs w:val="21"/>
              </w:rPr>
              <w:t>4（实验）</w:t>
            </w:r>
          </w:p>
        </w:tc>
        <w:tc>
          <w:tcPr>
            <w:tcW w:w="708" w:type="dxa"/>
            <w:noWrap w:val="0"/>
            <w:vAlign w:val="center"/>
          </w:tcPr>
          <w:p>
            <w:pPr>
              <w:spacing w:line="360" w:lineRule="auto"/>
              <w:jc w:val="center"/>
              <w:rPr>
                <w:rFonts w:hint="eastAsia"/>
                <w:bCs/>
                <w:szCs w:val="21"/>
              </w:rPr>
            </w:pPr>
            <w:r>
              <w:rPr>
                <w:szCs w:val="21"/>
              </w:rPr>
              <w:t>实验/讨论/等</w:t>
            </w:r>
          </w:p>
        </w:tc>
        <w:tc>
          <w:tcPr>
            <w:tcW w:w="990" w:type="dxa"/>
            <w:noWrap w:val="0"/>
            <w:vAlign w:val="center"/>
          </w:tcPr>
          <w:p>
            <w:pPr>
              <w:spacing w:line="360" w:lineRule="auto"/>
              <w:jc w:val="center"/>
              <w:rPr>
                <w:b/>
                <w:kern w:val="0"/>
                <w:szCs w:val="21"/>
              </w:rPr>
            </w:pPr>
            <w:r>
              <w:rPr>
                <w:b/>
                <w:kern w:val="0"/>
                <w:szCs w:val="21"/>
              </w:rPr>
              <w:t>目标1</w:t>
            </w:r>
          </w:p>
          <w:p>
            <w:pPr>
              <w:spacing w:line="360" w:lineRule="auto"/>
              <w:jc w:val="center"/>
              <w:rPr>
                <w:bCs/>
                <w:szCs w:val="21"/>
              </w:rPr>
            </w:pPr>
            <w:r>
              <w:rPr>
                <w:b/>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center"/>
          </w:tcPr>
          <w:p>
            <w:pPr>
              <w:spacing w:line="360" w:lineRule="auto"/>
              <w:jc w:val="center"/>
              <w:rPr>
                <w:rFonts w:hint="eastAsia"/>
                <w:bCs/>
                <w:szCs w:val="21"/>
              </w:rPr>
            </w:pPr>
            <w:r>
              <w:rPr>
                <w:rFonts w:hint="eastAsia"/>
                <w:bCs/>
                <w:szCs w:val="21"/>
              </w:rPr>
              <w:t>7</w:t>
            </w:r>
          </w:p>
        </w:tc>
        <w:tc>
          <w:tcPr>
            <w:tcW w:w="1276" w:type="dxa"/>
            <w:noWrap w:val="0"/>
            <w:vAlign w:val="center"/>
          </w:tcPr>
          <w:p>
            <w:pPr>
              <w:spacing w:line="360" w:lineRule="auto"/>
              <w:jc w:val="center"/>
              <w:rPr>
                <w:rFonts w:hint="eastAsia"/>
                <w:bCs/>
                <w:szCs w:val="21"/>
              </w:rPr>
            </w:pPr>
            <w:r>
              <w:rPr>
                <w:rFonts w:hint="eastAsia"/>
                <w:bCs/>
                <w:szCs w:val="21"/>
              </w:rPr>
              <w:t>离子</w:t>
            </w:r>
            <w:r>
              <w:rPr>
                <w:bCs/>
                <w:szCs w:val="21"/>
              </w:rPr>
              <w:t>迁移数的测定</w:t>
            </w:r>
          </w:p>
        </w:tc>
        <w:tc>
          <w:tcPr>
            <w:tcW w:w="1701" w:type="dxa"/>
            <w:noWrap w:val="0"/>
            <w:vAlign w:val="center"/>
          </w:tcPr>
          <w:p>
            <w:pPr>
              <w:spacing w:line="360" w:lineRule="auto"/>
              <w:jc w:val="center"/>
              <w:rPr>
                <w:rFonts w:hint="eastAsia"/>
                <w:bCs/>
                <w:szCs w:val="21"/>
              </w:rPr>
            </w:pPr>
          </w:p>
        </w:tc>
        <w:tc>
          <w:tcPr>
            <w:tcW w:w="3827" w:type="dxa"/>
            <w:noWrap w:val="0"/>
            <w:vAlign w:val="center"/>
          </w:tcPr>
          <w:p>
            <w:pPr>
              <w:spacing w:line="360" w:lineRule="auto"/>
              <w:rPr>
                <w:bCs/>
                <w:szCs w:val="21"/>
              </w:rPr>
            </w:pPr>
            <w:r>
              <w:rPr>
                <w:rFonts w:hint="eastAsia"/>
                <w:bCs/>
                <w:szCs w:val="21"/>
              </w:rPr>
              <w:t>能够掌握</w:t>
            </w:r>
            <w:r>
              <w:rPr>
                <w:bCs/>
                <w:szCs w:val="21"/>
              </w:rPr>
              <w:t>对消法测定电池电动势的原理及数字电位差计的构造原理</w:t>
            </w:r>
            <w:r>
              <w:rPr>
                <w:rFonts w:hint="eastAsia"/>
                <w:bCs/>
                <w:szCs w:val="21"/>
              </w:rPr>
              <w:t>，标准电池、甘汞饱和电极的构造和氯化银电极的制备；能斯特方程式的含义和可逆电池的组成、电极反应及电动势的测定</w:t>
            </w:r>
          </w:p>
        </w:tc>
        <w:tc>
          <w:tcPr>
            <w:tcW w:w="709" w:type="dxa"/>
            <w:noWrap w:val="0"/>
            <w:vAlign w:val="center"/>
          </w:tcPr>
          <w:p>
            <w:pPr>
              <w:spacing w:line="360" w:lineRule="auto"/>
              <w:jc w:val="center"/>
              <w:rPr>
                <w:rFonts w:hint="eastAsia"/>
                <w:bCs/>
                <w:szCs w:val="21"/>
              </w:rPr>
            </w:pPr>
            <w:r>
              <w:rPr>
                <w:rFonts w:hint="eastAsia"/>
                <w:bCs/>
                <w:szCs w:val="21"/>
              </w:rPr>
              <w:t>4（实验）</w:t>
            </w:r>
          </w:p>
        </w:tc>
        <w:tc>
          <w:tcPr>
            <w:tcW w:w="708" w:type="dxa"/>
            <w:noWrap w:val="0"/>
            <w:vAlign w:val="center"/>
          </w:tcPr>
          <w:p>
            <w:pPr>
              <w:spacing w:line="360" w:lineRule="auto"/>
              <w:jc w:val="center"/>
              <w:rPr>
                <w:rFonts w:hint="eastAsia"/>
                <w:bCs/>
                <w:szCs w:val="21"/>
              </w:rPr>
            </w:pPr>
            <w:r>
              <w:rPr>
                <w:szCs w:val="21"/>
              </w:rPr>
              <w:t>实验/讨论/等</w:t>
            </w:r>
          </w:p>
        </w:tc>
        <w:tc>
          <w:tcPr>
            <w:tcW w:w="990" w:type="dxa"/>
            <w:noWrap w:val="0"/>
            <w:vAlign w:val="center"/>
          </w:tcPr>
          <w:p>
            <w:pPr>
              <w:spacing w:line="360" w:lineRule="auto"/>
              <w:jc w:val="center"/>
              <w:rPr>
                <w:b/>
                <w:kern w:val="0"/>
                <w:szCs w:val="21"/>
              </w:rPr>
            </w:pPr>
            <w:r>
              <w:rPr>
                <w:b/>
                <w:kern w:val="0"/>
                <w:szCs w:val="21"/>
              </w:rPr>
              <w:t>目标1</w:t>
            </w:r>
          </w:p>
          <w:p>
            <w:pPr>
              <w:spacing w:line="360" w:lineRule="auto"/>
              <w:jc w:val="center"/>
              <w:rPr>
                <w:bCs/>
                <w:szCs w:val="21"/>
              </w:rPr>
            </w:pPr>
            <w:r>
              <w:rPr>
                <w:b/>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center"/>
          </w:tcPr>
          <w:p>
            <w:pPr>
              <w:spacing w:line="360" w:lineRule="auto"/>
              <w:jc w:val="center"/>
              <w:rPr>
                <w:rFonts w:hint="eastAsia"/>
                <w:bCs/>
                <w:szCs w:val="21"/>
              </w:rPr>
            </w:pPr>
            <w:r>
              <w:rPr>
                <w:rFonts w:hint="eastAsia"/>
                <w:bCs/>
                <w:szCs w:val="21"/>
              </w:rPr>
              <w:t>8</w:t>
            </w:r>
          </w:p>
        </w:tc>
        <w:tc>
          <w:tcPr>
            <w:tcW w:w="1276" w:type="dxa"/>
            <w:noWrap w:val="0"/>
            <w:vAlign w:val="center"/>
          </w:tcPr>
          <w:p>
            <w:pPr>
              <w:spacing w:line="360" w:lineRule="auto"/>
              <w:jc w:val="center"/>
              <w:rPr>
                <w:bCs/>
                <w:szCs w:val="21"/>
              </w:rPr>
            </w:pPr>
            <w:r>
              <w:rPr>
                <w:bCs/>
                <w:szCs w:val="21"/>
              </w:rPr>
              <w:t>最大泡压法测定溶液的表面张力</w:t>
            </w:r>
          </w:p>
        </w:tc>
        <w:tc>
          <w:tcPr>
            <w:tcW w:w="1701" w:type="dxa"/>
            <w:noWrap w:val="0"/>
            <w:vAlign w:val="center"/>
          </w:tcPr>
          <w:p>
            <w:pPr>
              <w:spacing w:line="360" w:lineRule="auto"/>
              <w:jc w:val="center"/>
              <w:rPr>
                <w:bCs/>
                <w:szCs w:val="21"/>
              </w:rPr>
            </w:pPr>
          </w:p>
        </w:tc>
        <w:tc>
          <w:tcPr>
            <w:tcW w:w="3827" w:type="dxa"/>
            <w:noWrap w:val="0"/>
            <w:vAlign w:val="center"/>
          </w:tcPr>
          <w:p>
            <w:pPr>
              <w:spacing w:line="360" w:lineRule="auto"/>
              <w:rPr>
                <w:bCs/>
                <w:szCs w:val="21"/>
              </w:rPr>
            </w:pPr>
            <w:r>
              <w:rPr>
                <w:rFonts w:hint="eastAsia"/>
                <w:bCs/>
                <w:szCs w:val="21"/>
              </w:rPr>
              <w:t>能够掌握</w:t>
            </w:r>
            <w:r>
              <w:rPr>
                <w:bCs/>
                <w:szCs w:val="21"/>
              </w:rPr>
              <w:t>最大泡压法测定表面张力的原理和数字式微压差测量仪的使用</w:t>
            </w:r>
            <w:r>
              <w:rPr>
                <w:rFonts w:hint="eastAsia"/>
                <w:bCs/>
                <w:szCs w:val="21"/>
              </w:rPr>
              <w:t>；气泡压力与半径及表面张力的关系；不同浓度的正丁醇溶液的表面张力的测定及溶液表面吸附量的计算</w:t>
            </w:r>
          </w:p>
        </w:tc>
        <w:tc>
          <w:tcPr>
            <w:tcW w:w="709" w:type="dxa"/>
            <w:noWrap w:val="0"/>
            <w:vAlign w:val="center"/>
          </w:tcPr>
          <w:p>
            <w:pPr>
              <w:spacing w:line="360" w:lineRule="auto"/>
              <w:jc w:val="center"/>
              <w:rPr>
                <w:rFonts w:hint="eastAsia"/>
                <w:bCs/>
                <w:szCs w:val="21"/>
              </w:rPr>
            </w:pPr>
            <w:r>
              <w:rPr>
                <w:rFonts w:hint="eastAsia"/>
                <w:bCs/>
                <w:szCs w:val="21"/>
              </w:rPr>
              <w:t>4（实验）</w:t>
            </w:r>
          </w:p>
        </w:tc>
        <w:tc>
          <w:tcPr>
            <w:tcW w:w="708" w:type="dxa"/>
            <w:noWrap w:val="0"/>
            <w:vAlign w:val="center"/>
          </w:tcPr>
          <w:p>
            <w:pPr>
              <w:spacing w:line="360" w:lineRule="auto"/>
              <w:jc w:val="center"/>
              <w:rPr>
                <w:rFonts w:hint="eastAsia"/>
                <w:bCs/>
                <w:szCs w:val="21"/>
              </w:rPr>
            </w:pPr>
            <w:r>
              <w:rPr>
                <w:szCs w:val="21"/>
              </w:rPr>
              <w:t>实验/讨论/等</w:t>
            </w:r>
          </w:p>
        </w:tc>
        <w:tc>
          <w:tcPr>
            <w:tcW w:w="990" w:type="dxa"/>
            <w:noWrap w:val="0"/>
            <w:vAlign w:val="center"/>
          </w:tcPr>
          <w:p>
            <w:pPr>
              <w:spacing w:line="360" w:lineRule="auto"/>
              <w:jc w:val="center"/>
              <w:rPr>
                <w:b/>
                <w:kern w:val="0"/>
                <w:szCs w:val="21"/>
              </w:rPr>
            </w:pPr>
            <w:r>
              <w:rPr>
                <w:b/>
                <w:kern w:val="0"/>
                <w:szCs w:val="21"/>
              </w:rPr>
              <w:t>目标1</w:t>
            </w:r>
          </w:p>
          <w:p>
            <w:pPr>
              <w:spacing w:line="360" w:lineRule="auto"/>
              <w:jc w:val="center"/>
              <w:rPr>
                <w:bCs/>
                <w:szCs w:val="21"/>
              </w:rPr>
            </w:pPr>
            <w:r>
              <w:rPr>
                <w:b/>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center"/>
          </w:tcPr>
          <w:p>
            <w:pPr>
              <w:spacing w:line="360" w:lineRule="auto"/>
              <w:jc w:val="center"/>
              <w:rPr>
                <w:rFonts w:hint="eastAsia"/>
                <w:bCs/>
                <w:szCs w:val="21"/>
              </w:rPr>
            </w:pPr>
            <w:r>
              <w:rPr>
                <w:rFonts w:hint="eastAsia"/>
                <w:bCs/>
                <w:szCs w:val="21"/>
              </w:rPr>
              <w:t>9</w:t>
            </w:r>
          </w:p>
        </w:tc>
        <w:tc>
          <w:tcPr>
            <w:tcW w:w="1276" w:type="dxa"/>
            <w:noWrap w:val="0"/>
            <w:vAlign w:val="center"/>
          </w:tcPr>
          <w:p>
            <w:pPr>
              <w:spacing w:line="360" w:lineRule="auto"/>
              <w:jc w:val="center"/>
              <w:rPr>
                <w:bCs/>
                <w:szCs w:val="21"/>
              </w:rPr>
            </w:pPr>
            <w:r>
              <w:rPr>
                <w:bCs/>
                <w:szCs w:val="21"/>
              </w:rPr>
              <w:t>电导法测定乙酸乙酯皂化反应的速率常数</w:t>
            </w:r>
          </w:p>
        </w:tc>
        <w:tc>
          <w:tcPr>
            <w:tcW w:w="1701" w:type="dxa"/>
            <w:noWrap w:val="0"/>
            <w:vAlign w:val="center"/>
          </w:tcPr>
          <w:p>
            <w:pPr>
              <w:spacing w:line="360" w:lineRule="auto"/>
              <w:jc w:val="center"/>
              <w:rPr>
                <w:bCs/>
                <w:szCs w:val="21"/>
              </w:rPr>
            </w:pPr>
          </w:p>
        </w:tc>
        <w:tc>
          <w:tcPr>
            <w:tcW w:w="3827" w:type="dxa"/>
            <w:noWrap w:val="0"/>
            <w:vAlign w:val="center"/>
          </w:tcPr>
          <w:p>
            <w:pPr>
              <w:spacing w:line="360" w:lineRule="auto"/>
              <w:rPr>
                <w:bCs/>
                <w:szCs w:val="21"/>
              </w:rPr>
            </w:pPr>
            <w:r>
              <w:rPr>
                <w:rFonts w:hint="eastAsia"/>
                <w:bCs/>
                <w:szCs w:val="21"/>
              </w:rPr>
              <w:t>能够掌握</w:t>
            </w:r>
            <w:r>
              <w:rPr>
                <w:bCs/>
                <w:szCs w:val="21"/>
              </w:rPr>
              <w:t>电导率的测量原理</w:t>
            </w:r>
            <w:r>
              <w:rPr>
                <w:rFonts w:hint="eastAsia"/>
                <w:bCs/>
                <w:szCs w:val="21"/>
              </w:rPr>
              <w:t>；</w:t>
            </w:r>
            <w:r>
              <w:rPr>
                <w:bCs/>
                <w:szCs w:val="21"/>
              </w:rPr>
              <w:t>动力学一级反应速率方程式的含义及乙酸乙酯皂化反应速率常数与电导率</w:t>
            </w:r>
            <w:r>
              <w:rPr>
                <w:rFonts w:hint="eastAsia"/>
                <w:bCs/>
                <w:szCs w:val="21"/>
              </w:rPr>
              <w:t>、</w:t>
            </w:r>
            <w:r>
              <w:rPr>
                <w:bCs/>
                <w:szCs w:val="21"/>
              </w:rPr>
              <w:t>温度的关系</w:t>
            </w:r>
            <w:r>
              <w:rPr>
                <w:rFonts w:hint="eastAsia"/>
                <w:bCs/>
                <w:szCs w:val="21"/>
              </w:rPr>
              <w:t>；</w:t>
            </w:r>
            <w:r>
              <w:rPr>
                <w:bCs/>
                <w:szCs w:val="21"/>
              </w:rPr>
              <w:t>测定乙酸乙酯皂化反应进程中的电导率的变化</w:t>
            </w:r>
            <w:r>
              <w:rPr>
                <w:rFonts w:hint="eastAsia"/>
                <w:bCs/>
                <w:szCs w:val="21"/>
              </w:rPr>
              <w:t>，</w:t>
            </w:r>
            <w:r>
              <w:rPr>
                <w:bCs/>
                <w:szCs w:val="21"/>
              </w:rPr>
              <w:t>求其反应速率常数和测定不同温度乙酸乙酯的皂化反应速率常数求其反应活化能</w:t>
            </w:r>
            <w:r>
              <w:rPr>
                <w:rFonts w:hint="eastAsia"/>
                <w:bCs/>
                <w:szCs w:val="21"/>
              </w:rPr>
              <w:t>；</w:t>
            </w:r>
            <w:r>
              <w:rPr>
                <w:bCs/>
                <w:szCs w:val="21"/>
              </w:rPr>
              <w:t>电导率仪的使用和乙酸乙酯皂化反应及电导率的测定操作</w:t>
            </w:r>
          </w:p>
        </w:tc>
        <w:tc>
          <w:tcPr>
            <w:tcW w:w="709" w:type="dxa"/>
            <w:noWrap w:val="0"/>
            <w:vAlign w:val="center"/>
          </w:tcPr>
          <w:p>
            <w:pPr>
              <w:spacing w:line="360" w:lineRule="auto"/>
              <w:jc w:val="center"/>
              <w:rPr>
                <w:rFonts w:hint="eastAsia"/>
                <w:bCs/>
                <w:szCs w:val="21"/>
              </w:rPr>
            </w:pPr>
            <w:r>
              <w:rPr>
                <w:rFonts w:hint="eastAsia"/>
                <w:bCs/>
                <w:szCs w:val="21"/>
              </w:rPr>
              <w:t>4（实验）</w:t>
            </w:r>
          </w:p>
        </w:tc>
        <w:tc>
          <w:tcPr>
            <w:tcW w:w="708" w:type="dxa"/>
            <w:noWrap w:val="0"/>
            <w:vAlign w:val="center"/>
          </w:tcPr>
          <w:p>
            <w:pPr>
              <w:spacing w:line="360" w:lineRule="auto"/>
              <w:jc w:val="center"/>
              <w:rPr>
                <w:rFonts w:hint="eastAsia"/>
                <w:bCs/>
                <w:szCs w:val="21"/>
              </w:rPr>
            </w:pPr>
            <w:r>
              <w:rPr>
                <w:szCs w:val="21"/>
              </w:rPr>
              <w:t>实验/讨论/等</w:t>
            </w:r>
          </w:p>
        </w:tc>
        <w:tc>
          <w:tcPr>
            <w:tcW w:w="990" w:type="dxa"/>
            <w:noWrap w:val="0"/>
            <w:vAlign w:val="center"/>
          </w:tcPr>
          <w:p>
            <w:pPr>
              <w:spacing w:line="360" w:lineRule="auto"/>
              <w:jc w:val="center"/>
              <w:rPr>
                <w:b/>
                <w:kern w:val="0"/>
                <w:szCs w:val="21"/>
              </w:rPr>
            </w:pPr>
            <w:r>
              <w:rPr>
                <w:b/>
                <w:kern w:val="0"/>
                <w:szCs w:val="21"/>
              </w:rPr>
              <w:t>目标1</w:t>
            </w:r>
          </w:p>
          <w:p>
            <w:pPr>
              <w:spacing w:line="360" w:lineRule="auto"/>
              <w:jc w:val="center"/>
              <w:rPr>
                <w:rFonts w:hint="eastAsia"/>
                <w:bCs/>
                <w:szCs w:val="21"/>
              </w:rPr>
            </w:pPr>
            <w:r>
              <w:rPr>
                <w:b/>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center"/>
          </w:tcPr>
          <w:p>
            <w:pPr>
              <w:spacing w:line="360" w:lineRule="auto"/>
              <w:jc w:val="center"/>
              <w:rPr>
                <w:bCs/>
                <w:szCs w:val="21"/>
              </w:rPr>
            </w:pPr>
            <w:r>
              <w:rPr>
                <w:rFonts w:hint="eastAsia"/>
                <w:bCs/>
                <w:szCs w:val="21"/>
              </w:rPr>
              <w:t>10</w:t>
            </w:r>
          </w:p>
        </w:tc>
        <w:tc>
          <w:tcPr>
            <w:tcW w:w="1276" w:type="dxa"/>
            <w:noWrap w:val="0"/>
            <w:vAlign w:val="center"/>
          </w:tcPr>
          <w:p>
            <w:pPr>
              <w:spacing w:line="360" w:lineRule="auto"/>
              <w:jc w:val="center"/>
              <w:rPr>
                <w:rFonts w:hint="eastAsia"/>
                <w:szCs w:val="21"/>
              </w:rPr>
            </w:pPr>
            <w:r>
              <w:rPr>
                <w:bCs/>
                <w:szCs w:val="21"/>
              </w:rPr>
              <w:t>丙酮碘化反应</w:t>
            </w:r>
            <w:r>
              <w:rPr>
                <w:rFonts w:hint="eastAsia"/>
                <w:szCs w:val="21"/>
              </w:rPr>
              <w:t>的速率方程</w:t>
            </w:r>
          </w:p>
          <w:p>
            <w:pPr>
              <w:spacing w:line="360" w:lineRule="auto"/>
              <w:jc w:val="center"/>
              <w:rPr>
                <w:bCs/>
                <w:szCs w:val="21"/>
              </w:rPr>
            </w:pPr>
          </w:p>
        </w:tc>
        <w:tc>
          <w:tcPr>
            <w:tcW w:w="1701" w:type="dxa"/>
            <w:noWrap w:val="0"/>
            <w:vAlign w:val="center"/>
          </w:tcPr>
          <w:p>
            <w:pPr>
              <w:spacing w:line="360" w:lineRule="auto"/>
              <w:jc w:val="center"/>
              <w:rPr>
                <w:bCs/>
                <w:szCs w:val="21"/>
              </w:rPr>
            </w:pPr>
          </w:p>
        </w:tc>
        <w:tc>
          <w:tcPr>
            <w:tcW w:w="3827" w:type="dxa"/>
            <w:noWrap w:val="0"/>
            <w:vAlign w:val="center"/>
          </w:tcPr>
          <w:p>
            <w:pPr>
              <w:spacing w:line="360" w:lineRule="auto"/>
              <w:rPr>
                <w:szCs w:val="21"/>
              </w:rPr>
            </w:pPr>
            <w:r>
              <w:rPr>
                <w:rFonts w:hint="eastAsia"/>
                <w:szCs w:val="21"/>
              </w:rPr>
              <w:t>能够掌握分光光度计的构造和测量原理；动力学反应级数的概念及孤立法的基本原理，通过测定丙酮碘化反应进程中的吸光度的变化，求其反应级数和测定反应速率常数的方法，分光光度计的使用和丙酮碘化反应及吸光度的测定操作。</w:t>
            </w:r>
          </w:p>
        </w:tc>
        <w:tc>
          <w:tcPr>
            <w:tcW w:w="709" w:type="dxa"/>
            <w:noWrap w:val="0"/>
            <w:vAlign w:val="center"/>
          </w:tcPr>
          <w:p>
            <w:pPr>
              <w:spacing w:line="360" w:lineRule="auto"/>
              <w:jc w:val="center"/>
              <w:rPr>
                <w:rFonts w:hint="eastAsia"/>
                <w:bCs/>
                <w:szCs w:val="21"/>
              </w:rPr>
            </w:pPr>
            <w:r>
              <w:rPr>
                <w:rFonts w:hint="eastAsia"/>
                <w:bCs/>
                <w:szCs w:val="21"/>
              </w:rPr>
              <w:t>4（实验）</w:t>
            </w:r>
          </w:p>
        </w:tc>
        <w:tc>
          <w:tcPr>
            <w:tcW w:w="708" w:type="dxa"/>
            <w:noWrap w:val="0"/>
            <w:vAlign w:val="center"/>
          </w:tcPr>
          <w:p>
            <w:pPr>
              <w:spacing w:line="360" w:lineRule="auto"/>
              <w:jc w:val="center"/>
              <w:rPr>
                <w:rFonts w:hint="eastAsia"/>
                <w:bCs/>
                <w:szCs w:val="21"/>
              </w:rPr>
            </w:pPr>
            <w:r>
              <w:rPr>
                <w:szCs w:val="21"/>
              </w:rPr>
              <w:t>实验/讨论/等</w:t>
            </w:r>
          </w:p>
        </w:tc>
        <w:tc>
          <w:tcPr>
            <w:tcW w:w="990" w:type="dxa"/>
            <w:noWrap w:val="0"/>
            <w:vAlign w:val="center"/>
          </w:tcPr>
          <w:p>
            <w:pPr>
              <w:spacing w:line="360" w:lineRule="auto"/>
              <w:jc w:val="center"/>
              <w:rPr>
                <w:b/>
                <w:kern w:val="0"/>
                <w:szCs w:val="21"/>
              </w:rPr>
            </w:pPr>
            <w:r>
              <w:rPr>
                <w:b/>
                <w:kern w:val="0"/>
                <w:szCs w:val="21"/>
              </w:rPr>
              <w:t>目标1</w:t>
            </w:r>
          </w:p>
          <w:p>
            <w:pPr>
              <w:spacing w:line="360" w:lineRule="auto"/>
              <w:jc w:val="center"/>
              <w:rPr>
                <w:rFonts w:hint="eastAsia"/>
                <w:bCs/>
                <w:szCs w:val="21"/>
              </w:rPr>
            </w:pPr>
            <w:r>
              <w:rPr>
                <w:b/>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center"/>
          </w:tcPr>
          <w:p>
            <w:pPr>
              <w:spacing w:line="360" w:lineRule="auto"/>
              <w:jc w:val="center"/>
              <w:rPr>
                <w:bCs/>
                <w:szCs w:val="21"/>
              </w:rPr>
            </w:pPr>
            <w:r>
              <w:rPr>
                <w:rFonts w:hint="eastAsia"/>
                <w:bCs/>
                <w:szCs w:val="21"/>
              </w:rPr>
              <w:t>11</w:t>
            </w:r>
          </w:p>
        </w:tc>
        <w:tc>
          <w:tcPr>
            <w:tcW w:w="1276" w:type="dxa"/>
            <w:noWrap w:val="0"/>
            <w:vAlign w:val="center"/>
          </w:tcPr>
          <w:p>
            <w:pPr>
              <w:spacing w:line="360" w:lineRule="auto"/>
              <w:jc w:val="center"/>
              <w:rPr>
                <w:rFonts w:hint="eastAsia"/>
                <w:bCs/>
                <w:szCs w:val="21"/>
              </w:rPr>
            </w:pPr>
            <w:r>
              <w:rPr>
                <w:rFonts w:hint="eastAsia"/>
                <w:bCs/>
                <w:szCs w:val="21"/>
              </w:rPr>
              <w:t>考试</w:t>
            </w:r>
          </w:p>
        </w:tc>
        <w:tc>
          <w:tcPr>
            <w:tcW w:w="1701" w:type="dxa"/>
            <w:noWrap w:val="0"/>
            <w:vAlign w:val="center"/>
          </w:tcPr>
          <w:p>
            <w:pPr>
              <w:spacing w:line="360" w:lineRule="auto"/>
              <w:jc w:val="center"/>
              <w:rPr>
                <w:rFonts w:hint="eastAsia"/>
                <w:bCs/>
                <w:szCs w:val="21"/>
              </w:rPr>
            </w:pPr>
          </w:p>
        </w:tc>
        <w:tc>
          <w:tcPr>
            <w:tcW w:w="3827" w:type="dxa"/>
            <w:noWrap w:val="0"/>
            <w:vAlign w:val="center"/>
          </w:tcPr>
          <w:p>
            <w:pPr>
              <w:spacing w:line="360" w:lineRule="auto"/>
              <w:rPr>
                <w:szCs w:val="21"/>
              </w:rPr>
            </w:pPr>
            <w:r>
              <w:rPr>
                <w:rFonts w:hint="eastAsia"/>
                <w:szCs w:val="21"/>
              </w:rPr>
              <w:t>考试题型：选择，填空，简答及实验设计等综合考核学生实验原理及操作掌握情况</w:t>
            </w:r>
          </w:p>
        </w:tc>
        <w:tc>
          <w:tcPr>
            <w:tcW w:w="709" w:type="dxa"/>
            <w:noWrap w:val="0"/>
            <w:vAlign w:val="center"/>
          </w:tcPr>
          <w:p>
            <w:pPr>
              <w:spacing w:line="360" w:lineRule="auto"/>
              <w:jc w:val="center"/>
              <w:rPr>
                <w:bCs/>
                <w:szCs w:val="21"/>
              </w:rPr>
            </w:pPr>
          </w:p>
        </w:tc>
        <w:tc>
          <w:tcPr>
            <w:tcW w:w="708" w:type="dxa"/>
            <w:noWrap w:val="0"/>
            <w:vAlign w:val="center"/>
          </w:tcPr>
          <w:p>
            <w:pPr>
              <w:spacing w:line="360" w:lineRule="auto"/>
              <w:jc w:val="center"/>
              <w:rPr>
                <w:bCs/>
                <w:szCs w:val="21"/>
              </w:rPr>
            </w:pPr>
          </w:p>
        </w:tc>
        <w:tc>
          <w:tcPr>
            <w:tcW w:w="990" w:type="dxa"/>
            <w:noWrap w:val="0"/>
            <w:vAlign w:val="center"/>
          </w:tcPr>
          <w:p>
            <w:pPr>
              <w:spacing w:line="360" w:lineRule="auto"/>
              <w:jc w:val="center"/>
              <w:rPr>
                <w:rFonts w:hint="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center"/>
          </w:tcPr>
          <w:p>
            <w:pPr>
              <w:spacing w:line="360" w:lineRule="auto"/>
              <w:jc w:val="center"/>
              <w:rPr>
                <w:rFonts w:hint="eastAsia"/>
                <w:bCs/>
                <w:szCs w:val="21"/>
              </w:rPr>
            </w:pPr>
            <w:r>
              <w:rPr>
                <w:rFonts w:hint="eastAsia"/>
                <w:bCs/>
                <w:szCs w:val="21"/>
              </w:rPr>
              <w:t>小计</w:t>
            </w:r>
          </w:p>
        </w:tc>
        <w:tc>
          <w:tcPr>
            <w:tcW w:w="1276" w:type="dxa"/>
            <w:noWrap w:val="0"/>
            <w:vAlign w:val="center"/>
          </w:tcPr>
          <w:p>
            <w:pPr>
              <w:spacing w:line="360" w:lineRule="auto"/>
              <w:jc w:val="center"/>
              <w:rPr>
                <w:bCs/>
                <w:szCs w:val="21"/>
              </w:rPr>
            </w:pPr>
          </w:p>
        </w:tc>
        <w:tc>
          <w:tcPr>
            <w:tcW w:w="1701" w:type="dxa"/>
            <w:noWrap w:val="0"/>
            <w:vAlign w:val="center"/>
          </w:tcPr>
          <w:p>
            <w:pPr>
              <w:spacing w:line="360" w:lineRule="auto"/>
              <w:jc w:val="center"/>
              <w:rPr>
                <w:bCs/>
                <w:szCs w:val="21"/>
              </w:rPr>
            </w:pPr>
          </w:p>
        </w:tc>
        <w:tc>
          <w:tcPr>
            <w:tcW w:w="3827" w:type="dxa"/>
            <w:noWrap w:val="0"/>
            <w:vAlign w:val="center"/>
          </w:tcPr>
          <w:p>
            <w:pPr>
              <w:spacing w:line="360" w:lineRule="auto"/>
              <w:jc w:val="center"/>
              <w:rPr>
                <w:rFonts w:hint="eastAsia"/>
                <w:szCs w:val="21"/>
              </w:rPr>
            </w:pPr>
          </w:p>
        </w:tc>
        <w:tc>
          <w:tcPr>
            <w:tcW w:w="709" w:type="dxa"/>
            <w:noWrap w:val="0"/>
            <w:vAlign w:val="center"/>
          </w:tcPr>
          <w:p>
            <w:pPr>
              <w:spacing w:line="360" w:lineRule="auto"/>
              <w:jc w:val="center"/>
              <w:rPr>
                <w:bCs/>
                <w:szCs w:val="21"/>
              </w:rPr>
            </w:pPr>
            <w:r>
              <w:rPr>
                <w:rFonts w:hint="eastAsia"/>
                <w:bCs/>
                <w:szCs w:val="21"/>
              </w:rPr>
              <w:t>32</w:t>
            </w:r>
          </w:p>
        </w:tc>
        <w:tc>
          <w:tcPr>
            <w:tcW w:w="708" w:type="dxa"/>
            <w:noWrap w:val="0"/>
            <w:vAlign w:val="center"/>
          </w:tcPr>
          <w:p>
            <w:pPr>
              <w:spacing w:line="360" w:lineRule="auto"/>
              <w:jc w:val="center"/>
              <w:rPr>
                <w:bCs/>
                <w:szCs w:val="21"/>
              </w:rPr>
            </w:pPr>
          </w:p>
        </w:tc>
        <w:tc>
          <w:tcPr>
            <w:tcW w:w="990" w:type="dxa"/>
            <w:noWrap w:val="0"/>
            <w:vAlign w:val="center"/>
          </w:tcPr>
          <w:p>
            <w:pPr>
              <w:spacing w:line="360" w:lineRule="auto"/>
              <w:jc w:val="center"/>
              <w:rPr>
                <w:bCs/>
                <w:szCs w:val="21"/>
              </w:rPr>
            </w:pPr>
          </w:p>
        </w:tc>
      </w:tr>
    </w:tbl>
    <w:p>
      <w:pPr>
        <w:spacing w:line="360" w:lineRule="auto"/>
        <w:rPr>
          <w:rFonts w:hint="eastAsia"/>
          <w:sz w:val="24"/>
        </w:rPr>
      </w:pPr>
    </w:p>
    <w:p>
      <w:pPr>
        <w:spacing w:line="360" w:lineRule="auto"/>
        <w:ind w:firstLine="562" w:firstLineChars="200"/>
        <w:rPr>
          <w:b/>
          <w:sz w:val="28"/>
          <w:szCs w:val="28"/>
        </w:rPr>
      </w:pPr>
      <w:r>
        <w:rPr>
          <w:rFonts w:hint="eastAsia"/>
          <w:b/>
          <w:sz w:val="28"/>
          <w:szCs w:val="28"/>
        </w:rPr>
        <w:t>四</w:t>
      </w:r>
      <w:r>
        <w:rPr>
          <w:b/>
          <w:sz w:val="28"/>
          <w:szCs w:val="28"/>
        </w:rPr>
        <w:t>、</w:t>
      </w:r>
      <w:r>
        <w:rPr>
          <w:rFonts w:hint="eastAsia"/>
          <w:b/>
          <w:sz w:val="28"/>
          <w:szCs w:val="28"/>
        </w:rPr>
        <w:t>课程实验（实践）</w:t>
      </w:r>
    </w:p>
    <w:p>
      <w:pPr>
        <w:spacing w:line="360" w:lineRule="auto"/>
        <w:ind w:firstLine="480" w:firstLineChars="200"/>
        <w:rPr>
          <w:rFonts w:hint="eastAsia"/>
          <w:sz w:val="24"/>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2"/>
        <w:gridCol w:w="964"/>
        <w:gridCol w:w="3783"/>
        <w:gridCol w:w="670"/>
        <w:gridCol w:w="1076"/>
        <w:gridCol w:w="671"/>
        <w:gridCol w:w="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dxa"/>
            <w:shd w:val="clear" w:color="auto" w:fill="auto"/>
            <w:noWrap w:val="0"/>
            <w:vAlign w:val="center"/>
          </w:tcPr>
          <w:p>
            <w:pPr>
              <w:spacing w:line="360" w:lineRule="auto"/>
              <w:jc w:val="center"/>
              <w:rPr>
                <w:rFonts w:hint="eastAsia"/>
                <w:b/>
                <w:spacing w:val="-20"/>
                <w:sz w:val="24"/>
              </w:rPr>
            </w:pPr>
            <w:r>
              <w:rPr>
                <w:b/>
                <w:spacing w:val="-20"/>
                <w:sz w:val="24"/>
              </w:rPr>
              <w:t>序号</w:t>
            </w:r>
          </w:p>
        </w:tc>
        <w:tc>
          <w:tcPr>
            <w:tcW w:w="1049" w:type="dxa"/>
            <w:shd w:val="clear" w:color="auto" w:fill="auto"/>
            <w:noWrap w:val="0"/>
            <w:vAlign w:val="center"/>
          </w:tcPr>
          <w:p>
            <w:pPr>
              <w:spacing w:line="360" w:lineRule="auto"/>
              <w:jc w:val="center"/>
              <w:rPr>
                <w:rFonts w:hint="eastAsia"/>
                <w:b/>
                <w:spacing w:val="-20"/>
                <w:sz w:val="24"/>
              </w:rPr>
            </w:pPr>
            <w:r>
              <w:rPr>
                <w:b/>
                <w:spacing w:val="-20"/>
                <w:sz w:val="24"/>
              </w:rPr>
              <w:t>实验项目名称</w:t>
            </w:r>
          </w:p>
        </w:tc>
        <w:tc>
          <w:tcPr>
            <w:tcW w:w="4252" w:type="dxa"/>
            <w:shd w:val="clear" w:color="auto" w:fill="auto"/>
            <w:noWrap w:val="0"/>
            <w:vAlign w:val="center"/>
          </w:tcPr>
          <w:p>
            <w:pPr>
              <w:spacing w:line="360" w:lineRule="auto"/>
              <w:jc w:val="center"/>
              <w:rPr>
                <w:rFonts w:hint="eastAsia"/>
                <w:b/>
                <w:spacing w:val="-20"/>
                <w:sz w:val="24"/>
              </w:rPr>
            </w:pPr>
            <w:r>
              <w:rPr>
                <w:b/>
                <w:spacing w:val="-20"/>
                <w:sz w:val="24"/>
              </w:rPr>
              <w:t>实验内容</w:t>
            </w:r>
            <w:r>
              <w:rPr>
                <w:rFonts w:hint="eastAsia"/>
                <w:b/>
                <w:spacing w:val="-20"/>
                <w:sz w:val="24"/>
              </w:rPr>
              <w:t>及要求</w:t>
            </w:r>
          </w:p>
        </w:tc>
        <w:tc>
          <w:tcPr>
            <w:tcW w:w="709" w:type="dxa"/>
            <w:shd w:val="clear" w:color="auto" w:fill="auto"/>
            <w:noWrap w:val="0"/>
            <w:vAlign w:val="center"/>
          </w:tcPr>
          <w:p>
            <w:pPr>
              <w:spacing w:line="360" w:lineRule="auto"/>
              <w:jc w:val="center"/>
              <w:rPr>
                <w:rFonts w:hint="eastAsia"/>
                <w:b/>
                <w:spacing w:val="-20"/>
                <w:sz w:val="24"/>
              </w:rPr>
            </w:pPr>
            <w:r>
              <w:rPr>
                <w:b/>
                <w:spacing w:val="-20"/>
                <w:sz w:val="24"/>
              </w:rPr>
              <w:t>学时</w:t>
            </w:r>
          </w:p>
        </w:tc>
        <w:tc>
          <w:tcPr>
            <w:tcW w:w="1134" w:type="dxa"/>
            <w:shd w:val="clear" w:color="auto" w:fill="auto"/>
            <w:noWrap w:val="0"/>
            <w:vAlign w:val="center"/>
          </w:tcPr>
          <w:p>
            <w:pPr>
              <w:spacing w:line="360" w:lineRule="auto"/>
              <w:jc w:val="center"/>
              <w:rPr>
                <w:rFonts w:hint="eastAsia"/>
                <w:b/>
                <w:spacing w:val="-20"/>
                <w:sz w:val="24"/>
              </w:rPr>
            </w:pPr>
            <w:r>
              <w:rPr>
                <w:b/>
                <w:spacing w:val="-20"/>
                <w:sz w:val="24"/>
              </w:rPr>
              <w:t>对毕业要求的支撑</w:t>
            </w:r>
          </w:p>
        </w:tc>
        <w:tc>
          <w:tcPr>
            <w:tcW w:w="709" w:type="dxa"/>
            <w:shd w:val="clear" w:color="auto" w:fill="auto"/>
            <w:noWrap w:val="0"/>
            <w:vAlign w:val="center"/>
          </w:tcPr>
          <w:p>
            <w:pPr>
              <w:spacing w:line="360" w:lineRule="auto"/>
              <w:jc w:val="center"/>
              <w:rPr>
                <w:b/>
                <w:spacing w:val="-20"/>
                <w:sz w:val="24"/>
              </w:rPr>
            </w:pPr>
            <w:r>
              <w:rPr>
                <w:b/>
                <w:spacing w:val="-20"/>
                <w:sz w:val="24"/>
              </w:rPr>
              <w:t>类型</w:t>
            </w:r>
          </w:p>
        </w:tc>
        <w:tc>
          <w:tcPr>
            <w:tcW w:w="814" w:type="dxa"/>
            <w:shd w:val="clear" w:color="auto" w:fill="auto"/>
            <w:noWrap w:val="0"/>
            <w:vAlign w:val="center"/>
          </w:tcPr>
          <w:p>
            <w:pPr>
              <w:spacing w:line="360" w:lineRule="auto"/>
              <w:jc w:val="center"/>
              <w:rPr>
                <w:rFonts w:hint="eastAsia"/>
                <w:b/>
                <w:spacing w:val="-20"/>
                <w:sz w:val="24"/>
              </w:rPr>
            </w:pPr>
            <w:r>
              <w:rPr>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1</w:t>
            </w:r>
          </w:p>
        </w:tc>
        <w:tc>
          <w:tcPr>
            <w:tcW w:w="1049"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燃烧热的测定</w:t>
            </w:r>
          </w:p>
        </w:tc>
        <w:tc>
          <w:tcPr>
            <w:tcW w:w="4252"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燃烧热是物质重要的热力学函数，通过本实验的学习，要求学生掌握量热计的原理、构造，及氧弹量热计测量萘的燃烧焓的方法；掌握温差的校正方法及氧弹量热计操作及外推法求△t、并进行热量计算的数据处理技术。</w:t>
            </w:r>
          </w:p>
        </w:tc>
        <w:tc>
          <w:tcPr>
            <w:tcW w:w="709"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4</w:t>
            </w:r>
          </w:p>
        </w:tc>
        <w:tc>
          <w:tcPr>
            <w:tcW w:w="1134" w:type="dxa"/>
            <w:shd w:val="clear" w:color="auto" w:fill="auto"/>
            <w:noWrap w:val="0"/>
            <w:vAlign w:val="center"/>
          </w:tcPr>
          <w:p>
            <w:pPr>
              <w:spacing w:line="360" w:lineRule="auto"/>
              <w:jc w:val="center"/>
              <w:rPr>
                <w:rFonts w:hint="eastAsia"/>
                <w:bCs/>
                <w:spacing w:val="-20"/>
                <w:szCs w:val="21"/>
              </w:rPr>
            </w:pPr>
            <w:r>
              <w:rPr>
                <w:rFonts w:hint="eastAsia"/>
                <w:bCs/>
                <w:szCs w:val="21"/>
              </w:rPr>
              <w:t>1-3、5-1</w:t>
            </w:r>
          </w:p>
        </w:tc>
        <w:tc>
          <w:tcPr>
            <w:tcW w:w="709" w:type="dxa"/>
            <w:shd w:val="clear" w:color="auto" w:fill="auto"/>
            <w:noWrap w:val="0"/>
            <w:vAlign w:val="center"/>
          </w:tcPr>
          <w:p>
            <w:pPr>
              <w:spacing w:line="360" w:lineRule="auto"/>
              <w:jc w:val="center"/>
              <w:rPr>
                <w:rFonts w:hint="eastAsia"/>
                <w:bCs/>
                <w:spacing w:val="-20"/>
                <w:szCs w:val="21"/>
              </w:rPr>
            </w:pPr>
            <w:r>
              <w:rPr>
                <w:bCs/>
                <w:szCs w:val="21"/>
              </w:rPr>
              <w:t>验证</w:t>
            </w:r>
          </w:p>
        </w:tc>
        <w:tc>
          <w:tcPr>
            <w:tcW w:w="814" w:type="dxa"/>
            <w:shd w:val="clear" w:color="auto" w:fill="auto"/>
            <w:noWrap w:val="0"/>
            <w:vAlign w:val="center"/>
          </w:tcPr>
          <w:p>
            <w:pPr>
              <w:spacing w:line="360" w:lineRule="auto"/>
              <w:jc w:val="center"/>
              <w:rPr>
                <w:rFonts w:hint="eastAsia"/>
                <w:bCs/>
                <w:spacing w:val="-20"/>
                <w:szCs w:val="21"/>
              </w:rPr>
            </w:pPr>
            <w:r>
              <w:rPr>
                <w:bCs/>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2</w:t>
            </w:r>
          </w:p>
        </w:tc>
        <w:tc>
          <w:tcPr>
            <w:tcW w:w="1049"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纯液体饱和蒸气压的测量</w:t>
            </w:r>
          </w:p>
        </w:tc>
        <w:tc>
          <w:tcPr>
            <w:tcW w:w="4252"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液体饱和蒸气压是液体化合物的热力学特性，通过本实验学习，要求学生了解真空泵的构造原理和使用方法以及获得低真空度的方法，了解数字式低真空测压仪的使用和静态法测定单元系气液平衡压力-温度关系的原理；理解液体饱和蒸气压与温度的关系；掌握减压、恒压系统的操作方法和作图法获得线性回归方程求乙醇在实验温度范围内的平均摩尔汽化焓的数据处理技术。</w:t>
            </w:r>
          </w:p>
        </w:tc>
        <w:tc>
          <w:tcPr>
            <w:tcW w:w="709"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4</w:t>
            </w:r>
          </w:p>
        </w:tc>
        <w:tc>
          <w:tcPr>
            <w:tcW w:w="1134" w:type="dxa"/>
            <w:shd w:val="clear" w:color="auto" w:fill="auto"/>
            <w:noWrap w:val="0"/>
            <w:vAlign w:val="center"/>
          </w:tcPr>
          <w:p>
            <w:pPr>
              <w:spacing w:line="360" w:lineRule="auto"/>
              <w:jc w:val="center"/>
              <w:rPr>
                <w:rFonts w:hint="eastAsia"/>
                <w:bCs/>
                <w:spacing w:val="-20"/>
                <w:szCs w:val="21"/>
              </w:rPr>
            </w:pPr>
            <w:r>
              <w:rPr>
                <w:rFonts w:hint="eastAsia"/>
                <w:bCs/>
                <w:szCs w:val="21"/>
              </w:rPr>
              <w:t>1-3、5-1</w:t>
            </w:r>
          </w:p>
        </w:tc>
        <w:tc>
          <w:tcPr>
            <w:tcW w:w="709" w:type="dxa"/>
            <w:shd w:val="clear" w:color="auto" w:fill="auto"/>
            <w:noWrap w:val="0"/>
            <w:vAlign w:val="center"/>
          </w:tcPr>
          <w:p>
            <w:pPr>
              <w:spacing w:line="360" w:lineRule="auto"/>
              <w:jc w:val="center"/>
              <w:rPr>
                <w:rFonts w:hint="eastAsia"/>
                <w:bCs/>
                <w:spacing w:val="-20"/>
                <w:szCs w:val="21"/>
              </w:rPr>
            </w:pPr>
            <w:r>
              <w:rPr>
                <w:bCs/>
                <w:szCs w:val="21"/>
              </w:rPr>
              <w:t>验证</w:t>
            </w:r>
          </w:p>
        </w:tc>
        <w:tc>
          <w:tcPr>
            <w:tcW w:w="814" w:type="dxa"/>
            <w:shd w:val="clear" w:color="auto" w:fill="auto"/>
            <w:noWrap w:val="0"/>
            <w:vAlign w:val="center"/>
          </w:tcPr>
          <w:p>
            <w:pPr>
              <w:spacing w:line="360" w:lineRule="auto"/>
              <w:jc w:val="center"/>
              <w:rPr>
                <w:rFonts w:hint="eastAsia"/>
                <w:bCs/>
                <w:spacing w:val="-20"/>
                <w:szCs w:val="21"/>
              </w:rPr>
            </w:pPr>
            <w:r>
              <w:rPr>
                <w:bCs/>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3</w:t>
            </w:r>
          </w:p>
        </w:tc>
        <w:tc>
          <w:tcPr>
            <w:tcW w:w="1049"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凝固点降低法测定摩尔质量</w:t>
            </w:r>
          </w:p>
        </w:tc>
        <w:tc>
          <w:tcPr>
            <w:tcW w:w="4252"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通过本实验学习，要求学生了解利用凝固点降低法测定萘的摩尔质量的原理；理解稀溶液的依数性；掌握凝固点测量技术。</w:t>
            </w:r>
          </w:p>
        </w:tc>
        <w:tc>
          <w:tcPr>
            <w:tcW w:w="709"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4</w:t>
            </w:r>
          </w:p>
        </w:tc>
        <w:tc>
          <w:tcPr>
            <w:tcW w:w="1134" w:type="dxa"/>
            <w:shd w:val="clear" w:color="auto" w:fill="auto"/>
            <w:noWrap w:val="0"/>
            <w:vAlign w:val="center"/>
          </w:tcPr>
          <w:p>
            <w:pPr>
              <w:spacing w:line="360" w:lineRule="auto"/>
              <w:jc w:val="center"/>
              <w:rPr>
                <w:rFonts w:hint="eastAsia"/>
                <w:bCs/>
                <w:spacing w:val="-20"/>
                <w:szCs w:val="21"/>
              </w:rPr>
            </w:pPr>
            <w:r>
              <w:rPr>
                <w:rFonts w:hint="eastAsia"/>
                <w:bCs/>
                <w:szCs w:val="21"/>
              </w:rPr>
              <w:t>1-3、5-1</w:t>
            </w:r>
          </w:p>
        </w:tc>
        <w:tc>
          <w:tcPr>
            <w:tcW w:w="709" w:type="dxa"/>
            <w:shd w:val="clear" w:color="auto" w:fill="auto"/>
            <w:noWrap w:val="0"/>
            <w:vAlign w:val="center"/>
          </w:tcPr>
          <w:p>
            <w:pPr>
              <w:spacing w:line="360" w:lineRule="auto"/>
              <w:jc w:val="center"/>
              <w:rPr>
                <w:rFonts w:hint="eastAsia"/>
                <w:bCs/>
                <w:spacing w:val="-20"/>
                <w:szCs w:val="21"/>
              </w:rPr>
            </w:pPr>
            <w:r>
              <w:rPr>
                <w:bCs/>
                <w:szCs w:val="21"/>
              </w:rPr>
              <w:t>验证</w:t>
            </w:r>
          </w:p>
        </w:tc>
        <w:tc>
          <w:tcPr>
            <w:tcW w:w="814" w:type="dxa"/>
            <w:shd w:val="clear" w:color="auto" w:fill="auto"/>
            <w:noWrap w:val="0"/>
            <w:vAlign w:val="center"/>
          </w:tcPr>
          <w:p>
            <w:pPr>
              <w:spacing w:line="360" w:lineRule="auto"/>
              <w:jc w:val="center"/>
              <w:rPr>
                <w:rFonts w:hint="eastAsia"/>
                <w:bCs/>
                <w:spacing w:val="-20"/>
                <w:szCs w:val="21"/>
              </w:rPr>
            </w:pPr>
            <w:r>
              <w:rPr>
                <w:bCs/>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4</w:t>
            </w:r>
          </w:p>
        </w:tc>
        <w:tc>
          <w:tcPr>
            <w:tcW w:w="1049"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双液系的气-液平衡相图</w:t>
            </w:r>
          </w:p>
        </w:tc>
        <w:tc>
          <w:tcPr>
            <w:tcW w:w="4252"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通过本实验学习，要求学生了解恒压（大气压）下气液平衡数据的测定方法和沸点仪的构造，了解数字折光仪的构造、原理；理解二元液系相图的含义和折光率与物质组成的关系，掌握沸点仪的使用和数字折光仪测定溶液组成等操作技术，根据测定的乙醇-环己烷气液平衡数据绘制出T~x相图。</w:t>
            </w:r>
          </w:p>
        </w:tc>
        <w:tc>
          <w:tcPr>
            <w:tcW w:w="709"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4</w:t>
            </w:r>
          </w:p>
        </w:tc>
        <w:tc>
          <w:tcPr>
            <w:tcW w:w="1134" w:type="dxa"/>
            <w:shd w:val="clear" w:color="auto" w:fill="auto"/>
            <w:noWrap w:val="0"/>
            <w:vAlign w:val="center"/>
          </w:tcPr>
          <w:p>
            <w:pPr>
              <w:spacing w:line="360" w:lineRule="auto"/>
              <w:jc w:val="center"/>
              <w:rPr>
                <w:rFonts w:hint="eastAsia"/>
                <w:bCs/>
                <w:spacing w:val="-20"/>
                <w:szCs w:val="21"/>
              </w:rPr>
            </w:pPr>
            <w:r>
              <w:rPr>
                <w:rFonts w:hint="eastAsia"/>
                <w:bCs/>
                <w:szCs w:val="21"/>
              </w:rPr>
              <w:t>1-3、5-1</w:t>
            </w:r>
          </w:p>
        </w:tc>
        <w:tc>
          <w:tcPr>
            <w:tcW w:w="709" w:type="dxa"/>
            <w:shd w:val="clear" w:color="auto" w:fill="auto"/>
            <w:noWrap w:val="0"/>
            <w:vAlign w:val="center"/>
          </w:tcPr>
          <w:p>
            <w:pPr>
              <w:spacing w:line="360" w:lineRule="auto"/>
              <w:jc w:val="center"/>
              <w:rPr>
                <w:rFonts w:hint="eastAsia"/>
                <w:bCs/>
                <w:spacing w:val="-20"/>
                <w:szCs w:val="21"/>
              </w:rPr>
            </w:pPr>
            <w:r>
              <w:rPr>
                <w:bCs/>
                <w:szCs w:val="21"/>
              </w:rPr>
              <w:t>验证</w:t>
            </w:r>
          </w:p>
        </w:tc>
        <w:tc>
          <w:tcPr>
            <w:tcW w:w="814" w:type="dxa"/>
            <w:shd w:val="clear" w:color="auto" w:fill="auto"/>
            <w:noWrap w:val="0"/>
            <w:vAlign w:val="center"/>
          </w:tcPr>
          <w:p>
            <w:pPr>
              <w:spacing w:line="360" w:lineRule="auto"/>
              <w:jc w:val="center"/>
              <w:rPr>
                <w:rFonts w:hint="eastAsia"/>
                <w:bCs/>
                <w:spacing w:val="-20"/>
                <w:szCs w:val="21"/>
              </w:rPr>
            </w:pPr>
            <w:r>
              <w:rPr>
                <w:rFonts w:hint="eastAsia"/>
                <w:bCs/>
                <w:szCs w:val="21"/>
              </w:rPr>
              <w:t>选</w:t>
            </w:r>
            <w:r>
              <w:rPr>
                <w:bCs/>
                <w:szCs w:val="21"/>
              </w:rPr>
              <w:t>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5</w:t>
            </w:r>
          </w:p>
        </w:tc>
        <w:tc>
          <w:tcPr>
            <w:tcW w:w="1049"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二组分固-液相图的测绘</w:t>
            </w:r>
          </w:p>
        </w:tc>
        <w:tc>
          <w:tcPr>
            <w:tcW w:w="4252"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通过本实验的学习，要求学生了解热分析法绘制相图的基本原理；理解步冷曲线的含义，掌握用热电偶测温和用步冷曲线作二组分相图的基本方法，绘制锡-锑二元体系合金相图。</w:t>
            </w:r>
          </w:p>
        </w:tc>
        <w:tc>
          <w:tcPr>
            <w:tcW w:w="709"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4</w:t>
            </w:r>
          </w:p>
        </w:tc>
        <w:tc>
          <w:tcPr>
            <w:tcW w:w="1134" w:type="dxa"/>
            <w:shd w:val="clear" w:color="auto" w:fill="auto"/>
            <w:noWrap w:val="0"/>
            <w:vAlign w:val="center"/>
          </w:tcPr>
          <w:p>
            <w:pPr>
              <w:spacing w:line="360" w:lineRule="auto"/>
              <w:jc w:val="center"/>
              <w:rPr>
                <w:rFonts w:hint="eastAsia"/>
                <w:bCs/>
                <w:spacing w:val="-20"/>
                <w:szCs w:val="21"/>
              </w:rPr>
            </w:pPr>
            <w:r>
              <w:rPr>
                <w:rFonts w:hint="eastAsia"/>
                <w:bCs/>
                <w:szCs w:val="21"/>
              </w:rPr>
              <w:t>1-3、5-1</w:t>
            </w:r>
          </w:p>
        </w:tc>
        <w:tc>
          <w:tcPr>
            <w:tcW w:w="709" w:type="dxa"/>
            <w:shd w:val="clear" w:color="auto" w:fill="auto"/>
            <w:noWrap w:val="0"/>
            <w:vAlign w:val="center"/>
          </w:tcPr>
          <w:p>
            <w:pPr>
              <w:spacing w:line="360" w:lineRule="auto"/>
              <w:jc w:val="center"/>
              <w:rPr>
                <w:rFonts w:hint="eastAsia"/>
                <w:bCs/>
                <w:spacing w:val="-20"/>
                <w:szCs w:val="21"/>
              </w:rPr>
            </w:pPr>
            <w:r>
              <w:rPr>
                <w:bCs/>
                <w:szCs w:val="21"/>
              </w:rPr>
              <w:t>验证</w:t>
            </w:r>
          </w:p>
        </w:tc>
        <w:tc>
          <w:tcPr>
            <w:tcW w:w="814" w:type="dxa"/>
            <w:shd w:val="clear" w:color="auto" w:fill="auto"/>
            <w:noWrap w:val="0"/>
            <w:vAlign w:val="center"/>
          </w:tcPr>
          <w:p>
            <w:pPr>
              <w:spacing w:line="360" w:lineRule="auto"/>
              <w:jc w:val="center"/>
              <w:rPr>
                <w:rFonts w:hint="eastAsia"/>
                <w:bCs/>
                <w:spacing w:val="-20"/>
                <w:szCs w:val="21"/>
              </w:rPr>
            </w:pPr>
            <w:r>
              <w:rPr>
                <w:rFonts w:hint="eastAsia"/>
                <w:bCs/>
                <w:szCs w:val="21"/>
              </w:rPr>
              <w:t>选做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6</w:t>
            </w:r>
          </w:p>
        </w:tc>
        <w:tc>
          <w:tcPr>
            <w:tcW w:w="1049"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最大泡压法测定溶液的表面张力</w:t>
            </w:r>
          </w:p>
        </w:tc>
        <w:tc>
          <w:tcPr>
            <w:tcW w:w="4252"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通过本实验的学习，要求学生了解最大泡压法测定表面张力的原理和数字式微压差测量仪的使用；理解气泡压力与半径及表面张力的关系；掌握测定不同浓度的正丁醇溶液的表面张力的操作技术，并根据Gibbs吸附等温式计算溶液表面吸附量。</w:t>
            </w:r>
          </w:p>
        </w:tc>
        <w:tc>
          <w:tcPr>
            <w:tcW w:w="709"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4</w:t>
            </w:r>
          </w:p>
        </w:tc>
        <w:tc>
          <w:tcPr>
            <w:tcW w:w="1134" w:type="dxa"/>
            <w:shd w:val="clear" w:color="auto" w:fill="auto"/>
            <w:noWrap w:val="0"/>
            <w:vAlign w:val="center"/>
          </w:tcPr>
          <w:p>
            <w:pPr>
              <w:spacing w:line="360" w:lineRule="auto"/>
              <w:jc w:val="center"/>
              <w:rPr>
                <w:rFonts w:hint="eastAsia"/>
                <w:bCs/>
                <w:spacing w:val="-20"/>
                <w:szCs w:val="21"/>
              </w:rPr>
            </w:pPr>
            <w:r>
              <w:rPr>
                <w:rFonts w:hint="eastAsia"/>
                <w:bCs/>
                <w:szCs w:val="21"/>
              </w:rPr>
              <w:t>1-3、5-1</w:t>
            </w:r>
          </w:p>
        </w:tc>
        <w:tc>
          <w:tcPr>
            <w:tcW w:w="709" w:type="dxa"/>
            <w:shd w:val="clear" w:color="auto" w:fill="auto"/>
            <w:noWrap w:val="0"/>
            <w:vAlign w:val="center"/>
          </w:tcPr>
          <w:p>
            <w:pPr>
              <w:spacing w:line="360" w:lineRule="auto"/>
              <w:jc w:val="center"/>
              <w:rPr>
                <w:rFonts w:hint="eastAsia"/>
                <w:bCs/>
                <w:spacing w:val="-20"/>
                <w:szCs w:val="21"/>
              </w:rPr>
            </w:pPr>
            <w:r>
              <w:rPr>
                <w:bCs/>
                <w:szCs w:val="21"/>
              </w:rPr>
              <w:t>验证</w:t>
            </w:r>
          </w:p>
        </w:tc>
        <w:tc>
          <w:tcPr>
            <w:tcW w:w="814" w:type="dxa"/>
            <w:shd w:val="clear" w:color="auto" w:fill="auto"/>
            <w:noWrap w:val="0"/>
            <w:vAlign w:val="center"/>
          </w:tcPr>
          <w:p>
            <w:pPr>
              <w:spacing w:line="360" w:lineRule="auto"/>
              <w:jc w:val="center"/>
              <w:rPr>
                <w:rFonts w:hint="eastAsia"/>
                <w:bCs/>
                <w:spacing w:val="-20"/>
                <w:szCs w:val="21"/>
              </w:rPr>
            </w:pPr>
            <w:r>
              <w:rPr>
                <w:bCs/>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7</w:t>
            </w:r>
          </w:p>
        </w:tc>
        <w:tc>
          <w:tcPr>
            <w:tcW w:w="1049"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电导法测定乙酸乙酯皂化反应的速率常数</w:t>
            </w:r>
          </w:p>
        </w:tc>
        <w:tc>
          <w:tcPr>
            <w:tcW w:w="4252"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通过本实验的学习，要求学生了解电导率的测量原理；理解动力学以及反应速率方程式的含义及乙酸乙酯的皂化反应速率常数与电导率、温度的关系，理解通过测定乙酸乙酯皂化反应速率常数求其反应活化能的方法，掌握电导率仪的使用和乙酸乙酯皂化反应及电导率的测定操作。</w:t>
            </w:r>
          </w:p>
        </w:tc>
        <w:tc>
          <w:tcPr>
            <w:tcW w:w="709"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4</w:t>
            </w:r>
          </w:p>
        </w:tc>
        <w:tc>
          <w:tcPr>
            <w:tcW w:w="1134" w:type="dxa"/>
            <w:shd w:val="clear" w:color="auto" w:fill="auto"/>
            <w:noWrap w:val="0"/>
            <w:vAlign w:val="center"/>
          </w:tcPr>
          <w:p>
            <w:pPr>
              <w:spacing w:line="360" w:lineRule="auto"/>
              <w:jc w:val="center"/>
              <w:rPr>
                <w:rFonts w:hint="eastAsia"/>
                <w:bCs/>
                <w:spacing w:val="-20"/>
                <w:szCs w:val="21"/>
              </w:rPr>
            </w:pPr>
            <w:r>
              <w:rPr>
                <w:rFonts w:hint="eastAsia"/>
                <w:bCs/>
                <w:szCs w:val="21"/>
              </w:rPr>
              <w:t>1-3、5-1</w:t>
            </w:r>
          </w:p>
        </w:tc>
        <w:tc>
          <w:tcPr>
            <w:tcW w:w="709" w:type="dxa"/>
            <w:shd w:val="clear" w:color="auto" w:fill="auto"/>
            <w:noWrap w:val="0"/>
            <w:vAlign w:val="center"/>
          </w:tcPr>
          <w:p>
            <w:pPr>
              <w:spacing w:line="360" w:lineRule="auto"/>
              <w:jc w:val="center"/>
              <w:rPr>
                <w:rFonts w:hint="eastAsia"/>
                <w:bCs/>
                <w:spacing w:val="-20"/>
                <w:szCs w:val="21"/>
              </w:rPr>
            </w:pPr>
            <w:r>
              <w:rPr>
                <w:bCs/>
                <w:szCs w:val="21"/>
              </w:rPr>
              <w:t>验证</w:t>
            </w:r>
          </w:p>
        </w:tc>
        <w:tc>
          <w:tcPr>
            <w:tcW w:w="814" w:type="dxa"/>
            <w:shd w:val="clear" w:color="auto" w:fill="auto"/>
            <w:noWrap w:val="0"/>
            <w:vAlign w:val="center"/>
          </w:tcPr>
          <w:p>
            <w:pPr>
              <w:spacing w:line="360" w:lineRule="auto"/>
              <w:jc w:val="center"/>
              <w:rPr>
                <w:rFonts w:hint="eastAsia"/>
                <w:bCs/>
                <w:spacing w:val="-20"/>
                <w:szCs w:val="21"/>
              </w:rPr>
            </w:pPr>
            <w:r>
              <w:rPr>
                <w:bCs/>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8</w:t>
            </w:r>
          </w:p>
        </w:tc>
        <w:tc>
          <w:tcPr>
            <w:tcW w:w="1049"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离子迁移数的测定</w:t>
            </w:r>
          </w:p>
        </w:tc>
        <w:tc>
          <w:tcPr>
            <w:tcW w:w="4252"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通过本实验的学习，要求学生了解希托夫法测定离子迁移数的原理和方法，掌握库仑计的使用；测定CuSO4水溶液中Cu+的迁移数。</w:t>
            </w:r>
          </w:p>
        </w:tc>
        <w:tc>
          <w:tcPr>
            <w:tcW w:w="709"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4</w:t>
            </w:r>
          </w:p>
        </w:tc>
        <w:tc>
          <w:tcPr>
            <w:tcW w:w="1134" w:type="dxa"/>
            <w:shd w:val="clear" w:color="auto" w:fill="auto"/>
            <w:noWrap w:val="0"/>
            <w:vAlign w:val="center"/>
          </w:tcPr>
          <w:p>
            <w:pPr>
              <w:spacing w:line="360" w:lineRule="auto"/>
              <w:jc w:val="center"/>
              <w:rPr>
                <w:rFonts w:hint="eastAsia"/>
                <w:bCs/>
                <w:spacing w:val="-20"/>
                <w:szCs w:val="21"/>
              </w:rPr>
            </w:pPr>
            <w:r>
              <w:rPr>
                <w:rFonts w:hint="eastAsia"/>
                <w:bCs/>
                <w:szCs w:val="21"/>
              </w:rPr>
              <w:t>1-3、5-1</w:t>
            </w:r>
          </w:p>
        </w:tc>
        <w:tc>
          <w:tcPr>
            <w:tcW w:w="709" w:type="dxa"/>
            <w:shd w:val="clear" w:color="auto" w:fill="auto"/>
            <w:noWrap w:val="0"/>
            <w:vAlign w:val="center"/>
          </w:tcPr>
          <w:p>
            <w:pPr>
              <w:spacing w:line="360" w:lineRule="auto"/>
              <w:jc w:val="center"/>
              <w:rPr>
                <w:rFonts w:hint="eastAsia"/>
                <w:bCs/>
                <w:spacing w:val="-20"/>
                <w:szCs w:val="21"/>
              </w:rPr>
            </w:pPr>
            <w:r>
              <w:rPr>
                <w:bCs/>
                <w:szCs w:val="21"/>
              </w:rPr>
              <w:t>验证</w:t>
            </w:r>
          </w:p>
        </w:tc>
        <w:tc>
          <w:tcPr>
            <w:tcW w:w="814" w:type="dxa"/>
            <w:shd w:val="clear" w:color="auto" w:fill="auto"/>
            <w:noWrap w:val="0"/>
            <w:vAlign w:val="center"/>
          </w:tcPr>
          <w:p>
            <w:pPr>
              <w:spacing w:line="360" w:lineRule="auto"/>
              <w:jc w:val="center"/>
              <w:rPr>
                <w:rFonts w:hint="eastAsia"/>
                <w:bCs/>
                <w:spacing w:val="-20"/>
                <w:szCs w:val="21"/>
              </w:rPr>
            </w:pPr>
            <w:r>
              <w:rPr>
                <w:rFonts w:hint="eastAsia"/>
                <w:bCs/>
                <w:szCs w:val="21"/>
              </w:rPr>
              <w:t>选做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9</w:t>
            </w:r>
          </w:p>
        </w:tc>
        <w:tc>
          <w:tcPr>
            <w:tcW w:w="1049"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丙酮碘化反应的速率方程</w:t>
            </w:r>
          </w:p>
        </w:tc>
        <w:tc>
          <w:tcPr>
            <w:tcW w:w="4252"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通过本实验的学习，要求学生了解分光光度计的构造和测量原理；理解动力学反应级数的概念及孤立法的基本原理，理解通过测定丙酮碘化反应进程中的吸光度的变化，求其反应级数和测定反应速率常数的方法，掌握分光光度计的使用和丙酮碘化反应及吸光度的测定操作。</w:t>
            </w:r>
          </w:p>
        </w:tc>
        <w:tc>
          <w:tcPr>
            <w:tcW w:w="709" w:type="dxa"/>
            <w:shd w:val="clear" w:color="auto" w:fill="auto"/>
            <w:noWrap w:val="0"/>
            <w:vAlign w:val="center"/>
          </w:tcPr>
          <w:p>
            <w:pPr>
              <w:spacing w:line="360" w:lineRule="auto"/>
              <w:jc w:val="center"/>
              <w:rPr>
                <w:rFonts w:hint="eastAsia"/>
                <w:bCs/>
                <w:spacing w:val="-20"/>
                <w:szCs w:val="21"/>
              </w:rPr>
            </w:pPr>
            <w:r>
              <w:rPr>
                <w:rFonts w:hint="eastAsia"/>
                <w:bCs/>
                <w:spacing w:val="-20"/>
                <w:szCs w:val="21"/>
              </w:rPr>
              <w:t>4</w:t>
            </w:r>
          </w:p>
        </w:tc>
        <w:tc>
          <w:tcPr>
            <w:tcW w:w="1134" w:type="dxa"/>
            <w:shd w:val="clear" w:color="auto" w:fill="auto"/>
            <w:noWrap w:val="0"/>
            <w:vAlign w:val="center"/>
          </w:tcPr>
          <w:p>
            <w:pPr>
              <w:spacing w:line="360" w:lineRule="auto"/>
              <w:jc w:val="center"/>
              <w:rPr>
                <w:rFonts w:hint="eastAsia"/>
                <w:bCs/>
                <w:spacing w:val="-20"/>
                <w:szCs w:val="21"/>
              </w:rPr>
            </w:pPr>
            <w:r>
              <w:rPr>
                <w:rFonts w:hint="eastAsia"/>
                <w:bCs/>
                <w:szCs w:val="21"/>
              </w:rPr>
              <w:t>1-3、5-1</w:t>
            </w:r>
          </w:p>
        </w:tc>
        <w:tc>
          <w:tcPr>
            <w:tcW w:w="709" w:type="dxa"/>
            <w:shd w:val="clear" w:color="auto" w:fill="auto"/>
            <w:noWrap w:val="0"/>
            <w:vAlign w:val="center"/>
          </w:tcPr>
          <w:p>
            <w:pPr>
              <w:spacing w:line="360" w:lineRule="auto"/>
              <w:jc w:val="center"/>
              <w:rPr>
                <w:rFonts w:hint="eastAsia"/>
                <w:bCs/>
                <w:spacing w:val="-20"/>
                <w:szCs w:val="21"/>
              </w:rPr>
            </w:pPr>
            <w:r>
              <w:rPr>
                <w:bCs/>
                <w:szCs w:val="21"/>
              </w:rPr>
              <w:t>验证</w:t>
            </w:r>
          </w:p>
        </w:tc>
        <w:tc>
          <w:tcPr>
            <w:tcW w:w="814" w:type="dxa"/>
            <w:shd w:val="clear" w:color="auto" w:fill="auto"/>
            <w:noWrap w:val="0"/>
            <w:vAlign w:val="center"/>
          </w:tcPr>
          <w:p>
            <w:pPr>
              <w:spacing w:line="360" w:lineRule="auto"/>
              <w:jc w:val="center"/>
              <w:rPr>
                <w:rFonts w:hint="eastAsia"/>
                <w:bCs/>
                <w:spacing w:val="-20"/>
                <w:szCs w:val="21"/>
              </w:rPr>
            </w:pPr>
            <w:r>
              <w:rPr>
                <w:rFonts w:hint="eastAsia"/>
                <w:bCs/>
                <w:szCs w:val="21"/>
              </w:rPr>
              <w:t>选做</w:t>
            </w:r>
          </w:p>
        </w:tc>
      </w:tr>
    </w:tbl>
    <w:p>
      <w:pPr>
        <w:spacing w:line="360" w:lineRule="auto"/>
        <w:ind w:firstLine="480" w:firstLineChars="200"/>
        <w:rPr>
          <w:bCs/>
          <w:sz w:val="24"/>
        </w:rPr>
      </w:pPr>
      <w:r>
        <w:rPr>
          <w:rFonts w:hint="eastAsia"/>
          <w:bCs/>
          <w:sz w:val="24"/>
        </w:rPr>
        <w:t>备注：学生根据分组情况，实验4和5可二选一；实验8和9可二选一。</w:t>
      </w:r>
    </w:p>
    <w:p>
      <w:pPr>
        <w:spacing w:line="360" w:lineRule="auto"/>
        <w:ind w:firstLine="562" w:firstLineChars="200"/>
        <w:rPr>
          <w:b/>
          <w:sz w:val="28"/>
          <w:szCs w:val="28"/>
        </w:rPr>
      </w:pPr>
    </w:p>
    <w:p>
      <w:pPr>
        <w:spacing w:line="360" w:lineRule="auto"/>
        <w:ind w:firstLine="562" w:firstLineChars="200"/>
        <w:rPr>
          <w:rFonts w:hint="eastAsia"/>
          <w:b/>
          <w:sz w:val="28"/>
          <w:szCs w:val="28"/>
        </w:rPr>
      </w:pPr>
      <w:r>
        <w:rPr>
          <w:rFonts w:hint="eastAsia"/>
          <w:b/>
          <w:sz w:val="28"/>
          <w:szCs w:val="28"/>
        </w:rPr>
        <w:t>五</w:t>
      </w:r>
      <w:r>
        <w:rPr>
          <w:b/>
          <w:sz w:val="28"/>
          <w:szCs w:val="28"/>
        </w:rPr>
        <w:t>、</w:t>
      </w:r>
      <w:r>
        <w:rPr>
          <w:rFonts w:hint="eastAsia"/>
          <w:b/>
          <w:sz w:val="28"/>
          <w:szCs w:val="28"/>
        </w:rPr>
        <w:t>课程实施</w:t>
      </w:r>
    </w:p>
    <w:p>
      <w:pPr>
        <w:spacing w:line="360" w:lineRule="auto"/>
        <w:ind w:firstLine="482" w:firstLineChars="200"/>
        <w:rPr>
          <w:rFonts w:hint="eastAsia"/>
          <w:b/>
          <w:bCs/>
          <w:sz w:val="24"/>
        </w:rPr>
      </w:pPr>
      <w:r>
        <w:rPr>
          <w:rFonts w:hint="eastAsia"/>
          <w:b/>
          <w:bCs/>
          <w:sz w:val="24"/>
        </w:rPr>
        <w:t>（一）教学方法</w:t>
      </w:r>
    </w:p>
    <w:p>
      <w:pPr>
        <w:spacing w:line="360" w:lineRule="auto"/>
        <w:ind w:firstLine="480" w:firstLineChars="200"/>
        <w:rPr>
          <w:rFonts w:hint="eastAsia"/>
          <w:sz w:val="24"/>
        </w:rPr>
      </w:pPr>
      <w:r>
        <w:rPr>
          <w:rFonts w:hint="eastAsia"/>
          <w:sz w:val="24"/>
        </w:rPr>
        <w:t>结合</w:t>
      </w:r>
      <w:r>
        <w:rPr>
          <w:sz w:val="24"/>
        </w:rPr>
        <w:t>物理化学实验课程本身特点</w:t>
      </w:r>
      <w:r>
        <w:rPr>
          <w:rFonts w:hint="eastAsia"/>
          <w:sz w:val="24"/>
        </w:rPr>
        <w:t>，</w:t>
      </w:r>
      <w:r>
        <w:rPr>
          <w:sz w:val="24"/>
        </w:rPr>
        <w:t>本课程采用的教学方法</w:t>
      </w:r>
      <w:r>
        <w:rPr>
          <w:rFonts w:hint="eastAsia"/>
          <w:sz w:val="24"/>
        </w:rPr>
        <w:t>：</w:t>
      </w:r>
      <w:r>
        <w:rPr>
          <w:sz w:val="24"/>
        </w:rPr>
        <w:t>验证性实验主要采用讲授法</w:t>
      </w:r>
      <w:r>
        <w:rPr>
          <w:rFonts w:hint="eastAsia"/>
          <w:sz w:val="24"/>
        </w:rPr>
        <w:t>、</w:t>
      </w:r>
      <w:r>
        <w:rPr>
          <w:sz w:val="24"/>
        </w:rPr>
        <w:t>操作示范法</w:t>
      </w:r>
      <w:r>
        <w:rPr>
          <w:rFonts w:hint="eastAsia"/>
          <w:sz w:val="24"/>
        </w:rPr>
        <w:t>、</w:t>
      </w:r>
      <w:r>
        <w:rPr>
          <w:sz w:val="24"/>
        </w:rPr>
        <w:t>启发式</w:t>
      </w:r>
      <w:r>
        <w:rPr>
          <w:rFonts w:hint="eastAsia"/>
          <w:sz w:val="24"/>
        </w:rPr>
        <w:t>、</w:t>
      </w:r>
      <w:r>
        <w:rPr>
          <w:sz w:val="24"/>
        </w:rPr>
        <w:t>研讨法等教学法进行教学</w:t>
      </w:r>
      <w:r>
        <w:rPr>
          <w:rFonts w:hint="eastAsia"/>
          <w:sz w:val="24"/>
        </w:rPr>
        <w:t>，</w:t>
      </w:r>
      <w:r>
        <w:rPr>
          <w:sz w:val="24"/>
        </w:rPr>
        <w:t>教师通过实验原理等的讲授</w:t>
      </w:r>
      <w:r>
        <w:rPr>
          <w:rFonts w:hint="eastAsia"/>
          <w:sz w:val="24"/>
        </w:rPr>
        <w:t>，</w:t>
      </w:r>
      <w:r>
        <w:rPr>
          <w:sz w:val="24"/>
        </w:rPr>
        <w:t>结合操作示范</w:t>
      </w:r>
      <w:r>
        <w:rPr>
          <w:rFonts w:hint="eastAsia"/>
          <w:sz w:val="24"/>
        </w:rPr>
        <w:t>，</w:t>
      </w:r>
      <w:r>
        <w:rPr>
          <w:sz w:val="24"/>
        </w:rPr>
        <w:t>让学生明白实验怎么做</w:t>
      </w:r>
      <w:r>
        <w:rPr>
          <w:rFonts w:hint="eastAsia"/>
          <w:sz w:val="24"/>
        </w:rPr>
        <w:t>-</w:t>
      </w:r>
      <w:r>
        <w:rPr>
          <w:sz w:val="24"/>
        </w:rPr>
        <w:t>做什么</w:t>
      </w:r>
      <w:r>
        <w:rPr>
          <w:rFonts w:hint="eastAsia"/>
          <w:sz w:val="24"/>
        </w:rPr>
        <w:t>-</w:t>
      </w:r>
      <w:r>
        <w:rPr>
          <w:sz w:val="24"/>
        </w:rPr>
        <w:t>为什么做等问题</w:t>
      </w:r>
      <w:r>
        <w:rPr>
          <w:rFonts w:hint="eastAsia"/>
          <w:sz w:val="24"/>
        </w:rPr>
        <w:t>。教学中，视每个实验内容和学生具备的知识而定，可以是一种或两种教学方法相结合进行教学。在综合、设计性实验中，基本采用启发式和研讨式教学方法教学。</w:t>
      </w:r>
    </w:p>
    <w:p>
      <w:pPr>
        <w:spacing w:line="360" w:lineRule="auto"/>
        <w:ind w:firstLine="480" w:firstLineChars="200"/>
        <w:rPr>
          <w:rFonts w:hint="eastAsia"/>
          <w:sz w:val="24"/>
        </w:rPr>
      </w:pPr>
      <w:r>
        <w:rPr>
          <w:rFonts w:hint="eastAsia"/>
          <w:sz w:val="24"/>
        </w:rPr>
        <w:t>1. 启发式教学：如实验3，利用学生的相关知识，引导学生进行思考。如真空的产生，利用减压蒸馏这一学生已掌握的知识阐述真空的产生，从而进一步引出真空的测量和真空操作。</w:t>
      </w:r>
    </w:p>
    <w:p>
      <w:pPr>
        <w:spacing w:line="360" w:lineRule="auto"/>
        <w:ind w:firstLine="480" w:firstLineChars="200"/>
        <w:rPr>
          <w:rFonts w:hint="eastAsia"/>
          <w:sz w:val="24"/>
        </w:rPr>
      </w:pPr>
      <w:r>
        <w:rPr>
          <w:rFonts w:hint="eastAsia"/>
          <w:sz w:val="24"/>
        </w:rPr>
        <w:t>2. 研讨法教学：恒温槽的控温原理是什么？教师结合实验装置图和控温电路原理图及电工知识进行探讨。</w:t>
      </w:r>
    </w:p>
    <w:p>
      <w:pPr>
        <w:spacing w:line="360" w:lineRule="auto"/>
        <w:ind w:firstLine="480" w:firstLineChars="200"/>
        <w:rPr>
          <w:rFonts w:hint="eastAsia"/>
          <w:sz w:val="24"/>
        </w:rPr>
      </w:pPr>
      <w:r>
        <w:rPr>
          <w:rFonts w:hint="eastAsia"/>
          <w:sz w:val="24"/>
        </w:rPr>
        <w:t>燃烧焓是如何测量？测量物质燃烧焓有什么意义和应用？</w:t>
      </w:r>
    </w:p>
    <w:p>
      <w:pPr>
        <w:spacing w:line="360" w:lineRule="auto"/>
        <w:ind w:firstLine="480" w:firstLineChars="200"/>
        <w:rPr>
          <w:rFonts w:hint="eastAsia"/>
          <w:sz w:val="24"/>
        </w:rPr>
      </w:pPr>
      <w:r>
        <w:rPr>
          <w:rFonts w:hint="eastAsia"/>
          <w:sz w:val="24"/>
        </w:rPr>
        <w:t>什么是液体饱和蒸气压？与温度有何关系？车用汽油的液体饱和蒸气压能否用静态法测定？测定它有何现实意义？</w:t>
      </w:r>
    </w:p>
    <w:p>
      <w:pPr>
        <w:spacing w:line="360" w:lineRule="auto"/>
        <w:ind w:firstLine="480" w:firstLineChars="200"/>
        <w:rPr>
          <w:rFonts w:hint="eastAsia"/>
          <w:sz w:val="24"/>
        </w:rPr>
      </w:pPr>
      <w:r>
        <w:rPr>
          <w:rFonts w:hint="eastAsia"/>
          <w:sz w:val="24"/>
        </w:rPr>
        <w:t>请问电镀原理是什么？如何制备氯化银电极？</w:t>
      </w:r>
    </w:p>
    <w:p>
      <w:pPr>
        <w:spacing w:line="360" w:lineRule="auto"/>
        <w:ind w:firstLine="480" w:firstLineChars="200"/>
        <w:rPr>
          <w:rFonts w:hint="eastAsia"/>
          <w:sz w:val="24"/>
        </w:rPr>
      </w:pPr>
      <w:r>
        <w:rPr>
          <w:rFonts w:hint="eastAsia"/>
          <w:sz w:val="24"/>
        </w:rPr>
        <w:t>请设计物理化学实验，求环己烷的标准摩尔蒸发焓（只允许测定一个温度下的饱和蒸气压数据）</w:t>
      </w:r>
    </w:p>
    <w:p>
      <w:pPr>
        <w:spacing w:line="360" w:lineRule="auto"/>
        <w:ind w:firstLine="480" w:firstLineChars="200"/>
        <w:rPr>
          <w:rFonts w:hint="eastAsia"/>
          <w:sz w:val="24"/>
        </w:rPr>
      </w:pPr>
      <w:r>
        <w:rPr>
          <w:rFonts w:hint="eastAsia"/>
          <w:sz w:val="24"/>
        </w:rPr>
        <w:t>设计实验，测量蔗糖的标准摩尔生成焓。</w:t>
      </w:r>
    </w:p>
    <w:p>
      <w:pPr>
        <w:spacing w:line="360" w:lineRule="auto"/>
        <w:ind w:firstLine="482" w:firstLineChars="200"/>
        <w:rPr>
          <w:rFonts w:hint="eastAsia"/>
          <w:b/>
          <w:bCs/>
          <w:sz w:val="24"/>
        </w:rPr>
      </w:pPr>
      <w:r>
        <w:rPr>
          <w:b/>
          <w:bCs/>
          <w:sz w:val="24"/>
        </w:rPr>
        <w:t>（</w:t>
      </w:r>
      <w:r>
        <w:rPr>
          <w:rFonts w:hint="eastAsia"/>
          <w:b/>
          <w:bCs/>
          <w:sz w:val="24"/>
        </w:rPr>
        <w:t>二</w:t>
      </w:r>
      <w:r>
        <w:rPr>
          <w:b/>
          <w:bCs/>
          <w:sz w:val="24"/>
        </w:rPr>
        <w:t>）教学环节及基本要求</w:t>
      </w:r>
    </w:p>
    <w:p>
      <w:pPr>
        <w:spacing w:line="360" w:lineRule="auto"/>
        <w:ind w:firstLine="480" w:firstLineChars="200"/>
        <w:rPr>
          <w:rFonts w:hint="eastAsia"/>
          <w:bCs/>
          <w:sz w:val="24"/>
        </w:rPr>
      </w:pPr>
      <w:r>
        <w:rPr>
          <w:rFonts w:hint="eastAsia"/>
          <w:bCs/>
          <w:sz w:val="24"/>
        </w:rPr>
        <w:t>本课程教学内容中学生课外自主学习的内容及要求：课外学习包括预习报告、资料查阅、观看实验视频、实验思考题和实验数据处理。学生针对每次实验的内容进行预习，对于验证性实验要求认真预习与该实验相关的理论知识，了解实验原理和实验方法，了解实验相关仪器设备的构造和工作原理，清楚实验涉及到的物理量的物理意义和计算方法；查阅相关资料或手册，获得实验的相关参数及经验值，写好预习报告，画出实验装置图和原理图；完成实验思考题3~4题；观看实验视频，能做到对本实验的内容和基本操作思路清晰。对于综合设计性实验，预习阶段除了完成上述任务外，还要根据所掌握的知识和题目要求，设计实验方案，教师进行辅导答疑1课时。每次课后学生要完成相关的数据处理，得出实验结果，并对结果与经验值进行对比分析，总结实验的得与失，完善实验报告。对于综合设计性实验，还要讨论方案的合理性。</w:t>
      </w:r>
    </w:p>
    <w:p>
      <w:pPr>
        <w:spacing w:line="360" w:lineRule="auto"/>
        <w:ind w:firstLine="562" w:firstLineChars="200"/>
        <w:rPr>
          <w:rFonts w:hint="eastAsia"/>
          <w:b/>
          <w:sz w:val="28"/>
          <w:szCs w:val="28"/>
        </w:rPr>
      </w:pPr>
      <w:r>
        <w:rPr>
          <w:rFonts w:hint="eastAsia"/>
          <w:b/>
          <w:sz w:val="28"/>
          <w:szCs w:val="28"/>
        </w:rPr>
        <w:t>五、课程考核</w:t>
      </w:r>
    </w:p>
    <w:p>
      <w:pPr>
        <w:spacing w:line="360" w:lineRule="auto"/>
        <w:ind w:firstLine="480" w:firstLineChars="200"/>
        <w:rPr>
          <w:sz w:val="24"/>
        </w:rPr>
      </w:pPr>
      <w:r>
        <w:rPr>
          <w:rFonts w:hint="eastAsia"/>
          <w:sz w:val="24"/>
        </w:rPr>
        <w:t>（一）</w:t>
      </w:r>
      <w:r>
        <w:rPr>
          <w:sz w:val="24"/>
        </w:rPr>
        <w:t>课程考核包括期末考试、平时及作业考核</w:t>
      </w:r>
      <w:r>
        <w:rPr>
          <w:rFonts w:hint="eastAsia"/>
          <w:sz w:val="24"/>
        </w:rPr>
        <w:t>等</w:t>
      </w:r>
      <w:r>
        <w:rPr>
          <w:sz w:val="24"/>
        </w:rPr>
        <w:t>，期</w:t>
      </w:r>
      <w:r>
        <w:rPr>
          <w:rFonts w:hint="eastAsia"/>
          <w:sz w:val="24"/>
        </w:rPr>
        <w:t>末</w:t>
      </w:r>
      <w:r>
        <w:rPr>
          <w:sz w:val="24"/>
        </w:rPr>
        <w:t>考试采用</w:t>
      </w:r>
      <w:r>
        <w:rPr>
          <w:rFonts w:hint="eastAsia"/>
          <w:sz w:val="24"/>
        </w:rPr>
        <w:t>开</w:t>
      </w:r>
      <w:r>
        <w:rPr>
          <w:sz w:val="24"/>
        </w:rPr>
        <w:t>卷</w:t>
      </w:r>
      <w:r>
        <w:rPr>
          <w:rFonts w:hint="eastAsia"/>
          <w:sz w:val="24"/>
        </w:rPr>
        <w:t>考试方式</w:t>
      </w:r>
      <w:r>
        <w:rPr>
          <w:sz w:val="24"/>
        </w:rPr>
        <w:t>。</w:t>
      </w:r>
    </w:p>
    <w:p>
      <w:pPr>
        <w:spacing w:line="360" w:lineRule="auto"/>
        <w:ind w:firstLine="480" w:firstLineChars="200"/>
        <w:rPr>
          <w:sz w:val="24"/>
        </w:rPr>
      </w:pPr>
      <w:r>
        <w:rPr>
          <w:rFonts w:hint="eastAsia"/>
          <w:sz w:val="24"/>
        </w:rPr>
        <w:t>（二）</w:t>
      </w:r>
      <w:r>
        <w:rPr>
          <w:sz w:val="24"/>
        </w:rPr>
        <w:t>课程</w:t>
      </w:r>
      <w:r>
        <w:rPr>
          <w:rFonts w:hint="eastAsia"/>
          <w:sz w:val="24"/>
        </w:rPr>
        <w:t>总评</w:t>
      </w:r>
      <w:r>
        <w:rPr>
          <w:sz w:val="24"/>
        </w:rPr>
        <w:t>成绩=平时成绩×</w:t>
      </w:r>
      <w:r>
        <w:rPr>
          <w:rFonts w:hint="eastAsia"/>
          <w:sz w:val="24"/>
        </w:rPr>
        <w:t>30</w:t>
      </w:r>
      <w:r>
        <w:rPr>
          <w:sz w:val="24"/>
        </w:rPr>
        <w:t>% +</w:t>
      </w:r>
      <w:r>
        <w:rPr>
          <w:rFonts w:hint="eastAsia"/>
          <w:sz w:val="24"/>
        </w:rPr>
        <w:t>实验报告</w:t>
      </w:r>
      <w:r>
        <w:rPr>
          <w:sz w:val="24"/>
        </w:rPr>
        <w:t>×</w:t>
      </w:r>
      <w:r>
        <w:rPr>
          <w:rFonts w:hint="eastAsia"/>
          <w:sz w:val="24"/>
        </w:rPr>
        <w:t>30</w:t>
      </w:r>
      <w:r>
        <w:rPr>
          <w:sz w:val="24"/>
        </w:rPr>
        <w:t xml:space="preserve">% </w:t>
      </w:r>
      <w:r>
        <w:rPr>
          <w:rFonts w:hint="eastAsia"/>
          <w:sz w:val="24"/>
        </w:rPr>
        <w:t>+</w:t>
      </w:r>
      <w:r>
        <w:rPr>
          <w:sz w:val="24"/>
        </w:rPr>
        <w:t>期末考试成绩×</w:t>
      </w:r>
      <w:r>
        <w:rPr>
          <w:rFonts w:hint="eastAsia"/>
          <w:sz w:val="24"/>
        </w:rPr>
        <w:t>40</w:t>
      </w:r>
      <w:r>
        <w:rPr>
          <w:sz w:val="24"/>
        </w:rPr>
        <w:t>%。具体内容和比例</w:t>
      </w:r>
      <w:r>
        <w:rPr>
          <w:rFonts w:hint="eastAsia"/>
          <w:sz w:val="24"/>
        </w:rPr>
        <w:t>如表所示。</w:t>
      </w:r>
    </w:p>
    <w:tbl>
      <w:tblPr>
        <w:tblStyle w:val="10"/>
        <w:tblpPr w:leftFromText="180" w:rightFromText="180" w:vertAnchor="text" w:horzAnchor="margin" w:tblpXSpec="center" w:tblpY="244"/>
        <w:tblW w:w="91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715"/>
        <w:gridCol w:w="1560"/>
        <w:gridCol w:w="3260"/>
        <w:gridCol w:w="638"/>
        <w:gridCol w:w="638"/>
        <w:gridCol w:w="638"/>
        <w:gridCol w:w="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vMerge w:val="restart"/>
            <w:shd w:val="clear" w:color="auto" w:fill="FFFFFF"/>
            <w:noWrap w:val="0"/>
            <w:tcMar>
              <w:left w:w="57" w:type="dxa"/>
              <w:right w:w="57" w:type="dxa"/>
            </w:tcMar>
            <w:vAlign w:val="center"/>
          </w:tcPr>
          <w:p>
            <w:pPr>
              <w:pStyle w:val="14"/>
              <w:jc w:val="center"/>
              <w:rPr>
                <w:rFonts w:eastAsia="宋体"/>
              </w:rPr>
            </w:pPr>
            <w:r>
              <w:rPr>
                <w:rFonts w:hint="eastAsia" w:eastAsia="宋体"/>
              </w:rPr>
              <w:t>考核环节</w:t>
            </w:r>
          </w:p>
        </w:tc>
        <w:tc>
          <w:tcPr>
            <w:tcW w:w="715" w:type="dxa"/>
            <w:vMerge w:val="restart"/>
            <w:shd w:val="clear" w:color="auto" w:fill="FFFFFF"/>
            <w:noWrap w:val="0"/>
            <w:vAlign w:val="center"/>
          </w:tcPr>
          <w:p>
            <w:pPr>
              <w:pStyle w:val="14"/>
              <w:jc w:val="center"/>
              <w:rPr>
                <w:rFonts w:eastAsia="宋体"/>
              </w:rPr>
            </w:pPr>
            <w:r>
              <w:rPr>
                <w:rFonts w:hint="eastAsia" w:eastAsia="宋体"/>
              </w:rPr>
              <w:t>成绩比例</w:t>
            </w:r>
          </w:p>
        </w:tc>
        <w:tc>
          <w:tcPr>
            <w:tcW w:w="4820" w:type="dxa"/>
            <w:gridSpan w:val="2"/>
            <w:vMerge w:val="restart"/>
            <w:shd w:val="clear" w:color="auto" w:fill="FFFFFF"/>
            <w:noWrap w:val="0"/>
            <w:vAlign w:val="center"/>
          </w:tcPr>
          <w:p>
            <w:pPr>
              <w:pStyle w:val="14"/>
              <w:jc w:val="center"/>
              <w:rPr>
                <w:rFonts w:eastAsia="宋体"/>
              </w:rPr>
            </w:pPr>
            <w:r>
              <w:rPr>
                <w:rFonts w:eastAsia="宋体"/>
              </w:rPr>
              <w:t>考核</w:t>
            </w:r>
            <w:r>
              <w:rPr>
                <w:rFonts w:hint="eastAsia" w:eastAsia="宋体"/>
              </w:rPr>
              <w:t>内容与</w:t>
            </w:r>
            <w:r>
              <w:rPr>
                <w:rFonts w:eastAsia="宋体"/>
              </w:rPr>
              <w:t>评价细则</w:t>
            </w:r>
          </w:p>
        </w:tc>
        <w:tc>
          <w:tcPr>
            <w:tcW w:w="2552" w:type="dxa"/>
            <w:gridSpan w:val="4"/>
            <w:shd w:val="clear" w:color="auto" w:fill="FFFFFF"/>
            <w:noWrap w:val="0"/>
            <w:vAlign w:val="center"/>
          </w:tcPr>
          <w:p>
            <w:pPr>
              <w:pStyle w:val="14"/>
              <w:jc w:val="center"/>
              <w:rPr>
                <w:rFonts w:eastAsia="宋体"/>
              </w:rPr>
            </w:pPr>
            <w:r>
              <w:rPr>
                <w:rFonts w:hint="eastAsia" w:eastAsia="宋体"/>
              </w:rPr>
              <w:t>支撑目标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vMerge w:val="continue"/>
            <w:shd w:val="clear" w:color="auto" w:fill="FFFFFF"/>
            <w:noWrap w:val="0"/>
            <w:tcMar>
              <w:left w:w="57" w:type="dxa"/>
              <w:right w:w="57" w:type="dxa"/>
            </w:tcMar>
            <w:vAlign w:val="center"/>
          </w:tcPr>
          <w:p>
            <w:pPr>
              <w:pStyle w:val="14"/>
              <w:jc w:val="center"/>
              <w:rPr>
                <w:rFonts w:eastAsia="宋体"/>
              </w:rPr>
            </w:pPr>
          </w:p>
        </w:tc>
        <w:tc>
          <w:tcPr>
            <w:tcW w:w="715" w:type="dxa"/>
            <w:vMerge w:val="continue"/>
            <w:shd w:val="clear" w:color="auto" w:fill="FFFFFF"/>
            <w:noWrap w:val="0"/>
            <w:vAlign w:val="center"/>
          </w:tcPr>
          <w:p>
            <w:pPr>
              <w:pStyle w:val="14"/>
              <w:jc w:val="center"/>
              <w:rPr>
                <w:rFonts w:eastAsia="宋体"/>
              </w:rPr>
            </w:pPr>
          </w:p>
        </w:tc>
        <w:tc>
          <w:tcPr>
            <w:tcW w:w="4820" w:type="dxa"/>
            <w:gridSpan w:val="2"/>
            <w:vMerge w:val="continue"/>
            <w:shd w:val="clear" w:color="auto" w:fill="FFFFFF"/>
            <w:noWrap w:val="0"/>
            <w:vAlign w:val="center"/>
          </w:tcPr>
          <w:p>
            <w:pPr>
              <w:pStyle w:val="14"/>
              <w:jc w:val="center"/>
              <w:rPr>
                <w:rFonts w:eastAsia="宋体"/>
              </w:rPr>
            </w:pPr>
          </w:p>
        </w:tc>
        <w:tc>
          <w:tcPr>
            <w:tcW w:w="638" w:type="dxa"/>
            <w:shd w:val="clear" w:color="auto" w:fill="FFFFFF"/>
            <w:noWrap w:val="0"/>
            <w:vAlign w:val="center"/>
          </w:tcPr>
          <w:p>
            <w:pPr>
              <w:pStyle w:val="14"/>
              <w:jc w:val="center"/>
              <w:rPr>
                <w:rFonts w:eastAsia="宋体"/>
              </w:rPr>
            </w:pPr>
            <w:r>
              <w:rPr>
                <w:rFonts w:hint="eastAsia" w:eastAsia="宋体"/>
              </w:rPr>
              <w:t>目标1</w:t>
            </w:r>
          </w:p>
        </w:tc>
        <w:tc>
          <w:tcPr>
            <w:tcW w:w="638" w:type="dxa"/>
            <w:shd w:val="clear" w:color="auto" w:fill="FFFFFF"/>
            <w:noWrap w:val="0"/>
            <w:vAlign w:val="center"/>
          </w:tcPr>
          <w:p>
            <w:pPr>
              <w:pStyle w:val="14"/>
              <w:jc w:val="center"/>
              <w:rPr>
                <w:rFonts w:eastAsia="宋体"/>
              </w:rPr>
            </w:pPr>
            <w:r>
              <w:rPr>
                <w:rFonts w:hint="eastAsia" w:eastAsia="宋体"/>
              </w:rPr>
              <w:t>目标2</w:t>
            </w:r>
          </w:p>
        </w:tc>
        <w:tc>
          <w:tcPr>
            <w:tcW w:w="638" w:type="dxa"/>
            <w:shd w:val="clear" w:color="auto" w:fill="FFFFFF"/>
            <w:noWrap w:val="0"/>
            <w:vAlign w:val="center"/>
          </w:tcPr>
          <w:p>
            <w:pPr>
              <w:pStyle w:val="14"/>
              <w:jc w:val="center"/>
              <w:rPr>
                <w:rFonts w:eastAsia="宋体"/>
              </w:rPr>
            </w:pPr>
            <w:r>
              <w:rPr>
                <w:rFonts w:hint="eastAsia" w:eastAsia="宋体"/>
              </w:rPr>
              <w:t>目标3</w:t>
            </w:r>
          </w:p>
        </w:tc>
        <w:tc>
          <w:tcPr>
            <w:tcW w:w="638" w:type="dxa"/>
            <w:shd w:val="clear" w:color="auto" w:fill="FFFFFF"/>
            <w:noWrap w:val="0"/>
            <w:vAlign w:val="center"/>
          </w:tcPr>
          <w:p>
            <w:pPr>
              <w:pStyle w:val="14"/>
              <w:jc w:val="center"/>
              <w:rPr>
                <w:rFonts w:eastAsia="宋体"/>
              </w:rPr>
            </w:pPr>
            <w:r>
              <w:rPr>
                <w:rFonts w:hint="eastAsia" w:eastAsia="宋体"/>
              </w:rPr>
              <w:t>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shd w:val="clear" w:color="auto" w:fill="FFFFFF"/>
            <w:noWrap w:val="0"/>
            <w:tcMar>
              <w:left w:w="57" w:type="dxa"/>
              <w:right w:w="57" w:type="dxa"/>
            </w:tcMar>
            <w:vAlign w:val="center"/>
          </w:tcPr>
          <w:p>
            <w:pPr>
              <w:pStyle w:val="14"/>
              <w:jc w:val="center"/>
              <w:rPr>
                <w:rFonts w:eastAsia="宋体"/>
              </w:rPr>
            </w:pPr>
            <w:r>
              <w:rPr>
                <w:rFonts w:hint="eastAsia" w:eastAsia="宋体"/>
              </w:rPr>
              <w:t>平时表现</w:t>
            </w:r>
          </w:p>
        </w:tc>
        <w:tc>
          <w:tcPr>
            <w:tcW w:w="715" w:type="dxa"/>
            <w:shd w:val="clear" w:color="auto" w:fill="FFFFFF"/>
            <w:noWrap w:val="0"/>
            <w:vAlign w:val="center"/>
          </w:tcPr>
          <w:p>
            <w:pPr>
              <w:pStyle w:val="14"/>
              <w:jc w:val="center"/>
              <w:rPr>
                <w:rFonts w:eastAsia="宋体"/>
              </w:rPr>
            </w:pPr>
            <w:r>
              <w:rPr>
                <w:rFonts w:hint="eastAsia" w:eastAsia="宋体"/>
              </w:rPr>
              <w:t>30%</w:t>
            </w:r>
          </w:p>
        </w:tc>
        <w:tc>
          <w:tcPr>
            <w:tcW w:w="4820" w:type="dxa"/>
            <w:gridSpan w:val="2"/>
            <w:shd w:val="clear" w:color="auto" w:fill="FFFFFF"/>
            <w:noWrap w:val="0"/>
            <w:vAlign w:val="center"/>
          </w:tcPr>
          <w:p>
            <w:pPr>
              <w:pStyle w:val="14"/>
              <w:rPr>
                <w:rFonts w:eastAsia="宋体"/>
              </w:rPr>
            </w:pPr>
            <w:r>
              <w:rPr>
                <w:rFonts w:hint="eastAsia" w:eastAsia="宋体"/>
              </w:rPr>
              <w:t>课堂不定期点名，考核能否按时到勤，对于旷课、迟到和早退者适当扣分，根据平时课堂笔记、课堂回答问题等情况确定平时表现分数。</w:t>
            </w:r>
          </w:p>
        </w:tc>
        <w:tc>
          <w:tcPr>
            <w:tcW w:w="638" w:type="dxa"/>
            <w:shd w:val="clear" w:color="auto" w:fill="FFFFFF"/>
            <w:noWrap w:val="0"/>
            <w:vAlign w:val="center"/>
          </w:tcPr>
          <w:p>
            <w:pPr>
              <w:pStyle w:val="14"/>
              <w:jc w:val="center"/>
              <w:rPr>
                <w:rFonts w:eastAsia="宋体"/>
                <w:highlight w:val="yellow"/>
              </w:rPr>
            </w:pPr>
            <w:r>
              <w:rPr>
                <w:rFonts w:hint="eastAsia" w:eastAsia="宋体"/>
              </w:rPr>
              <w:t>15%</w:t>
            </w:r>
          </w:p>
        </w:tc>
        <w:tc>
          <w:tcPr>
            <w:tcW w:w="638" w:type="dxa"/>
            <w:shd w:val="clear" w:color="auto" w:fill="FFFFFF"/>
            <w:noWrap w:val="0"/>
            <w:vAlign w:val="center"/>
          </w:tcPr>
          <w:p>
            <w:pPr>
              <w:pStyle w:val="14"/>
              <w:jc w:val="center"/>
              <w:rPr>
                <w:rFonts w:eastAsia="宋体"/>
                <w:highlight w:val="yellow"/>
              </w:rPr>
            </w:pPr>
            <w:r>
              <w:rPr>
                <w:rFonts w:hint="eastAsia" w:eastAsia="宋体"/>
              </w:rPr>
              <w:t>15%</w:t>
            </w:r>
          </w:p>
        </w:tc>
        <w:tc>
          <w:tcPr>
            <w:tcW w:w="638" w:type="dxa"/>
            <w:shd w:val="clear" w:color="auto" w:fill="FFFFFF"/>
            <w:noWrap w:val="0"/>
            <w:vAlign w:val="center"/>
          </w:tcPr>
          <w:p>
            <w:pPr>
              <w:pStyle w:val="14"/>
              <w:jc w:val="center"/>
              <w:rPr>
                <w:rFonts w:eastAsia="宋体"/>
              </w:rPr>
            </w:pPr>
          </w:p>
        </w:tc>
        <w:tc>
          <w:tcPr>
            <w:tcW w:w="638" w:type="dxa"/>
            <w:shd w:val="clear" w:color="auto" w:fill="FFFFFF"/>
            <w:noWrap w:val="0"/>
            <w:vAlign w:val="center"/>
          </w:tcPr>
          <w:p>
            <w:pPr>
              <w:pStyle w:val="14"/>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043" w:type="dxa"/>
            <w:vMerge w:val="restart"/>
            <w:shd w:val="clear" w:color="auto" w:fill="auto"/>
            <w:noWrap w:val="0"/>
            <w:tcMar>
              <w:left w:w="57" w:type="dxa"/>
              <w:right w:w="57" w:type="dxa"/>
            </w:tcMar>
            <w:vAlign w:val="center"/>
          </w:tcPr>
          <w:p>
            <w:pPr>
              <w:pStyle w:val="14"/>
              <w:jc w:val="center"/>
              <w:rPr>
                <w:rFonts w:eastAsia="宋体"/>
              </w:rPr>
            </w:pPr>
            <w:r>
              <w:rPr>
                <w:rFonts w:eastAsia="宋体"/>
              </w:rPr>
              <w:t>作</w:t>
            </w:r>
            <w:r>
              <w:rPr>
                <w:rFonts w:hint="eastAsia" w:eastAsia="宋体"/>
              </w:rPr>
              <w:t xml:space="preserve">    </w:t>
            </w:r>
            <w:r>
              <w:rPr>
                <w:rFonts w:eastAsia="宋体"/>
              </w:rPr>
              <w:t>业</w:t>
            </w:r>
          </w:p>
        </w:tc>
        <w:tc>
          <w:tcPr>
            <w:tcW w:w="715" w:type="dxa"/>
            <w:vMerge w:val="restart"/>
            <w:shd w:val="clear" w:color="auto" w:fill="auto"/>
            <w:noWrap w:val="0"/>
            <w:vAlign w:val="center"/>
          </w:tcPr>
          <w:p>
            <w:pPr>
              <w:pStyle w:val="14"/>
              <w:jc w:val="center"/>
              <w:rPr>
                <w:rFonts w:eastAsia="宋体"/>
              </w:rPr>
            </w:pPr>
            <w:r>
              <w:rPr>
                <w:rFonts w:hint="eastAsia" w:eastAsia="宋体"/>
              </w:rPr>
              <w:t>30</w:t>
            </w:r>
            <w:r>
              <w:rPr>
                <w:rFonts w:eastAsia="宋体"/>
              </w:rPr>
              <w:t>%</w:t>
            </w:r>
          </w:p>
        </w:tc>
        <w:tc>
          <w:tcPr>
            <w:tcW w:w="4820" w:type="dxa"/>
            <w:gridSpan w:val="2"/>
            <w:shd w:val="clear" w:color="auto" w:fill="auto"/>
            <w:noWrap w:val="0"/>
            <w:vAlign w:val="center"/>
          </w:tcPr>
          <w:p>
            <w:pPr>
              <w:pStyle w:val="14"/>
              <w:rPr>
                <w:rFonts w:eastAsia="宋体"/>
                <w:szCs w:val="21"/>
              </w:rPr>
            </w:pPr>
            <w:r>
              <w:rPr>
                <w:rFonts w:hint="eastAsia" w:eastAsia="宋体"/>
                <w:szCs w:val="21"/>
              </w:rPr>
              <w:t>每个实验对应的预习报告内容完整情况，书写工整程度，预习报告检查中的表现，实验过程中的数据记录等情况做记录并百分制打分。</w:t>
            </w:r>
          </w:p>
        </w:tc>
        <w:tc>
          <w:tcPr>
            <w:tcW w:w="638" w:type="dxa"/>
            <w:shd w:val="clear" w:color="auto" w:fill="FFFFFF"/>
            <w:noWrap w:val="0"/>
            <w:vAlign w:val="center"/>
          </w:tcPr>
          <w:p>
            <w:pPr>
              <w:pStyle w:val="14"/>
              <w:jc w:val="center"/>
              <w:rPr>
                <w:rFonts w:eastAsia="宋体"/>
                <w:color w:val="000000"/>
                <w:szCs w:val="21"/>
              </w:rPr>
            </w:pPr>
            <w:r>
              <w:rPr>
                <w:rFonts w:hint="eastAsia" w:eastAsia="宋体"/>
                <w:color w:val="000000"/>
                <w:szCs w:val="21"/>
              </w:rPr>
              <w:t>10%</w:t>
            </w:r>
          </w:p>
        </w:tc>
        <w:tc>
          <w:tcPr>
            <w:tcW w:w="638" w:type="dxa"/>
            <w:shd w:val="clear" w:color="auto" w:fill="FFFFFF"/>
            <w:noWrap w:val="0"/>
            <w:vAlign w:val="center"/>
          </w:tcPr>
          <w:p>
            <w:pPr>
              <w:pStyle w:val="14"/>
              <w:jc w:val="center"/>
              <w:rPr>
                <w:rFonts w:eastAsia="宋体"/>
                <w:color w:val="000000"/>
                <w:szCs w:val="21"/>
              </w:rPr>
            </w:pPr>
            <w:r>
              <w:rPr>
                <w:rFonts w:hint="eastAsia" w:eastAsia="宋体"/>
                <w:color w:val="000000"/>
                <w:szCs w:val="21"/>
              </w:rPr>
              <w:t>5%</w:t>
            </w:r>
          </w:p>
        </w:tc>
        <w:tc>
          <w:tcPr>
            <w:tcW w:w="638"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043" w:type="dxa"/>
            <w:vMerge w:val="continue"/>
            <w:shd w:val="clear" w:color="auto" w:fill="auto"/>
            <w:noWrap w:val="0"/>
            <w:tcMar>
              <w:left w:w="57" w:type="dxa"/>
              <w:right w:w="57" w:type="dxa"/>
            </w:tcMar>
            <w:vAlign w:val="center"/>
          </w:tcPr>
          <w:p>
            <w:pPr>
              <w:pStyle w:val="14"/>
              <w:jc w:val="center"/>
              <w:rPr>
                <w:rFonts w:eastAsia="宋体"/>
              </w:rPr>
            </w:pPr>
          </w:p>
        </w:tc>
        <w:tc>
          <w:tcPr>
            <w:tcW w:w="715" w:type="dxa"/>
            <w:vMerge w:val="continue"/>
            <w:shd w:val="clear" w:color="auto" w:fill="auto"/>
            <w:noWrap w:val="0"/>
            <w:vAlign w:val="center"/>
          </w:tcPr>
          <w:p>
            <w:pPr>
              <w:pStyle w:val="14"/>
              <w:jc w:val="center"/>
              <w:rPr>
                <w:rFonts w:eastAsia="宋体"/>
              </w:rPr>
            </w:pPr>
          </w:p>
        </w:tc>
        <w:tc>
          <w:tcPr>
            <w:tcW w:w="4820" w:type="dxa"/>
            <w:gridSpan w:val="2"/>
            <w:shd w:val="clear" w:color="auto" w:fill="auto"/>
            <w:noWrap w:val="0"/>
            <w:vAlign w:val="center"/>
          </w:tcPr>
          <w:p>
            <w:pPr>
              <w:pStyle w:val="14"/>
              <w:rPr>
                <w:rFonts w:eastAsia="宋体"/>
                <w:color w:val="000000"/>
                <w:szCs w:val="21"/>
              </w:rPr>
            </w:pPr>
            <w:r>
              <w:rPr>
                <w:rFonts w:hint="eastAsia" w:eastAsia="宋体"/>
                <w:szCs w:val="21"/>
              </w:rPr>
              <w:t>每个实验对应的实验数据处理，误差分析，思考题，考核学生对每节课知识点的理解和掌握度。对每次实验报告完成情况做记录并百分制打分。</w:t>
            </w:r>
          </w:p>
        </w:tc>
        <w:tc>
          <w:tcPr>
            <w:tcW w:w="638" w:type="dxa"/>
            <w:shd w:val="clear" w:color="auto" w:fill="FFFFFF"/>
            <w:noWrap w:val="0"/>
            <w:vAlign w:val="center"/>
          </w:tcPr>
          <w:p>
            <w:pPr>
              <w:pStyle w:val="14"/>
              <w:jc w:val="center"/>
              <w:rPr>
                <w:rFonts w:eastAsia="宋体"/>
                <w:color w:val="000000"/>
                <w:szCs w:val="21"/>
              </w:rPr>
            </w:pPr>
            <w:r>
              <w:rPr>
                <w:rFonts w:hint="eastAsia" w:eastAsia="宋体"/>
                <w:color w:val="000000"/>
                <w:szCs w:val="21"/>
              </w:rPr>
              <w:t>5%</w:t>
            </w:r>
          </w:p>
        </w:tc>
        <w:tc>
          <w:tcPr>
            <w:tcW w:w="638" w:type="dxa"/>
            <w:shd w:val="clear" w:color="auto" w:fill="FFFFFF"/>
            <w:noWrap w:val="0"/>
            <w:vAlign w:val="center"/>
          </w:tcPr>
          <w:p>
            <w:pPr>
              <w:pStyle w:val="14"/>
              <w:jc w:val="center"/>
              <w:rPr>
                <w:rFonts w:eastAsia="宋体"/>
                <w:color w:val="000000"/>
                <w:szCs w:val="21"/>
              </w:rPr>
            </w:pPr>
            <w:r>
              <w:rPr>
                <w:rFonts w:hint="eastAsia" w:eastAsia="宋体"/>
                <w:color w:val="000000"/>
                <w:szCs w:val="21"/>
              </w:rPr>
              <w:t>10%</w:t>
            </w:r>
          </w:p>
        </w:tc>
        <w:tc>
          <w:tcPr>
            <w:tcW w:w="638"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043" w:type="dxa"/>
            <w:vMerge w:val="restart"/>
            <w:shd w:val="clear" w:color="auto" w:fill="auto"/>
            <w:noWrap w:val="0"/>
            <w:tcMar>
              <w:left w:w="57" w:type="dxa"/>
              <w:right w:w="57" w:type="dxa"/>
            </w:tcMar>
            <w:vAlign w:val="center"/>
          </w:tcPr>
          <w:p>
            <w:pPr>
              <w:pStyle w:val="14"/>
              <w:jc w:val="center"/>
              <w:rPr>
                <w:rFonts w:eastAsia="宋体"/>
              </w:rPr>
            </w:pPr>
            <w:r>
              <w:rPr>
                <w:rFonts w:eastAsia="宋体"/>
              </w:rPr>
              <w:t>期末</w:t>
            </w:r>
            <w:r>
              <w:rPr>
                <w:rFonts w:hint="eastAsia" w:eastAsia="宋体"/>
              </w:rPr>
              <w:t>试卷</w:t>
            </w:r>
          </w:p>
        </w:tc>
        <w:tc>
          <w:tcPr>
            <w:tcW w:w="715" w:type="dxa"/>
            <w:vMerge w:val="restart"/>
            <w:shd w:val="clear" w:color="auto" w:fill="auto"/>
            <w:noWrap w:val="0"/>
            <w:vAlign w:val="center"/>
          </w:tcPr>
          <w:p>
            <w:pPr>
              <w:pStyle w:val="14"/>
              <w:jc w:val="center"/>
              <w:rPr>
                <w:rFonts w:eastAsia="宋体"/>
              </w:rPr>
            </w:pPr>
            <w:r>
              <w:rPr>
                <w:rFonts w:hint="eastAsia" w:eastAsia="宋体"/>
              </w:rPr>
              <w:t>40</w:t>
            </w:r>
            <w:r>
              <w:rPr>
                <w:rFonts w:eastAsia="宋体"/>
              </w:rPr>
              <w:t>%</w:t>
            </w:r>
            <w:r>
              <w:rPr>
                <w:rFonts w:hint="eastAsia" w:eastAsia="宋体"/>
              </w:rPr>
              <w:t xml:space="preserve"> </w:t>
            </w:r>
          </w:p>
        </w:tc>
        <w:tc>
          <w:tcPr>
            <w:tcW w:w="1560" w:type="dxa"/>
            <w:tcBorders>
              <w:left w:val="single" w:color="auto" w:sz="4" w:space="0"/>
            </w:tcBorders>
            <w:shd w:val="clear" w:color="auto" w:fill="auto"/>
            <w:noWrap w:val="0"/>
            <w:vAlign w:val="center"/>
          </w:tcPr>
          <w:p>
            <w:pPr>
              <w:pStyle w:val="14"/>
              <w:jc w:val="center"/>
              <w:rPr>
                <w:rFonts w:eastAsia="宋体"/>
                <w:color w:val="000000"/>
                <w:szCs w:val="21"/>
              </w:rPr>
            </w:pPr>
            <w:r>
              <w:rPr>
                <w:rFonts w:hint="eastAsia" w:eastAsia="宋体"/>
                <w:color w:val="000000"/>
                <w:szCs w:val="21"/>
              </w:rPr>
              <w:t>题型</w:t>
            </w:r>
          </w:p>
        </w:tc>
        <w:tc>
          <w:tcPr>
            <w:tcW w:w="3260" w:type="dxa"/>
            <w:tcBorders>
              <w:left w:val="single" w:color="auto" w:sz="4" w:space="0"/>
            </w:tcBorders>
            <w:shd w:val="clear" w:color="auto" w:fill="auto"/>
            <w:noWrap w:val="0"/>
            <w:vAlign w:val="center"/>
          </w:tcPr>
          <w:p>
            <w:pPr>
              <w:widowControl/>
              <w:jc w:val="center"/>
            </w:pPr>
            <w:r>
              <w:rPr>
                <w:rFonts w:hint="eastAsia"/>
                <w:color w:val="000000"/>
                <w:szCs w:val="21"/>
              </w:rPr>
              <w:t>考核内容及相应试题</w:t>
            </w:r>
          </w:p>
        </w:tc>
        <w:tc>
          <w:tcPr>
            <w:tcW w:w="2552" w:type="dxa"/>
            <w:gridSpan w:val="4"/>
            <w:tcBorders>
              <w:tl2br w:val="single" w:color="auto" w:sz="4" w:space="0"/>
            </w:tcBorders>
            <w:shd w:val="clear" w:color="auto" w:fill="FFFFFF"/>
            <w:noWrap w:val="0"/>
            <w:vAlign w:val="top"/>
          </w:tcPr>
          <w:p>
            <w:pPr>
              <w:pStyle w:val="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noWrap w:val="0"/>
            <w:tcMar>
              <w:left w:w="57" w:type="dxa"/>
              <w:right w:w="57" w:type="dxa"/>
            </w:tcMar>
            <w:vAlign w:val="center"/>
          </w:tcPr>
          <w:p>
            <w:pPr>
              <w:pStyle w:val="14"/>
              <w:jc w:val="center"/>
              <w:rPr>
                <w:rFonts w:eastAsia="宋体"/>
              </w:rPr>
            </w:pPr>
          </w:p>
        </w:tc>
        <w:tc>
          <w:tcPr>
            <w:tcW w:w="715" w:type="dxa"/>
            <w:vMerge w:val="continue"/>
            <w:shd w:val="clear" w:color="auto" w:fill="auto"/>
            <w:noWrap w:val="0"/>
            <w:vAlign w:val="center"/>
          </w:tcPr>
          <w:p>
            <w:pPr>
              <w:pStyle w:val="14"/>
              <w:jc w:val="center"/>
              <w:rPr>
                <w:rFonts w:eastAsia="宋体"/>
              </w:rPr>
            </w:pPr>
          </w:p>
        </w:tc>
        <w:tc>
          <w:tcPr>
            <w:tcW w:w="1560" w:type="dxa"/>
            <w:tcBorders>
              <w:left w:val="single" w:color="auto" w:sz="4" w:space="0"/>
            </w:tcBorders>
            <w:shd w:val="clear" w:color="auto" w:fill="auto"/>
            <w:noWrap w:val="0"/>
            <w:vAlign w:val="center"/>
          </w:tcPr>
          <w:p>
            <w:pPr>
              <w:pStyle w:val="14"/>
              <w:jc w:val="center"/>
              <w:rPr>
                <w:rFonts w:eastAsia="宋体"/>
                <w:color w:val="000000"/>
                <w:szCs w:val="21"/>
              </w:rPr>
            </w:pPr>
            <w:r>
              <w:rPr>
                <w:rFonts w:hint="eastAsia" w:eastAsia="宋体"/>
                <w:color w:val="000000"/>
                <w:szCs w:val="21"/>
              </w:rPr>
              <w:t>选择题</w:t>
            </w:r>
          </w:p>
        </w:tc>
        <w:tc>
          <w:tcPr>
            <w:tcW w:w="3260" w:type="dxa"/>
            <w:tcBorders>
              <w:left w:val="single" w:color="auto" w:sz="4" w:space="0"/>
            </w:tcBorders>
            <w:shd w:val="clear" w:color="auto" w:fill="auto"/>
            <w:noWrap w:val="0"/>
            <w:vAlign w:val="center"/>
          </w:tcPr>
          <w:p>
            <w:pPr>
              <w:pStyle w:val="14"/>
              <w:rPr>
                <w:rFonts w:eastAsia="宋体"/>
                <w:color w:val="000000"/>
                <w:szCs w:val="21"/>
              </w:rPr>
            </w:pPr>
            <w:r>
              <w:rPr>
                <w:rFonts w:hint="eastAsia" w:eastAsia="宋体"/>
                <w:color w:val="000000"/>
                <w:szCs w:val="21"/>
              </w:rPr>
              <w:t>主要考核物化实验的基本原理、操作方法和使用范围、仪器构造等</w:t>
            </w:r>
          </w:p>
        </w:tc>
        <w:tc>
          <w:tcPr>
            <w:tcW w:w="638" w:type="dxa"/>
            <w:shd w:val="clear" w:color="auto" w:fill="FFFFFF"/>
            <w:noWrap w:val="0"/>
            <w:vAlign w:val="center"/>
          </w:tcPr>
          <w:p>
            <w:pPr>
              <w:widowControl/>
              <w:jc w:val="center"/>
            </w:pPr>
            <w:r>
              <w:rPr>
                <w:rFonts w:hint="eastAsia"/>
              </w:rPr>
              <w:t>7%</w:t>
            </w:r>
          </w:p>
        </w:tc>
        <w:tc>
          <w:tcPr>
            <w:tcW w:w="638" w:type="dxa"/>
            <w:shd w:val="clear" w:color="auto" w:fill="FFFFFF"/>
            <w:noWrap w:val="0"/>
            <w:vAlign w:val="center"/>
          </w:tcPr>
          <w:p>
            <w:pPr>
              <w:widowControl/>
              <w:jc w:val="center"/>
            </w:pPr>
            <w:r>
              <w:rPr>
                <w:rFonts w:hint="eastAsia"/>
              </w:rPr>
              <w:t>7%</w:t>
            </w:r>
          </w:p>
        </w:tc>
        <w:tc>
          <w:tcPr>
            <w:tcW w:w="638" w:type="dxa"/>
            <w:shd w:val="clear" w:color="auto" w:fill="FFFFFF"/>
            <w:noWrap w:val="0"/>
            <w:vAlign w:val="center"/>
          </w:tcPr>
          <w:p>
            <w:pPr>
              <w:widowControl/>
              <w:jc w:val="center"/>
            </w:pPr>
          </w:p>
        </w:tc>
        <w:tc>
          <w:tcPr>
            <w:tcW w:w="638" w:type="dxa"/>
            <w:shd w:val="clear" w:color="auto" w:fill="FFFFFF"/>
            <w:noWrap w:val="0"/>
            <w:vAlign w:val="center"/>
          </w:tcPr>
          <w:p>
            <w:pPr>
              <w:widowControl/>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noWrap w:val="0"/>
            <w:tcMar>
              <w:left w:w="57" w:type="dxa"/>
              <w:right w:w="57" w:type="dxa"/>
            </w:tcMar>
            <w:vAlign w:val="center"/>
          </w:tcPr>
          <w:p>
            <w:pPr>
              <w:pStyle w:val="14"/>
              <w:jc w:val="center"/>
              <w:rPr>
                <w:rFonts w:eastAsia="宋体"/>
              </w:rPr>
            </w:pPr>
          </w:p>
        </w:tc>
        <w:tc>
          <w:tcPr>
            <w:tcW w:w="715" w:type="dxa"/>
            <w:vMerge w:val="continue"/>
            <w:shd w:val="clear" w:color="auto" w:fill="auto"/>
            <w:noWrap w:val="0"/>
            <w:vAlign w:val="center"/>
          </w:tcPr>
          <w:p>
            <w:pPr>
              <w:pStyle w:val="14"/>
              <w:jc w:val="center"/>
              <w:rPr>
                <w:rFonts w:eastAsia="宋体"/>
              </w:rPr>
            </w:pPr>
          </w:p>
        </w:tc>
        <w:tc>
          <w:tcPr>
            <w:tcW w:w="1560" w:type="dxa"/>
            <w:tcBorders>
              <w:left w:val="single" w:color="auto" w:sz="4" w:space="0"/>
            </w:tcBorders>
            <w:shd w:val="clear" w:color="auto" w:fill="auto"/>
            <w:noWrap w:val="0"/>
            <w:vAlign w:val="center"/>
          </w:tcPr>
          <w:p>
            <w:pPr>
              <w:pStyle w:val="14"/>
              <w:jc w:val="center"/>
              <w:rPr>
                <w:rFonts w:eastAsia="宋体"/>
                <w:color w:val="000000"/>
                <w:szCs w:val="21"/>
              </w:rPr>
            </w:pPr>
            <w:r>
              <w:rPr>
                <w:rFonts w:hint="eastAsia" w:eastAsia="宋体"/>
                <w:color w:val="000000"/>
                <w:szCs w:val="21"/>
              </w:rPr>
              <w:t>填空</w:t>
            </w:r>
            <w:r>
              <w:rPr>
                <w:rFonts w:eastAsia="宋体"/>
                <w:color w:val="000000"/>
                <w:szCs w:val="21"/>
              </w:rPr>
              <w:t>题</w:t>
            </w:r>
          </w:p>
        </w:tc>
        <w:tc>
          <w:tcPr>
            <w:tcW w:w="3260" w:type="dxa"/>
            <w:tcBorders>
              <w:left w:val="single" w:color="auto" w:sz="4" w:space="0"/>
            </w:tcBorders>
            <w:shd w:val="clear" w:color="auto" w:fill="auto"/>
            <w:noWrap w:val="0"/>
            <w:vAlign w:val="center"/>
          </w:tcPr>
          <w:p>
            <w:pPr>
              <w:pStyle w:val="14"/>
              <w:rPr>
                <w:rFonts w:eastAsia="宋体"/>
                <w:color w:val="000000"/>
                <w:szCs w:val="21"/>
              </w:rPr>
            </w:pPr>
            <w:r>
              <w:rPr>
                <w:rFonts w:hint="eastAsia" w:eastAsia="宋体"/>
                <w:color w:val="000000"/>
                <w:szCs w:val="21"/>
              </w:rPr>
              <w:t>主要考核物化实验的原理、操作方法和使用范围、仪器构造等</w:t>
            </w:r>
          </w:p>
        </w:tc>
        <w:tc>
          <w:tcPr>
            <w:tcW w:w="638" w:type="dxa"/>
            <w:shd w:val="clear" w:color="auto" w:fill="FFFFFF"/>
            <w:noWrap w:val="0"/>
            <w:vAlign w:val="center"/>
          </w:tcPr>
          <w:p>
            <w:pPr>
              <w:pStyle w:val="14"/>
              <w:jc w:val="center"/>
              <w:rPr>
                <w:rFonts w:eastAsia="宋体"/>
                <w:color w:val="000000"/>
                <w:szCs w:val="21"/>
              </w:rPr>
            </w:pPr>
            <w:r>
              <w:rPr>
                <w:rFonts w:hint="eastAsia"/>
              </w:rPr>
              <w:t>6%</w:t>
            </w:r>
          </w:p>
        </w:tc>
        <w:tc>
          <w:tcPr>
            <w:tcW w:w="638" w:type="dxa"/>
            <w:shd w:val="clear" w:color="auto" w:fill="FFFFFF"/>
            <w:noWrap w:val="0"/>
            <w:vAlign w:val="center"/>
          </w:tcPr>
          <w:p>
            <w:pPr>
              <w:pStyle w:val="14"/>
              <w:jc w:val="center"/>
              <w:rPr>
                <w:rFonts w:eastAsia="宋体"/>
                <w:color w:val="000000"/>
                <w:szCs w:val="21"/>
              </w:rPr>
            </w:pPr>
            <w:r>
              <w:rPr>
                <w:rFonts w:hint="eastAsia"/>
              </w:rPr>
              <w:t>6%</w:t>
            </w:r>
          </w:p>
        </w:tc>
        <w:tc>
          <w:tcPr>
            <w:tcW w:w="638"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noWrap w:val="0"/>
            <w:tcMar>
              <w:left w:w="57" w:type="dxa"/>
              <w:right w:w="57" w:type="dxa"/>
            </w:tcMar>
            <w:vAlign w:val="center"/>
          </w:tcPr>
          <w:p>
            <w:pPr>
              <w:pStyle w:val="14"/>
              <w:jc w:val="center"/>
              <w:rPr>
                <w:rFonts w:eastAsia="宋体"/>
              </w:rPr>
            </w:pPr>
          </w:p>
        </w:tc>
        <w:tc>
          <w:tcPr>
            <w:tcW w:w="715" w:type="dxa"/>
            <w:vMerge w:val="continue"/>
            <w:shd w:val="clear" w:color="auto" w:fill="auto"/>
            <w:noWrap w:val="0"/>
            <w:vAlign w:val="center"/>
          </w:tcPr>
          <w:p>
            <w:pPr>
              <w:pStyle w:val="14"/>
              <w:jc w:val="center"/>
              <w:rPr>
                <w:rFonts w:eastAsia="宋体"/>
              </w:rPr>
            </w:pPr>
          </w:p>
        </w:tc>
        <w:tc>
          <w:tcPr>
            <w:tcW w:w="1560" w:type="dxa"/>
            <w:tcBorders>
              <w:left w:val="single" w:color="auto" w:sz="4" w:space="0"/>
            </w:tcBorders>
            <w:shd w:val="clear" w:color="auto" w:fill="auto"/>
            <w:noWrap w:val="0"/>
            <w:vAlign w:val="center"/>
          </w:tcPr>
          <w:p>
            <w:pPr>
              <w:pStyle w:val="14"/>
              <w:jc w:val="center"/>
              <w:rPr>
                <w:rFonts w:eastAsia="宋体"/>
                <w:color w:val="000000"/>
                <w:szCs w:val="21"/>
              </w:rPr>
            </w:pPr>
            <w:r>
              <w:rPr>
                <w:rFonts w:hint="eastAsia" w:eastAsia="宋体"/>
                <w:color w:val="000000"/>
                <w:szCs w:val="21"/>
              </w:rPr>
              <w:t>简答</w:t>
            </w:r>
            <w:r>
              <w:rPr>
                <w:rFonts w:eastAsia="宋体"/>
                <w:color w:val="000000"/>
                <w:szCs w:val="21"/>
              </w:rPr>
              <w:t>题</w:t>
            </w:r>
          </w:p>
        </w:tc>
        <w:tc>
          <w:tcPr>
            <w:tcW w:w="3260" w:type="dxa"/>
            <w:tcBorders>
              <w:left w:val="single" w:color="auto" w:sz="4" w:space="0"/>
              <w:bottom w:val="single" w:color="auto" w:sz="4" w:space="0"/>
            </w:tcBorders>
            <w:shd w:val="clear" w:color="auto" w:fill="auto"/>
            <w:noWrap w:val="0"/>
            <w:vAlign w:val="center"/>
          </w:tcPr>
          <w:p>
            <w:pPr>
              <w:pStyle w:val="14"/>
              <w:rPr>
                <w:rFonts w:eastAsia="宋体"/>
                <w:color w:val="000000"/>
                <w:szCs w:val="21"/>
              </w:rPr>
            </w:pPr>
            <w:r>
              <w:rPr>
                <w:rFonts w:hint="eastAsia" w:eastAsia="宋体"/>
                <w:color w:val="000000"/>
                <w:szCs w:val="21"/>
              </w:rPr>
              <w:t>主要考核物理化学原理、操作方法和使用范围、仪器构造等</w:t>
            </w:r>
          </w:p>
        </w:tc>
        <w:tc>
          <w:tcPr>
            <w:tcW w:w="638" w:type="dxa"/>
            <w:shd w:val="clear" w:color="auto" w:fill="FFFFFF"/>
            <w:noWrap w:val="0"/>
            <w:vAlign w:val="center"/>
          </w:tcPr>
          <w:p>
            <w:pPr>
              <w:pStyle w:val="14"/>
              <w:jc w:val="center"/>
              <w:rPr>
                <w:rFonts w:eastAsia="宋体"/>
                <w:color w:val="000000"/>
                <w:szCs w:val="21"/>
              </w:rPr>
            </w:pPr>
            <w:r>
              <w:rPr>
                <w:rFonts w:hint="eastAsia"/>
              </w:rPr>
              <w:t>7%</w:t>
            </w:r>
          </w:p>
        </w:tc>
        <w:tc>
          <w:tcPr>
            <w:tcW w:w="638" w:type="dxa"/>
            <w:shd w:val="clear" w:color="auto" w:fill="FFFFFF"/>
            <w:noWrap w:val="0"/>
            <w:vAlign w:val="center"/>
          </w:tcPr>
          <w:p>
            <w:pPr>
              <w:pStyle w:val="14"/>
              <w:jc w:val="center"/>
              <w:rPr>
                <w:rFonts w:eastAsia="宋体"/>
                <w:color w:val="000000"/>
                <w:szCs w:val="21"/>
              </w:rPr>
            </w:pPr>
            <w:r>
              <w:rPr>
                <w:rFonts w:hint="eastAsia" w:eastAsia="宋体"/>
                <w:color w:val="000000"/>
                <w:szCs w:val="21"/>
              </w:rPr>
              <w:t>7%</w:t>
            </w:r>
          </w:p>
        </w:tc>
        <w:tc>
          <w:tcPr>
            <w:tcW w:w="638"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043" w:type="dxa"/>
            <w:shd w:val="clear" w:color="auto" w:fill="auto"/>
            <w:noWrap w:val="0"/>
            <w:tcMar>
              <w:left w:w="57" w:type="dxa"/>
              <w:right w:w="57" w:type="dxa"/>
            </w:tcMar>
            <w:vAlign w:val="center"/>
          </w:tcPr>
          <w:p>
            <w:pPr>
              <w:pStyle w:val="14"/>
              <w:jc w:val="center"/>
              <w:rPr>
                <w:rFonts w:eastAsia="宋体"/>
              </w:rPr>
            </w:pPr>
            <w:r>
              <w:rPr>
                <w:rFonts w:hint="eastAsia" w:eastAsia="宋体"/>
              </w:rPr>
              <w:t>合    计</w:t>
            </w:r>
          </w:p>
        </w:tc>
        <w:tc>
          <w:tcPr>
            <w:tcW w:w="715" w:type="dxa"/>
            <w:shd w:val="clear" w:color="auto" w:fill="auto"/>
            <w:noWrap w:val="0"/>
            <w:vAlign w:val="center"/>
          </w:tcPr>
          <w:p>
            <w:pPr>
              <w:pStyle w:val="14"/>
              <w:jc w:val="center"/>
              <w:rPr>
                <w:rFonts w:eastAsia="宋体"/>
              </w:rPr>
            </w:pPr>
            <w:r>
              <w:rPr>
                <w:rFonts w:hint="eastAsia" w:eastAsia="宋体"/>
              </w:rPr>
              <w:t>100%</w:t>
            </w:r>
          </w:p>
        </w:tc>
        <w:tc>
          <w:tcPr>
            <w:tcW w:w="4820" w:type="dxa"/>
            <w:gridSpan w:val="2"/>
            <w:tcBorders>
              <w:left w:val="single" w:color="auto" w:sz="4" w:space="0"/>
            </w:tcBorders>
            <w:shd w:val="clear" w:color="auto" w:fill="auto"/>
            <w:noWrap w:val="0"/>
            <w:vAlign w:val="center"/>
          </w:tcPr>
          <w:p>
            <w:pPr>
              <w:pStyle w:val="14"/>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r>
              <w:rPr>
                <w:rFonts w:hint="eastAsia" w:eastAsia="宋体"/>
                <w:color w:val="000000"/>
                <w:szCs w:val="21"/>
              </w:rPr>
              <w:t>50%</w:t>
            </w:r>
          </w:p>
        </w:tc>
        <w:tc>
          <w:tcPr>
            <w:tcW w:w="638" w:type="dxa"/>
            <w:shd w:val="clear" w:color="auto" w:fill="FFFFFF"/>
            <w:noWrap w:val="0"/>
            <w:vAlign w:val="center"/>
          </w:tcPr>
          <w:p>
            <w:pPr>
              <w:pStyle w:val="14"/>
              <w:jc w:val="center"/>
              <w:rPr>
                <w:rFonts w:eastAsia="宋体"/>
                <w:color w:val="000000"/>
                <w:szCs w:val="21"/>
              </w:rPr>
            </w:pPr>
            <w:r>
              <w:rPr>
                <w:rFonts w:hint="eastAsia" w:eastAsia="宋体"/>
                <w:color w:val="000000"/>
                <w:szCs w:val="21"/>
              </w:rPr>
              <w:t>50%</w:t>
            </w:r>
          </w:p>
        </w:tc>
        <w:tc>
          <w:tcPr>
            <w:tcW w:w="638"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r>
    </w:tbl>
    <w:p>
      <w:pPr>
        <w:spacing w:line="360" w:lineRule="auto"/>
        <w:rPr>
          <w:sz w:val="24"/>
          <w:szCs w:val="22"/>
        </w:rPr>
      </w:pPr>
      <w:r>
        <w:rPr>
          <w:rFonts w:hint="eastAsia"/>
          <w:sz w:val="24"/>
          <w:szCs w:val="22"/>
        </w:rPr>
        <w:t>备注：</w:t>
      </w:r>
      <w:r>
        <w:rPr>
          <w:sz w:val="24"/>
          <w:szCs w:val="22"/>
        </w:rPr>
        <w:t>课程目标达成度计算方法如下：</w:t>
      </w:r>
    </w:p>
    <w:p>
      <w:pPr>
        <w:spacing w:line="360" w:lineRule="auto"/>
        <w:jc w:val="center"/>
        <w:rPr>
          <w:sz w:val="24"/>
          <w:szCs w:val="22"/>
        </w:rPr>
      </w:pPr>
      <w:r>
        <w:rPr>
          <w:position w:val="-26"/>
          <w:sz w:val="24"/>
          <w:szCs w:val="22"/>
        </w:rPr>
        <w:object>
          <v:shape id="_x0000_i1027" o:spt="75" type="#_x0000_t75" style="height:32.5pt;width:337.15pt;" o:ole="t" filled="f" o:preferrelative="t" stroked="f" coordsize="21600,21600">
            <v:path/>
            <v:fill on="f" focussize="0,0"/>
            <v:stroke on="f"/>
            <v:imagedata r:id="rId20" o:title=""/>
            <o:lock v:ext="edit" aspectratio="t"/>
            <w10:wrap type="none"/>
            <w10:anchorlock/>
          </v:shape>
          <o:OLEObject Type="Embed" ProgID="Equation.DSMT4" ShapeID="_x0000_i1027" DrawAspect="Content" ObjectID="_1468075727" r:id="rId22">
            <o:LockedField>false</o:LockedField>
          </o:OLEObject>
        </w:object>
      </w:r>
    </w:p>
    <w:p>
      <w:pPr>
        <w:spacing w:line="360" w:lineRule="auto"/>
        <w:ind w:firstLine="562" w:firstLineChars="200"/>
        <w:rPr>
          <w:b/>
          <w:sz w:val="28"/>
          <w:szCs w:val="28"/>
        </w:rPr>
      </w:pPr>
      <w:r>
        <w:rPr>
          <w:rFonts w:hint="eastAsia"/>
          <w:b/>
          <w:sz w:val="28"/>
          <w:szCs w:val="28"/>
        </w:rPr>
        <w:t>六、有关说明</w:t>
      </w:r>
    </w:p>
    <w:p>
      <w:pPr>
        <w:spacing w:line="360" w:lineRule="auto"/>
        <w:ind w:firstLine="482" w:firstLineChars="200"/>
        <w:rPr>
          <w:rFonts w:hint="eastAsia"/>
          <w:b/>
          <w:bCs/>
          <w:color w:val="000000"/>
          <w:sz w:val="24"/>
        </w:rPr>
      </w:pPr>
      <w:r>
        <w:rPr>
          <w:rFonts w:hint="eastAsia"/>
          <w:b/>
          <w:bCs/>
          <w:color w:val="000000"/>
          <w:sz w:val="24"/>
        </w:rPr>
        <w:t>（一）持续改进</w:t>
      </w:r>
    </w:p>
    <w:p>
      <w:pPr>
        <w:spacing w:line="360" w:lineRule="auto"/>
        <w:ind w:firstLine="480" w:firstLineChars="200"/>
        <w:rPr>
          <w:rFonts w:hint="eastAsia"/>
          <w:color w:val="000000"/>
          <w:sz w:val="24"/>
        </w:rPr>
      </w:pPr>
      <w:r>
        <w:rPr>
          <w:rFonts w:hint="eastAsia"/>
          <w:color w:val="000000"/>
          <w:sz w:val="24"/>
        </w:rPr>
        <w:t>本课程根据学生实验预习环节、课堂讨论、实验环节、平时考核情况和学生、教学督导等反馈，及时对教学中不足之处进行改进，并在下一轮课程教学中改进提高，确保相应毕业要求指标点达成。</w:t>
      </w:r>
    </w:p>
    <w:p>
      <w:pPr>
        <w:spacing w:line="360" w:lineRule="auto"/>
        <w:ind w:firstLine="482" w:firstLineChars="200"/>
        <w:rPr>
          <w:rFonts w:hint="eastAsia"/>
          <w:b/>
          <w:bCs/>
          <w:color w:val="000000"/>
          <w:sz w:val="24"/>
        </w:rPr>
      </w:pPr>
      <w:r>
        <w:rPr>
          <w:rFonts w:hint="eastAsia"/>
          <w:b/>
          <w:bCs/>
          <w:color w:val="000000"/>
          <w:sz w:val="24"/>
        </w:rPr>
        <w:t>（二）教材及参考资料</w:t>
      </w:r>
    </w:p>
    <w:p>
      <w:pPr>
        <w:tabs>
          <w:tab w:val="left" w:pos="900"/>
        </w:tabs>
        <w:spacing w:line="400" w:lineRule="exact"/>
        <w:ind w:firstLine="480" w:firstLineChars="200"/>
        <w:rPr>
          <w:rFonts w:hint="eastAsia"/>
          <w:sz w:val="24"/>
        </w:rPr>
      </w:pPr>
      <w:r>
        <w:rPr>
          <w:rFonts w:hint="eastAsia"/>
          <w:sz w:val="24"/>
        </w:rPr>
        <w:t>建议教材：</w:t>
      </w:r>
    </w:p>
    <w:p>
      <w:pPr>
        <w:tabs>
          <w:tab w:val="left" w:pos="900"/>
        </w:tabs>
        <w:spacing w:line="400" w:lineRule="exact"/>
        <w:ind w:firstLine="480" w:firstLineChars="200"/>
        <w:rPr>
          <w:rFonts w:hint="eastAsia"/>
          <w:sz w:val="24"/>
        </w:rPr>
      </w:pPr>
      <w:r>
        <w:rPr>
          <w:rFonts w:hint="eastAsia"/>
          <w:sz w:val="24"/>
        </w:rPr>
        <w:t xml:space="preserve">1. 复旦大学. </w:t>
      </w:r>
      <w:r>
        <w:rPr>
          <w:sz w:val="24"/>
        </w:rPr>
        <w:t>物理化学</w:t>
      </w:r>
      <w:r>
        <w:rPr>
          <w:rFonts w:hint="eastAsia"/>
          <w:sz w:val="24"/>
        </w:rPr>
        <w:t>实验</w:t>
      </w:r>
      <w:r>
        <w:rPr>
          <w:sz w:val="24"/>
        </w:rPr>
        <w:t>（第三版）</w:t>
      </w:r>
      <w:r>
        <w:rPr>
          <w:rFonts w:hint="eastAsia"/>
          <w:sz w:val="24"/>
        </w:rPr>
        <w:t>[M]. 北京：</w:t>
      </w:r>
      <w:r>
        <w:rPr>
          <w:sz w:val="24"/>
        </w:rPr>
        <w:t>高等教育出版社，20</w:t>
      </w:r>
      <w:r>
        <w:rPr>
          <w:rFonts w:hint="eastAsia"/>
          <w:sz w:val="24"/>
        </w:rPr>
        <w:t>04</w:t>
      </w:r>
    </w:p>
    <w:p>
      <w:pPr>
        <w:tabs>
          <w:tab w:val="left" w:pos="900"/>
        </w:tabs>
        <w:spacing w:line="400" w:lineRule="exact"/>
        <w:ind w:firstLine="480" w:firstLineChars="200"/>
        <w:rPr>
          <w:rFonts w:hint="eastAsia"/>
          <w:sz w:val="24"/>
        </w:rPr>
      </w:pPr>
      <w:r>
        <w:rPr>
          <w:rFonts w:hint="eastAsia"/>
          <w:sz w:val="24"/>
        </w:rPr>
        <w:t>参考资料：</w:t>
      </w:r>
    </w:p>
    <w:p>
      <w:pPr>
        <w:tabs>
          <w:tab w:val="left" w:pos="900"/>
        </w:tabs>
        <w:spacing w:line="400" w:lineRule="exact"/>
        <w:ind w:firstLine="480" w:firstLineChars="200"/>
        <w:rPr>
          <w:rFonts w:hint="eastAsia"/>
          <w:sz w:val="24"/>
        </w:rPr>
      </w:pPr>
      <w:r>
        <w:rPr>
          <w:rFonts w:hint="eastAsia"/>
          <w:sz w:val="24"/>
        </w:rPr>
        <w:t>1. 张立庆，李菊清，姜华昌. 物理化学实验[M]. 杭州：浙江大学出版社，2014</w:t>
      </w:r>
    </w:p>
    <w:p>
      <w:pPr>
        <w:tabs>
          <w:tab w:val="left" w:pos="900"/>
        </w:tabs>
        <w:spacing w:line="400" w:lineRule="exact"/>
        <w:ind w:firstLine="480" w:firstLineChars="200"/>
        <w:rPr>
          <w:rFonts w:hint="eastAsia"/>
          <w:sz w:val="24"/>
        </w:rPr>
      </w:pPr>
      <w:r>
        <w:rPr>
          <w:rFonts w:hint="eastAsia"/>
          <w:sz w:val="24"/>
        </w:rPr>
        <w:t>2</w:t>
      </w:r>
      <w:r>
        <w:rPr>
          <w:sz w:val="24"/>
        </w:rPr>
        <w:t xml:space="preserve">. </w:t>
      </w:r>
      <w:r>
        <w:rPr>
          <w:rFonts w:hint="eastAsia"/>
          <w:sz w:val="24"/>
        </w:rPr>
        <w:t>罗</w:t>
      </w:r>
      <w:r>
        <w:rPr>
          <w:sz w:val="24"/>
        </w:rPr>
        <w:t>澄源</w:t>
      </w:r>
      <w:r>
        <w:rPr>
          <w:rFonts w:hint="eastAsia"/>
          <w:sz w:val="24"/>
        </w:rPr>
        <w:t>，</w:t>
      </w:r>
      <w:r>
        <w:rPr>
          <w:sz w:val="24"/>
        </w:rPr>
        <w:t>向明礼</w:t>
      </w:r>
      <w:r>
        <w:rPr>
          <w:rFonts w:hint="eastAsia"/>
          <w:sz w:val="24"/>
        </w:rPr>
        <w:t>. 物理化学实验[M]. 北京：高等教育出版社，2004</w:t>
      </w:r>
    </w:p>
    <w:p>
      <w:pPr>
        <w:tabs>
          <w:tab w:val="left" w:pos="900"/>
        </w:tabs>
        <w:spacing w:line="400" w:lineRule="exact"/>
        <w:ind w:firstLine="480" w:firstLineChars="200"/>
        <w:rPr>
          <w:rFonts w:hint="eastAsia"/>
          <w:sz w:val="24"/>
        </w:rPr>
      </w:pPr>
      <w:r>
        <w:rPr>
          <w:rFonts w:hint="eastAsia"/>
          <w:sz w:val="24"/>
        </w:rPr>
        <w:t>3</w:t>
      </w:r>
      <w:r>
        <w:rPr>
          <w:sz w:val="24"/>
        </w:rPr>
        <w:t xml:space="preserve">. </w:t>
      </w:r>
      <w:r>
        <w:rPr>
          <w:rFonts w:hint="eastAsia"/>
          <w:sz w:val="24"/>
        </w:rPr>
        <w:t>刘</w:t>
      </w:r>
      <w:r>
        <w:rPr>
          <w:sz w:val="24"/>
        </w:rPr>
        <w:t>廷</w:t>
      </w:r>
      <w:r>
        <w:rPr>
          <w:rFonts w:hint="eastAsia"/>
          <w:sz w:val="24"/>
        </w:rPr>
        <w:t>，</w:t>
      </w:r>
      <w:r>
        <w:rPr>
          <w:sz w:val="24"/>
        </w:rPr>
        <w:t>王岩主</w:t>
      </w:r>
      <w:r>
        <w:rPr>
          <w:rFonts w:hint="eastAsia"/>
          <w:sz w:val="24"/>
        </w:rPr>
        <w:t>. 物理化学实验[M]. 北京：中国纺织出版社，2006</w:t>
      </w:r>
    </w:p>
    <w:p>
      <w:pPr>
        <w:tabs>
          <w:tab w:val="left" w:pos="900"/>
        </w:tabs>
        <w:spacing w:line="400" w:lineRule="exact"/>
        <w:ind w:firstLine="480" w:firstLineChars="200"/>
        <w:rPr>
          <w:rFonts w:hint="eastAsia"/>
          <w:sz w:val="24"/>
        </w:rPr>
      </w:pPr>
      <w:r>
        <w:rPr>
          <w:rFonts w:hint="eastAsia"/>
          <w:sz w:val="24"/>
        </w:rPr>
        <w:t>4. 武汉</w:t>
      </w:r>
      <w:r>
        <w:rPr>
          <w:sz w:val="24"/>
        </w:rPr>
        <w:t>大学化学与分子科学学院实验中心</w:t>
      </w:r>
      <w:r>
        <w:rPr>
          <w:rFonts w:hint="eastAsia"/>
          <w:sz w:val="24"/>
        </w:rPr>
        <w:t>. 物理化学实验[M]. 武汉：武汉大学出版社，2004</w:t>
      </w:r>
    </w:p>
    <w:p>
      <w:pPr>
        <w:autoSpaceDE w:val="0"/>
        <w:autoSpaceDN w:val="0"/>
        <w:adjustRightInd w:val="0"/>
        <w:spacing w:line="360" w:lineRule="auto"/>
        <w:ind w:firstLine="6000" w:firstLineChars="2500"/>
        <w:jc w:val="left"/>
        <w:rPr>
          <w:rFonts w:hint="eastAsia"/>
          <w:kern w:val="0"/>
          <w:sz w:val="24"/>
          <w:szCs w:val="21"/>
        </w:rPr>
      </w:pPr>
      <w:r>
        <w:rPr>
          <w:kern w:val="0"/>
          <w:sz w:val="24"/>
          <w:szCs w:val="21"/>
        </w:rPr>
        <w:t>执笔人： 王玮</w:t>
      </w:r>
    </w:p>
    <w:p>
      <w:pPr>
        <w:autoSpaceDE w:val="0"/>
        <w:autoSpaceDN w:val="0"/>
        <w:adjustRightInd w:val="0"/>
        <w:spacing w:line="360" w:lineRule="auto"/>
        <w:ind w:firstLine="6000" w:firstLineChars="2500"/>
        <w:jc w:val="left"/>
        <w:rPr>
          <w:kern w:val="0"/>
          <w:sz w:val="24"/>
          <w:szCs w:val="21"/>
        </w:rPr>
      </w:pPr>
      <w:r>
        <w:rPr>
          <w:kern w:val="0"/>
          <w:sz w:val="24"/>
          <w:szCs w:val="21"/>
        </w:rPr>
        <w:t xml:space="preserve">审定人： </w:t>
      </w:r>
      <w:r>
        <w:rPr>
          <w:rFonts w:hint="eastAsia"/>
          <w:kern w:val="0"/>
          <w:sz w:val="24"/>
          <w:szCs w:val="21"/>
        </w:rPr>
        <w:t>陈</w:t>
      </w:r>
      <w:r>
        <w:rPr>
          <w:kern w:val="0"/>
          <w:sz w:val="24"/>
          <w:szCs w:val="21"/>
        </w:rPr>
        <w:t>小卉</w:t>
      </w:r>
    </w:p>
    <w:p>
      <w:pPr>
        <w:autoSpaceDE w:val="0"/>
        <w:autoSpaceDN w:val="0"/>
        <w:adjustRightInd w:val="0"/>
        <w:spacing w:line="360" w:lineRule="auto"/>
        <w:ind w:firstLine="6000" w:firstLineChars="2500"/>
        <w:jc w:val="left"/>
        <w:rPr>
          <w:rFonts w:hint="eastAsia"/>
          <w:kern w:val="0"/>
          <w:sz w:val="24"/>
          <w:szCs w:val="21"/>
        </w:rPr>
      </w:pPr>
      <w:r>
        <w:rPr>
          <w:rFonts w:hint="eastAsia"/>
          <w:kern w:val="0"/>
          <w:sz w:val="24"/>
          <w:szCs w:val="21"/>
        </w:rPr>
        <w:t>审批</w:t>
      </w:r>
      <w:r>
        <w:rPr>
          <w:kern w:val="0"/>
          <w:sz w:val="24"/>
          <w:szCs w:val="21"/>
        </w:rPr>
        <w:t>人：</w:t>
      </w:r>
      <w:r>
        <w:rPr>
          <w:rFonts w:hint="eastAsia"/>
          <w:kern w:val="0"/>
          <w:sz w:val="24"/>
          <w:szCs w:val="21"/>
        </w:rPr>
        <w:t xml:space="preserve"> </w:t>
      </w:r>
      <w:r>
        <w:rPr>
          <w:kern w:val="0"/>
          <w:sz w:val="24"/>
          <w:szCs w:val="21"/>
        </w:rPr>
        <w:t>吴泽颖</w:t>
      </w:r>
      <w:r>
        <w:rPr>
          <w:rFonts w:hint="eastAsia"/>
          <w:kern w:val="0"/>
          <w:sz w:val="24"/>
          <w:szCs w:val="21"/>
        </w:rPr>
        <w:t xml:space="preserve"> </w:t>
      </w:r>
    </w:p>
    <w:p>
      <w:pPr>
        <w:spacing w:line="360" w:lineRule="auto"/>
        <w:rPr>
          <w:sz w:val="24"/>
        </w:rPr>
      </w:pPr>
      <w:r>
        <w:rPr>
          <w:rFonts w:hint="eastAsia"/>
          <w:sz w:val="24"/>
        </w:rPr>
        <w:t xml:space="preserve">                                                 </w:t>
      </w:r>
      <w:r>
        <w:rPr>
          <w:rFonts w:hint="eastAsia"/>
          <w:kern w:val="0"/>
          <w:sz w:val="24"/>
          <w:szCs w:val="21"/>
        </w:rPr>
        <w:t>批准时间：2021.9.1</w:t>
      </w:r>
    </w:p>
    <w:p>
      <w:pPr>
        <w:spacing w:line="360" w:lineRule="auto"/>
        <w:rPr>
          <w:rFonts w:hint="eastAsia"/>
          <w:kern w:val="0"/>
          <w:sz w:val="24"/>
          <w:szCs w:val="21"/>
        </w:rPr>
      </w:pPr>
    </w:p>
    <w:p>
      <w:pPr>
        <w:spacing w:line="360" w:lineRule="auto"/>
        <w:rPr>
          <w:rFonts w:hint="eastAsia"/>
          <w:kern w:val="0"/>
          <w:sz w:val="24"/>
          <w:szCs w:val="21"/>
        </w:rPr>
      </w:pPr>
    </w:p>
    <w:p>
      <w:pPr>
        <w:spacing w:line="360" w:lineRule="auto"/>
        <w:rPr>
          <w:rFonts w:hint="eastAsia"/>
          <w:kern w:val="0"/>
          <w:sz w:val="24"/>
          <w:szCs w:val="21"/>
        </w:rPr>
      </w:pPr>
    </w:p>
    <w:p>
      <w:pPr>
        <w:spacing w:line="360" w:lineRule="auto"/>
        <w:rPr>
          <w:rFonts w:hint="eastAsia"/>
          <w:kern w:val="0"/>
          <w:sz w:val="24"/>
          <w:szCs w:val="21"/>
        </w:rPr>
      </w:pPr>
    </w:p>
    <w:p>
      <w:pPr>
        <w:spacing w:line="360" w:lineRule="auto"/>
        <w:rPr>
          <w:rFonts w:hint="eastAsia"/>
          <w:kern w:val="0"/>
          <w:sz w:val="24"/>
          <w:szCs w:val="21"/>
        </w:rPr>
      </w:pPr>
    </w:p>
    <w:p>
      <w:pPr>
        <w:spacing w:line="360" w:lineRule="auto"/>
        <w:rPr>
          <w:rFonts w:hint="eastAsia"/>
          <w:kern w:val="0"/>
          <w:sz w:val="24"/>
          <w:szCs w:val="21"/>
        </w:rPr>
      </w:pPr>
    </w:p>
    <w:p>
      <w:pPr>
        <w:pStyle w:val="3"/>
        <w:bidi w:val="0"/>
        <w:jc w:val="center"/>
        <w:rPr>
          <w:bCs w:val="0"/>
          <w:kern w:val="0"/>
        </w:rPr>
      </w:pPr>
      <w:bookmarkStart w:id="23" w:name="_Toc57621318"/>
      <w:bookmarkStart w:id="24" w:name="_Toc57387662"/>
      <w:bookmarkStart w:id="25" w:name="_Toc57387393"/>
      <w:bookmarkStart w:id="26" w:name="_Toc57364588"/>
      <w:bookmarkStart w:id="27" w:name="_Toc57384840"/>
      <w:bookmarkStart w:id="28" w:name="_Toc57386043"/>
      <w:bookmarkStart w:id="29" w:name="_Toc57385461"/>
      <w:bookmarkStart w:id="30" w:name="_Toc57384447"/>
      <w:bookmarkStart w:id="31" w:name="_Toc12051"/>
      <w:bookmarkStart w:id="32" w:name="_Toc3050"/>
      <w:r>
        <w:rPr>
          <w:rFonts w:hint="eastAsia"/>
        </w:rPr>
        <w:t>化工原理Ⅰ课程教学大纲</w:t>
      </w:r>
      <w:bookmarkEnd w:id="23"/>
      <w:bookmarkEnd w:id="24"/>
      <w:bookmarkEnd w:id="25"/>
      <w:bookmarkEnd w:id="26"/>
      <w:bookmarkEnd w:id="27"/>
      <w:bookmarkEnd w:id="28"/>
      <w:bookmarkEnd w:id="29"/>
      <w:bookmarkEnd w:id="30"/>
      <w:bookmarkEnd w:id="31"/>
      <w:bookmarkEnd w:id="32"/>
    </w:p>
    <w:p>
      <w:pPr>
        <w:spacing w:line="312" w:lineRule="auto"/>
        <w:jc w:val="center"/>
        <w:rPr>
          <w:b/>
          <w:bCs/>
          <w:sz w:val="30"/>
        </w:rPr>
      </w:pPr>
      <w:r>
        <w:rPr>
          <w:b/>
          <w:bCs/>
          <w:sz w:val="30"/>
        </w:rPr>
        <w:t>（Principles of Chemical Engineering I）</w:t>
      </w:r>
    </w:p>
    <w:p>
      <w:pPr>
        <w:spacing w:line="312" w:lineRule="auto"/>
        <w:jc w:val="center"/>
        <w:rPr>
          <w:rFonts w:eastAsia="黑体"/>
          <w:bCs/>
          <w:sz w:val="30"/>
        </w:rPr>
      </w:pPr>
    </w:p>
    <w:p>
      <w:pPr>
        <w:spacing w:line="360" w:lineRule="auto"/>
        <w:ind w:firstLine="551" w:firstLineChars="196"/>
        <w:rPr>
          <w:rFonts w:hint="eastAsia"/>
          <w:b/>
          <w:sz w:val="28"/>
          <w:szCs w:val="28"/>
        </w:rPr>
      </w:pPr>
      <w:r>
        <w:rPr>
          <w:b/>
          <w:sz w:val="28"/>
          <w:szCs w:val="28"/>
        </w:rPr>
        <w:t>一、课程概况</w:t>
      </w:r>
    </w:p>
    <w:p>
      <w:pPr>
        <w:spacing w:line="360" w:lineRule="auto"/>
        <w:ind w:firstLine="482" w:firstLineChars="200"/>
        <w:rPr>
          <w:b/>
          <w:sz w:val="28"/>
          <w:szCs w:val="28"/>
        </w:rPr>
      </w:pPr>
      <w:r>
        <w:rPr>
          <w:b/>
          <w:bCs/>
          <w:kern w:val="0"/>
          <w:sz w:val="24"/>
        </w:rPr>
        <w:t>课程代码</w:t>
      </w:r>
      <w:r>
        <w:rPr>
          <w:b/>
          <w:kern w:val="0"/>
          <w:sz w:val="24"/>
        </w:rPr>
        <w:t>：</w:t>
      </w:r>
      <w:r>
        <w:rPr>
          <w:bCs/>
          <w:kern w:val="0"/>
          <w:sz w:val="24"/>
        </w:rPr>
        <w:t>2501007</w:t>
      </w:r>
    </w:p>
    <w:p>
      <w:pPr>
        <w:spacing w:line="360" w:lineRule="auto"/>
        <w:ind w:firstLine="482" w:firstLineChars="200"/>
        <w:rPr>
          <w:kern w:val="0"/>
          <w:sz w:val="24"/>
        </w:rPr>
      </w:pPr>
      <w:r>
        <w:rPr>
          <w:b/>
          <w:bCs/>
          <w:kern w:val="0"/>
          <w:sz w:val="24"/>
        </w:rPr>
        <w:t>学    分</w:t>
      </w:r>
      <w:r>
        <w:rPr>
          <w:b/>
          <w:kern w:val="0"/>
          <w:sz w:val="24"/>
        </w:rPr>
        <w:t>：</w:t>
      </w:r>
      <w:r>
        <w:rPr>
          <w:kern w:val="0"/>
          <w:sz w:val="24"/>
        </w:rPr>
        <w:t>3.0</w:t>
      </w:r>
    </w:p>
    <w:p>
      <w:pPr>
        <w:spacing w:line="360" w:lineRule="auto"/>
        <w:ind w:firstLine="482" w:firstLineChars="200"/>
        <w:rPr>
          <w:kern w:val="0"/>
          <w:sz w:val="24"/>
        </w:rPr>
      </w:pPr>
      <w:r>
        <w:rPr>
          <w:b/>
          <w:bCs/>
          <w:kern w:val="0"/>
          <w:sz w:val="24"/>
        </w:rPr>
        <w:t>学    时</w:t>
      </w:r>
      <w:r>
        <w:rPr>
          <w:b/>
          <w:kern w:val="0"/>
          <w:sz w:val="24"/>
        </w:rPr>
        <w:t>：</w:t>
      </w:r>
      <w:r>
        <w:rPr>
          <w:kern w:val="0"/>
          <w:sz w:val="24"/>
        </w:rPr>
        <w:t>48</w:t>
      </w:r>
    </w:p>
    <w:p>
      <w:pPr>
        <w:spacing w:line="360" w:lineRule="auto"/>
        <w:ind w:firstLine="482" w:firstLineChars="200"/>
        <w:rPr>
          <w:kern w:val="0"/>
          <w:sz w:val="24"/>
        </w:rPr>
      </w:pPr>
      <w:r>
        <w:rPr>
          <w:b/>
          <w:bCs/>
          <w:kern w:val="0"/>
          <w:sz w:val="24"/>
        </w:rPr>
        <w:t>先修课程</w:t>
      </w:r>
      <w:r>
        <w:rPr>
          <w:b/>
          <w:kern w:val="0"/>
          <w:sz w:val="24"/>
        </w:rPr>
        <w:t>：</w:t>
      </w:r>
      <w:r>
        <w:rPr>
          <w:kern w:val="0"/>
          <w:sz w:val="24"/>
        </w:rPr>
        <w:t>高等数学、大学物理、</w:t>
      </w:r>
      <w:r>
        <w:rPr>
          <w:rFonts w:hint="eastAsia"/>
          <w:kern w:val="0"/>
          <w:sz w:val="24"/>
        </w:rPr>
        <w:t>大学</w:t>
      </w:r>
      <w:r>
        <w:rPr>
          <w:kern w:val="0"/>
          <w:sz w:val="24"/>
        </w:rPr>
        <w:t>化学、物理化学等。</w:t>
      </w:r>
    </w:p>
    <w:p>
      <w:pPr>
        <w:spacing w:line="360" w:lineRule="auto"/>
        <w:ind w:firstLine="482" w:firstLineChars="200"/>
        <w:rPr>
          <w:kern w:val="0"/>
          <w:sz w:val="24"/>
        </w:rPr>
      </w:pPr>
      <w:r>
        <w:rPr>
          <w:b/>
          <w:bCs/>
          <w:kern w:val="0"/>
          <w:sz w:val="24"/>
        </w:rPr>
        <w:t>适用专业</w:t>
      </w:r>
      <w:r>
        <w:rPr>
          <w:b/>
          <w:kern w:val="0"/>
          <w:sz w:val="24"/>
        </w:rPr>
        <w:t>：</w:t>
      </w:r>
      <w:r>
        <w:rPr>
          <w:kern w:val="0"/>
          <w:sz w:val="24"/>
        </w:rPr>
        <w:t xml:space="preserve">化学工程与工艺                         </w:t>
      </w:r>
    </w:p>
    <w:p>
      <w:pPr>
        <w:spacing w:line="360" w:lineRule="auto"/>
        <w:ind w:firstLine="482" w:firstLineChars="200"/>
        <w:rPr>
          <w:rFonts w:hint="default" w:eastAsia="宋体"/>
          <w:sz w:val="24"/>
          <w:lang w:val="en-US" w:eastAsia="zh-CN"/>
        </w:rPr>
      </w:pPr>
      <w:r>
        <w:rPr>
          <w:b/>
          <w:bCs/>
          <w:kern w:val="0"/>
          <w:sz w:val="24"/>
        </w:rPr>
        <w:t>教    材</w:t>
      </w:r>
      <w:r>
        <w:rPr>
          <w:b/>
          <w:kern w:val="0"/>
          <w:sz w:val="24"/>
        </w:rPr>
        <w:t>：</w:t>
      </w:r>
      <w:r>
        <w:rPr>
          <w:sz w:val="24"/>
          <w:szCs w:val="21"/>
        </w:rPr>
        <w:t>《化工原理</w:t>
      </w:r>
      <w:r>
        <w:rPr>
          <w:sz w:val="24"/>
        </w:rPr>
        <w:t>》，</w:t>
      </w:r>
      <w:r>
        <w:rPr>
          <w:rFonts w:hint="eastAsia"/>
          <w:sz w:val="24"/>
          <w:lang w:val="en-US" w:eastAsia="zh-CN"/>
        </w:rPr>
        <w:t>王志魁</w:t>
      </w:r>
      <w:r>
        <w:rPr>
          <w:sz w:val="24"/>
        </w:rPr>
        <w:t>，化学工业出版社，20</w:t>
      </w:r>
      <w:r>
        <w:rPr>
          <w:rFonts w:hint="eastAsia"/>
          <w:sz w:val="24"/>
          <w:lang w:val="en-US" w:eastAsia="zh-CN"/>
        </w:rPr>
        <w:t>19</w:t>
      </w:r>
    </w:p>
    <w:p>
      <w:pPr>
        <w:spacing w:line="360" w:lineRule="auto"/>
        <w:ind w:firstLine="482" w:firstLineChars="200"/>
        <w:rPr>
          <w:kern w:val="0"/>
          <w:sz w:val="24"/>
        </w:rPr>
      </w:pPr>
      <w:r>
        <w:rPr>
          <w:b/>
          <w:bCs/>
          <w:kern w:val="0"/>
          <w:sz w:val="24"/>
        </w:rPr>
        <w:t>课程归口：</w:t>
      </w:r>
      <w:r>
        <w:rPr>
          <w:rFonts w:hint="eastAsia"/>
          <w:bCs/>
          <w:kern w:val="0"/>
          <w:sz w:val="24"/>
        </w:rPr>
        <w:t>化工与材料</w:t>
      </w:r>
      <w:r>
        <w:rPr>
          <w:kern w:val="0"/>
          <w:sz w:val="24"/>
        </w:rPr>
        <w:t>学院</w:t>
      </w:r>
    </w:p>
    <w:p>
      <w:pPr>
        <w:spacing w:line="360" w:lineRule="auto"/>
        <w:ind w:firstLine="482" w:firstLineChars="200"/>
        <w:rPr>
          <w:kern w:val="0"/>
          <w:sz w:val="24"/>
        </w:rPr>
      </w:pPr>
      <w:r>
        <w:rPr>
          <w:rFonts w:hint="eastAsia"/>
          <w:b/>
          <w:bCs/>
          <w:sz w:val="24"/>
        </w:rPr>
        <w:t>课程团队：</w:t>
      </w:r>
      <w:r>
        <w:rPr>
          <w:rFonts w:hint="eastAsia"/>
          <w:sz w:val="24"/>
        </w:rPr>
        <w:t>刘宝亮、曹桂萍、董爽、蒋夫花</w:t>
      </w:r>
    </w:p>
    <w:p>
      <w:pPr>
        <w:spacing w:line="360" w:lineRule="auto"/>
        <w:ind w:firstLine="482" w:firstLineChars="200"/>
        <w:rPr>
          <w:kern w:val="0"/>
          <w:sz w:val="24"/>
        </w:rPr>
      </w:pPr>
      <w:r>
        <w:rPr>
          <w:b/>
          <w:bCs/>
          <w:kern w:val="0"/>
          <w:sz w:val="24"/>
        </w:rPr>
        <w:t>课程的性质与任务</w:t>
      </w:r>
      <w:r>
        <w:rPr>
          <w:rFonts w:hint="eastAsia"/>
          <w:b/>
          <w:bCs/>
          <w:kern w:val="0"/>
          <w:sz w:val="24"/>
        </w:rPr>
        <w:t>：</w:t>
      </w:r>
      <w:r>
        <w:rPr>
          <w:rFonts w:hint="eastAsia"/>
          <w:kern w:val="0"/>
          <w:sz w:val="24"/>
        </w:rPr>
        <w:t>化学工业是将自然界的各种物质，经过化学和物理方法处理，制造成生产资料和生活资料的工业。一种产品的生产过程中，从原料到成品往往需要几个或几十个加工过程。《化工原理》是化工各专业学生必修的一门基础技术课程，其主要任务是培养学生运用基础理论分析和解决化工单元操作中各种工程实际问题的能力。《化工原理》的主要任务就是介绍流体流动、传热、传质的基本原理及主要单元操作的典型设备构造、操作原理、计算及选型。</w:t>
      </w:r>
      <w:r>
        <w:rPr>
          <w:rFonts w:hint="eastAsia"/>
          <w:bCs/>
          <w:color w:val="000000"/>
          <w:sz w:val="24"/>
        </w:rPr>
        <w:t>将化工原理单元操作分析的方法与工程实践相结合，培养学生具有辩证思维能力，树立理论联系实际的科学观，为学生毕业后从事相关工作打下良好的基础。</w:t>
      </w:r>
    </w:p>
    <w:p>
      <w:pPr>
        <w:spacing w:line="360" w:lineRule="auto"/>
        <w:ind w:firstLine="562" w:firstLineChars="200"/>
        <w:rPr>
          <w:b/>
          <w:sz w:val="28"/>
          <w:szCs w:val="28"/>
        </w:rPr>
      </w:pPr>
      <w:r>
        <w:rPr>
          <w:rFonts w:hint="eastAsia"/>
          <w:b/>
          <w:sz w:val="28"/>
          <w:szCs w:val="28"/>
        </w:rPr>
        <w:t>二</w:t>
      </w:r>
      <w:r>
        <w:rPr>
          <w:b/>
          <w:sz w:val="28"/>
          <w:szCs w:val="28"/>
        </w:rPr>
        <w:t>、课程目标及对毕业要求观测点的支撑</w:t>
      </w:r>
    </w:p>
    <w:tbl>
      <w:tblPr>
        <w:tblStyle w:val="1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622"/>
        <w:gridCol w:w="2145"/>
        <w:gridCol w:w="2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38" w:type="dxa"/>
            <w:noWrap/>
            <w:vAlign w:val="center"/>
          </w:tcPr>
          <w:p>
            <w:pPr>
              <w:widowControl/>
              <w:jc w:val="center"/>
              <w:rPr>
                <w:b/>
                <w:bCs/>
                <w:kern w:val="0"/>
                <w:szCs w:val="21"/>
              </w:rPr>
            </w:pPr>
            <w:r>
              <w:rPr>
                <w:b/>
                <w:bCs/>
                <w:kern w:val="0"/>
                <w:szCs w:val="21"/>
              </w:rPr>
              <w:t>序号</w:t>
            </w:r>
          </w:p>
        </w:tc>
        <w:tc>
          <w:tcPr>
            <w:tcW w:w="3622" w:type="dxa"/>
            <w:noWrap/>
            <w:vAlign w:val="center"/>
          </w:tcPr>
          <w:p>
            <w:pPr>
              <w:widowControl/>
              <w:jc w:val="center"/>
              <w:rPr>
                <w:b/>
                <w:bCs/>
                <w:kern w:val="0"/>
                <w:szCs w:val="21"/>
              </w:rPr>
            </w:pPr>
            <w:r>
              <w:rPr>
                <w:b/>
                <w:bCs/>
                <w:kern w:val="0"/>
                <w:szCs w:val="21"/>
              </w:rPr>
              <w:t>课程目标</w:t>
            </w:r>
          </w:p>
        </w:tc>
        <w:tc>
          <w:tcPr>
            <w:tcW w:w="2145" w:type="dxa"/>
            <w:noWrap/>
            <w:vAlign w:val="center"/>
          </w:tcPr>
          <w:p>
            <w:pPr>
              <w:widowControl/>
              <w:jc w:val="center"/>
              <w:rPr>
                <w:b/>
                <w:bCs/>
                <w:kern w:val="0"/>
                <w:szCs w:val="21"/>
              </w:rPr>
            </w:pPr>
            <w:r>
              <w:rPr>
                <w:b/>
                <w:bCs/>
                <w:kern w:val="0"/>
                <w:szCs w:val="21"/>
              </w:rPr>
              <w:t>支撑毕业要求观测点</w:t>
            </w:r>
          </w:p>
        </w:tc>
        <w:tc>
          <w:tcPr>
            <w:tcW w:w="2709" w:type="dxa"/>
            <w:noWrap/>
            <w:vAlign w:val="center"/>
          </w:tcPr>
          <w:p>
            <w:pPr>
              <w:widowControl/>
              <w:jc w:val="center"/>
              <w:rPr>
                <w:b/>
                <w:bCs/>
                <w:kern w:val="0"/>
                <w:szCs w:val="21"/>
              </w:rPr>
            </w:pPr>
            <w:r>
              <w:rPr>
                <w:b/>
                <w:bCs/>
                <w:kern w:val="0"/>
                <w:szCs w:val="21"/>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38" w:type="dxa"/>
            <w:noWrap/>
            <w:vAlign w:val="center"/>
          </w:tcPr>
          <w:p>
            <w:pPr>
              <w:widowControl/>
              <w:jc w:val="center"/>
              <w:rPr>
                <w:kern w:val="0"/>
                <w:szCs w:val="21"/>
              </w:rPr>
            </w:pPr>
            <w:r>
              <w:rPr>
                <w:kern w:val="0"/>
                <w:szCs w:val="21"/>
              </w:rPr>
              <w:t>1</w:t>
            </w:r>
          </w:p>
        </w:tc>
        <w:tc>
          <w:tcPr>
            <w:tcW w:w="3622" w:type="dxa"/>
            <w:noWrap/>
            <w:vAlign w:val="center"/>
          </w:tcPr>
          <w:p>
            <w:pPr>
              <w:rPr>
                <w:kern w:val="0"/>
                <w:szCs w:val="21"/>
              </w:rPr>
            </w:pPr>
            <w:r>
              <w:rPr>
                <w:b/>
                <w:kern w:val="0"/>
                <w:szCs w:val="21"/>
              </w:rPr>
              <w:t>目标1：</w:t>
            </w:r>
            <w:r>
              <w:rPr>
                <w:bCs/>
                <w:kern w:val="0"/>
                <w:szCs w:val="21"/>
              </w:rPr>
              <w:t>能够运用数学、物理和物化知识表达单元操作的问题，掌握流体流动、非均相物系分离和传热过程的数学模型，利用单元操作的模型推演和分析复杂化工过程中的相关单元操作，根据推演和分析的结果进行复杂化工过程中相关单元过程的工艺设计、设备选型以及操作分析。</w:t>
            </w:r>
          </w:p>
        </w:tc>
        <w:tc>
          <w:tcPr>
            <w:tcW w:w="2145" w:type="dxa"/>
            <w:noWrap/>
            <w:vAlign w:val="center"/>
          </w:tcPr>
          <w:p>
            <w:pPr>
              <w:widowControl/>
              <w:rPr>
                <w:kern w:val="0"/>
                <w:szCs w:val="21"/>
              </w:rPr>
            </w:pPr>
            <w:r>
              <w:rPr>
                <w:b/>
                <w:szCs w:val="21"/>
              </w:rPr>
              <w:t>观测点1.</w:t>
            </w:r>
            <w:r>
              <w:rPr>
                <w:rFonts w:hint="eastAsia"/>
                <w:b/>
                <w:szCs w:val="21"/>
              </w:rPr>
              <w:t>2</w:t>
            </w:r>
            <w:r>
              <w:rPr>
                <w:szCs w:val="21"/>
              </w:rPr>
              <w:t>：</w:t>
            </w:r>
            <w:r>
              <w:rPr>
                <w:color w:val="000000"/>
                <w:kern w:val="0"/>
              </w:rPr>
              <w:t>掌握化学和化工基础知识</w:t>
            </w:r>
          </w:p>
        </w:tc>
        <w:tc>
          <w:tcPr>
            <w:tcW w:w="2709" w:type="dxa"/>
            <w:noWrap/>
            <w:vAlign w:val="center"/>
          </w:tcPr>
          <w:p>
            <w:pPr>
              <w:widowControl/>
              <w:rPr>
                <w:kern w:val="0"/>
                <w:szCs w:val="21"/>
              </w:rPr>
            </w:pPr>
            <w:r>
              <w:rPr>
                <w:b/>
                <w:szCs w:val="21"/>
              </w:rPr>
              <w:t>毕业要求1</w:t>
            </w:r>
            <w:r>
              <w:rPr>
                <w:szCs w:val="21"/>
              </w:rPr>
              <w:t>工程知识：</w:t>
            </w:r>
            <w:r>
              <w:rPr>
                <w:color w:val="000000"/>
                <w:kern w:val="0"/>
              </w:rPr>
              <w:t>能够将数学、自然科学、工程基础和专业知识用于解决</w:t>
            </w:r>
            <w:r>
              <w:rPr>
                <w:szCs w:val="21"/>
              </w:rPr>
              <w:t>化学工程与工艺领域</w:t>
            </w:r>
            <w:r>
              <w:rPr>
                <w:color w:val="000000"/>
                <w:kern w:val="0"/>
              </w:rPr>
              <w:t>复杂工程问题。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38" w:type="dxa"/>
            <w:noWrap/>
            <w:vAlign w:val="center"/>
          </w:tcPr>
          <w:p>
            <w:pPr>
              <w:widowControl/>
              <w:jc w:val="center"/>
              <w:rPr>
                <w:kern w:val="0"/>
                <w:szCs w:val="21"/>
              </w:rPr>
            </w:pPr>
            <w:r>
              <w:rPr>
                <w:kern w:val="0"/>
                <w:szCs w:val="21"/>
              </w:rPr>
              <w:t>2</w:t>
            </w:r>
          </w:p>
        </w:tc>
        <w:tc>
          <w:tcPr>
            <w:tcW w:w="3622" w:type="dxa"/>
            <w:noWrap/>
            <w:vAlign w:val="center"/>
          </w:tcPr>
          <w:p>
            <w:pPr>
              <w:widowControl/>
              <w:rPr>
                <w:kern w:val="0"/>
                <w:szCs w:val="21"/>
              </w:rPr>
            </w:pPr>
            <w:r>
              <w:rPr>
                <w:b/>
                <w:kern w:val="0"/>
                <w:szCs w:val="21"/>
              </w:rPr>
              <w:t>目标2：</w:t>
            </w:r>
            <w:r>
              <w:rPr>
                <w:bCs/>
                <w:kern w:val="0"/>
                <w:szCs w:val="21"/>
              </w:rPr>
              <w:t>能运用化工原理的基本知识分析、识别和判断化工过程问题中流体流动、非均相物系分离和传热过程的关键环节和影响因素，并增强工程观点，在此基础上去分析与解决传热和动量传递方面的工程实际问题。</w:t>
            </w:r>
          </w:p>
        </w:tc>
        <w:tc>
          <w:tcPr>
            <w:tcW w:w="2145" w:type="dxa"/>
            <w:noWrap/>
            <w:vAlign w:val="center"/>
          </w:tcPr>
          <w:p>
            <w:pPr>
              <w:widowControl/>
              <w:rPr>
                <w:kern w:val="0"/>
                <w:szCs w:val="21"/>
              </w:rPr>
            </w:pPr>
            <w:r>
              <w:rPr>
                <w:b/>
                <w:color w:val="000000"/>
                <w:kern w:val="0"/>
                <w:szCs w:val="21"/>
              </w:rPr>
              <w:t>观测点</w:t>
            </w:r>
            <w:r>
              <w:rPr>
                <w:b/>
                <w:szCs w:val="21"/>
              </w:rPr>
              <w:t>2.</w:t>
            </w:r>
            <w:r>
              <w:rPr>
                <w:rFonts w:hint="eastAsia"/>
                <w:b/>
                <w:szCs w:val="21"/>
              </w:rPr>
              <w:t>1</w:t>
            </w:r>
            <w:r>
              <w:rPr>
                <w:szCs w:val="21"/>
              </w:rPr>
              <w:t>：</w:t>
            </w:r>
            <w:r>
              <w:rPr>
                <w:color w:val="000000"/>
                <w:kern w:val="0"/>
              </w:rPr>
              <w:t>能够识别和判断复杂化学工程问题的关键环节和参数</w:t>
            </w:r>
            <w:r>
              <w:rPr>
                <w:rFonts w:hint="eastAsia"/>
                <w:color w:val="000000"/>
                <w:kern w:val="0"/>
              </w:rPr>
              <w:t>。</w:t>
            </w:r>
          </w:p>
        </w:tc>
        <w:tc>
          <w:tcPr>
            <w:tcW w:w="2709" w:type="dxa"/>
            <w:noWrap/>
            <w:vAlign w:val="center"/>
          </w:tcPr>
          <w:p>
            <w:pPr>
              <w:widowControl/>
              <w:rPr>
                <w:kern w:val="0"/>
                <w:szCs w:val="21"/>
              </w:rPr>
            </w:pPr>
            <w:r>
              <w:rPr>
                <w:b/>
                <w:color w:val="000000"/>
                <w:kern w:val="0"/>
                <w:szCs w:val="21"/>
              </w:rPr>
              <w:t>毕业要求2</w:t>
            </w:r>
            <w:r>
              <w:rPr>
                <w:szCs w:val="21"/>
              </w:rPr>
              <w:t>问题分析：</w:t>
            </w:r>
            <w:r>
              <w:rPr>
                <w:color w:val="000000"/>
                <w:kern w:val="0"/>
              </w:rPr>
              <w:t>能够应用数学、自然科学和工程科学的基本原理，识别、表达、并通过文献研究分析</w:t>
            </w:r>
            <w:r>
              <w:rPr>
                <w:szCs w:val="21"/>
              </w:rPr>
              <w:t>化学工程与工艺领域</w:t>
            </w:r>
            <w:r>
              <w:rPr>
                <w:color w:val="000000"/>
                <w:kern w:val="0"/>
              </w:rPr>
              <w:t>复杂工程问题，以获得有效结论。</w:t>
            </w:r>
          </w:p>
        </w:tc>
      </w:tr>
    </w:tbl>
    <w:p>
      <w:pPr>
        <w:spacing w:line="360" w:lineRule="auto"/>
        <w:ind w:firstLine="562" w:firstLineChars="200"/>
        <w:rPr>
          <w:sz w:val="24"/>
        </w:rPr>
      </w:pPr>
      <w:r>
        <w:rPr>
          <w:rFonts w:hint="eastAsia"/>
          <w:b/>
          <w:sz w:val="28"/>
          <w:szCs w:val="28"/>
        </w:rPr>
        <w:t>三</w:t>
      </w:r>
      <w:r>
        <w:rPr>
          <w:b/>
          <w:sz w:val="28"/>
          <w:szCs w:val="28"/>
        </w:rPr>
        <w:t>、</w:t>
      </w:r>
      <w:r>
        <w:rPr>
          <w:rFonts w:hint="eastAsia"/>
          <w:b/>
          <w:sz w:val="28"/>
          <w:szCs w:val="28"/>
        </w:rPr>
        <w:t>教学</w:t>
      </w:r>
      <w:r>
        <w:rPr>
          <w:b/>
          <w:sz w:val="28"/>
          <w:szCs w:val="28"/>
        </w:rPr>
        <w:t>内容及要求</w:t>
      </w:r>
    </w:p>
    <w:tbl>
      <w:tblPr>
        <w:tblStyle w:val="10"/>
        <w:tblW w:w="9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5"/>
        <w:gridCol w:w="1851"/>
        <w:gridCol w:w="3115"/>
        <w:gridCol w:w="1513"/>
        <w:gridCol w:w="645"/>
        <w:gridCol w:w="727"/>
        <w:gridCol w:w="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95" w:type="dxa"/>
            <w:noWrap w:val="0"/>
            <w:vAlign w:val="center"/>
          </w:tcPr>
          <w:p>
            <w:pPr>
              <w:jc w:val="center"/>
              <w:rPr>
                <w:b/>
                <w:bCs/>
                <w:szCs w:val="21"/>
              </w:rPr>
            </w:pPr>
            <w:r>
              <w:rPr>
                <w:b/>
                <w:bCs/>
                <w:szCs w:val="21"/>
              </w:rPr>
              <w:t>序号</w:t>
            </w:r>
          </w:p>
        </w:tc>
        <w:tc>
          <w:tcPr>
            <w:tcW w:w="1851" w:type="dxa"/>
            <w:noWrap w:val="0"/>
            <w:vAlign w:val="center"/>
          </w:tcPr>
          <w:p>
            <w:pPr>
              <w:jc w:val="center"/>
              <w:rPr>
                <w:b/>
                <w:bCs/>
                <w:szCs w:val="21"/>
              </w:rPr>
            </w:pPr>
            <w:r>
              <w:rPr>
                <w:b/>
                <w:bCs/>
                <w:szCs w:val="21"/>
              </w:rPr>
              <w:t>教学内容</w:t>
            </w:r>
          </w:p>
        </w:tc>
        <w:tc>
          <w:tcPr>
            <w:tcW w:w="3115" w:type="dxa"/>
            <w:noWrap w:val="0"/>
            <w:vAlign w:val="center"/>
          </w:tcPr>
          <w:p>
            <w:pPr>
              <w:jc w:val="center"/>
              <w:rPr>
                <w:b/>
                <w:bCs/>
                <w:szCs w:val="21"/>
              </w:rPr>
            </w:pPr>
            <w:r>
              <w:rPr>
                <w:b/>
                <w:bCs/>
                <w:szCs w:val="21"/>
              </w:rPr>
              <w:t>思政元素</w:t>
            </w:r>
          </w:p>
          <w:p>
            <w:pPr>
              <w:jc w:val="center"/>
              <w:rPr>
                <w:b/>
                <w:bCs/>
                <w:szCs w:val="21"/>
              </w:rPr>
            </w:pPr>
          </w:p>
        </w:tc>
        <w:tc>
          <w:tcPr>
            <w:tcW w:w="1513" w:type="dxa"/>
            <w:noWrap w:val="0"/>
            <w:vAlign w:val="center"/>
          </w:tcPr>
          <w:p>
            <w:pPr>
              <w:jc w:val="center"/>
              <w:rPr>
                <w:b/>
                <w:bCs/>
                <w:szCs w:val="21"/>
              </w:rPr>
            </w:pPr>
            <w:r>
              <w:rPr>
                <w:b/>
                <w:bCs/>
                <w:szCs w:val="21"/>
              </w:rPr>
              <w:t>预期学习成果</w:t>
            </w:r>
          </w:p>
          <w:p>
            <w:pPr>
              <w:jc w:val="center"/>
              <w:rPr>
                <w:b/>
                <w:bCs/>
                <w:szCs w:val="21"/>
              </w:rPr>
            </w:pPr>
          </w:p>
        </w:tc>
        <w:tc>
          <w:tcPr>
            <w:tcW w:w="645" w:type="dxa"/>
            <w:noWrap w:val="0"/>
            <w:vAlign w:val="center"/>
          </w:tcPr>
          <w:p>
            <w:pPr>
              <w:jc w:val="center"/>
              <w:rPr>
                <w:b/>
                <w:bCs/>
                <w:szCs w:val="21"/>
              </w:rPr>
            </w:pPr>
            <w:r>
              <w:rPr>
                <w:b/>
                <w:bCs/>
                <w:szCs w:val="21"/>
              </w:rPr>
              <w:t>教学学时</w:t>
            </w:r>
          </w:p>
        </w:tc>
        <w:tc>
          <w:tcPr>
            <w:tcW w:w="727" w:type="dxa"/>
            <w:noWrap w:val="0"/>
            <w:vAlign w:val="center"/>
          </w:tcPr>
          <w:p>
            <w:pPr>
              <w:jc w:val="center"/>
              <w:rPr>
                <w:b/>
                <w:bCs/>
                <w:szCs w:val="21"/>
              </w:rPr>
            </w:pPr>
            <w:r>
              <w:rPr>
                <w:b/>
                <w:bCs/>
                <w:szCs w:val="21"/>
              </w:rPr>
              <w:t>教学方式</w:t>
            </w:r>
          </w:p>
        </w:tc>
        <w:tc>
          <w:tcPr>
            <w:tcW w:w="925" w:type="dxa"/>
            <w:noWrap w:val="0"/>
            <w:vAlign w:val="center"/>
          </w:tcPr>
          <w:p>
            <w:pPr>
              <w:jc w:val="center"/>
              <w:rPr>
                <w:b/>
                <w:bCs/>
                <w:szCs w:val="21"/>
              </w:rPr>
            </w:pPr>
            <w:r>
              <w:rPr>
                <w:b/>
                <w:bCs/>
                <w:szCs w:val="21"/>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95" w:type="dxa"/>
            <w:noWrap w:val="0"/>
            <w:vAlign w:val="center"/>
          </w:tcPr>
          <w:p>
            <w:pPr>
              <w:jc w:val="center"/>
              <w:rPr>
                <w:szCs w:val="21"/>
              </w:rPr>
            </w:pPr>
            <w:r>
              <w:rPr>
                <w:szCs w:val="21"/>
              </w:rPr>
              <w:t>1</w:t>
            </w:r>
          </w:p>
        </w:tc>
        <w:tc>
          <w:tcPr>
            <w:tcW w:w="1851" w:type="dxa"/>
            <w:noWrap w:val="0"/>
            <w:vAlign w:val="center"/>
          </w:tcPr>
          <w:p>
            <w:pPr>
              <w:rPr>
                <w:rFonts w:hint="eastAsia"/>
                <w:kern w:val="0"/>
                <w:szCs w:val="21"/>
              </w:rPr>
            </w:pPr>
            <w:r>
              <w:rPr>
                <w:rFonts w:hint="eastAsia"/>
                <w:b/>
                <w:kern w:val="0"/>
                <w:szCs w:val="21"/>
              </w:rPr>
              <w:t>绪论：</w:t>
            </w:r>
            <w:r>
              <w:rPr>
                <w:rFonts w:hint="eastAsia"/>
                <w:kern w:val="0"/>
                <w:szCs w:val="21"/>
              </w:rPr>
              <w:t>化工过程：概念；</w:t>
            </w:r>
          </w:p>
          <w:p>
            <w:pPr>
              <w:rPr>
                <w:kern w:val="0"/>
                <w:szCs w:val="21"/>
              </w:rPr>
            </w:pPr>
            <w:r>
              <w:rPr>
                <w:rFonts w:hint="eastAsia"/>
                <w:kern w:val="0"/>
                <w:szCs w:val="21"/>
              </w:rPr>
              <w:t>单元操作：分类和内容；化工原理课程的两条主线：传递过程和研究方法论</w:t>
            </w:r>
          </w:p>
          <w:p>
            <w:pPr>
              <w:rPr>
                <w:kern w:val="0"/>
                <w:szCs w:val="21"/>
              </w:rPr>
            </w:pPr>
            <w:r>
              <w:rPr>
                <w:b/>
                <w:kern w:val="0"/>
                <w:szCs w:val="21"/>
              </w:rPr>
              <w:t>重点和难点：</w:t>
            </w:r>
            <w:r>
              <w:rPr>
                <w:rFonts w:hint="eastAsia"/>
                <w:kern w:val="0"/>
                <w:szCs w:val="21"/>
              </w:rPr>
              <w:t>介绍化工原理课程的性质、内容及任务，单元操作在生产中的重要性及普遍性。</w:t>
            </w:r>
          </w:p>
        </w:tc>
        <w:tc>
          <w:tcPr>
            <w:tcW w:w="3115" w:type="dxa"/>
            <w:noWrap w:val="0"/>
            <w:vAlign w:val="center"/>
          </w:tcPr>
          <w:p>
            <w:pPr>
              <w:widowControl/>
              <w:jc w:val="left"/>
            </w:pPr>
            <w:r>
              <w:rPr>
                <w:rFonts w:hint="eastAsia" w:ascii="宋体" w:hAnsi="宋体" w:cs="宋体"/>
                <w:color w:val="000000"/>
                <w:kern w:val="0"/>
                <w:szCs w:val="21"/>
                <w:lang w:bidi="ar"/>
              </w:rPr>
              <w:t xml:space="preserve">首先，立足单元操作基本知识，加强对单元操作的原理、过程分析和实际工程应用案例的掌握和认识，夯实进一步学习相关专业课程的基础，在此过程中融入家国情怀、理想塑造等德育元素。 </w:t>
            </w:r>
          </w:p>
          <w:p>
            <w:pPr>
              <w:widowControl/>
              <w:jc w:val="left"/>
            </w:pPr>
            <w:r>
              <w:rPr>
                <w:rFonts w:hint="eastAsia" w:ascii="宋体" w:hAnsi="宋体" w:cs="宋体"/>
                <w:color w:val="000000"/>
                <w:kern w:val="0"/>
                <w:szCs w:val="21"/>
                <w:lang w:bidi="ar"/>
              </w:rPr>
              <w:t xml:space="preserve">其次，能综合利用数学、物理等学科知识，分析并研究单元操作及其设备的计算、设计、操作、优化及过程强化，厚植工程伦理、意志品格、职业素养、耐挫能力、饱满人格等德育元素。 </w:t>
            </w:r>
          </w:p>
          <w:p>
            <w:pPr>
              <w:widowControl/>
              <w:jc w:val="left"/>
              <w:rPr>
                <w:kern w:val="0"/>
                <w:szCs w:val="21"/>
              </w:rPr>
            </w:pPr>
            <w:r>
              <w:rPr>
                <w:rFonts w:hint="eastAsia" w:ascii="宋体" w:hAnsi="宋体" w:cs="宋体"/>
                <w:color w:val="000000"/>
                <w:kern w:val="0"/>
                <w:szCs w:val="21"/>
                <w:lang w:bidi="ar"/>
              </w:rPr>
              <w:t>第三，让学习者充分领悟化工原理的科学思维和科学研究方法。通过知识的获取，强化归纳和演绎推理等能力的培养，并掌握量纲分析法、数学模型法、分解与综合法等科学研究方法，融入逻辑思辨、创新精神的德育元素。</w:t>
            </w:r>
          </w:p>
        </w:tc>
        <w:tc>
          <w:tcPr>
            <w:tcW w:w="1513" w:type="dxa"/>
            <w:noWrap w:val="0"/>
            <w:vAlign w:val="center"/>
          </w:tcPr>
          <w:p>
            <w:pPr>
              <w:autoSpaceDE w:val="0"/>
              <w:autoSpaceDN w:val="0"/>
              <w:adjustRightInd w:val="0"/>
              <w:rPr>
                <w:kern w:val="0"/>
                <w:szCs w:val="21"/>
              </w:rPr>
            </w:pPr>
            <w:r>
              <w:rPr>
                <w:rFonts w:hint="eastAsia"/>
                <w:kern w:val="0"/>
                <w:szCs w:val="21"/>
              </w:rPr>
              <w:t>了解化工过程的基本概念掌握单元操作的分类方法和主要内容理解动量、热量和物质传递这三种传递过程，了解两种研究方法论：实验研究方法和数学模型法。</w:t>
            </w:r>
          </w:p>
        </w:tc>
        <w:tc>
          <w:tcPr>
            <w:tcW w:w="645" w:type="dxa"/>
            <w:noWrap w:val="0"/>
            <w:vAlign w:val="center"/>
          </w:tcPr>
          <w:p>
            <w:pPr>
              <w:spacing w:line="360" w:lineRule="exact"/>
              <w:jc w:val="center"/>
              <w:rPr>
                <w:szCs w:val="21"/>
              </w:rPr>
            </w:pPr>
            <w:r>
              <w:rPr>
                <w:rFonts w:hint="eastAsia"/>
                <w:sz w:val="24"/>
              </w:rPr>
              <w:t>2</w:t>
            </w:r>
          </w:p>
        </w:tc>
        <w:tc>
          <w:tcPr>
            <w:tcW w:w="727" w:type="dxa"/>
            <w:noWrap w:val="0"/>
            <w:vAlign w:val="center"/>
          </w:tcPr>
          <w:p>
            <w:pPr>
              <w:rPr>
                <w:szCs w:val="21"/>
              </w:rPr>
            </w:pPr>
            <w:r>
              <w:rPr>
                <w:szCs w:val="21"/>
              </w:rPr>
              <w:t>讲授/讨论等</w:t>
            </w:r>
          </w:p>
        </w:tc>
        <w:tc>
          <w:tcPr>
            <w:tcW w:w="925" w:type="dxa"/>
            <w:noWrap w:val="0"/>
            <w:vAlign w:val="center"/>
          </w:tcPr>
          <w:p>
            <w:pPr>
              <w:jc w:val="center"/>
              <w:rPr>
                <w:bCs/>
                <w:kern w:val="0"/>
                <w:szCs w:val="21"/>
              </w:rPr>
            </w:pPr>
            <w:r>
              <w:rPr>
                <w:bCs/>
                <w:kern w:val="0"/>
                <w:szCs w:val="21"/>
              </w:rPr>
              <w:t>目标1</w:t>
            </w:r>
          </w:p>
          <w:p>
            <w:pPr>
              <w:jc w:val="center"/>
              <w:rPr>
                <w:bCs/>
                <w:kern w:val="0"/>
                <w:szCs w:val="21"/>
              </w:rPr>
            </w:pPr>
            <w:r>
              <w:rPr>
                <w:bCs/>
                <w:kern w:val="0"/>
                <w:szCs w:val="21"/>
              </w:rPr>
              <w:t>目标2</w:t>
            </w:r>
          </w:p>
          <w:p>
            <w:pPr>
              <w:jc w:val="cente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95" w:type="dxa"/>
            <w:noWrap w:val="0"/>
            <w:vAlign w:val="center"/>
          </w:tcPr>
          <w:p>
            <w:pPr>
              <w:jc w:val="center"/>
              <w:rPr>
                <w:szCs w:val="21"/>
              </w:rPr>
            </w:pPr>
            <w:r>
              <w:rPr>
                <w:szCs w:val="21"/>
              </w:rPr>
              <w:t>2</w:t>
            </w:r>
          </w:p>
        </w:tc>
        <w:tc>
          <w:tcPr>
            <w:tcW w:w="1851" w:type="dxa"/>
            <w:noWrap w:val="0"/>
            <w:vAlign w:val="center"/>
          </w:tcPr>
          <w:p>
            <w:pPr>
              <w:rPr>
                <w:kern w:val="0"/>
                <w:szCs w:val="21"/>
              </w:rPr>
            </w:pPr>
            <w:r>
              <w:rPr>
                <w:rFonts w:hint="eastAsia"/>
                <w:b/>
                <w:kern w:val="0"/>
                <w:szCs w:val="21"/>
              </w:rPr>
              <w:t>流体流动：</w:t>
            </w:r>
            <w:r>
              <w:rPr>
                <w:rFonts w:hint="eastAsia"/>
                <w:kern w:val="0"/>
                <w:szCs w:val="21"/>
              </w:rPr>
              <w:t>概述：考察方法、作用力、机械能；流体静力学：静压强在空间的分布、压强能与位能、测量方法；流体流动中的守恒原理：质量守恒、机械能守恒、动量守恒；流体流动的内部结构：流动类型、湍流的基本特征、圆管内流动的数学描述；阻力损失：层流和湍流时直管阻力计算、局部阻力分类和计算；流体输送管路的计算：阻力对流动的影响、简单和复杂管路计算；流速和流量的测定：测速管、孔板与文丘里流量计和转子流量</w:t>
            </w:r>
          </w:p>
          <w:p>
            <w:pPr>
              <w:rPr>
                <w:kern w:val="0"/>
                <w:szCs w:val="21"/>
              </w:rPr>
            </w:pPr>
            <w:r>
              <w:rPr>
                <w:b/>
                <w:kern w:val="0"/>
                <w:szCs w:val="21"/>
              </w:rPr>
              <w:t>重点和难点：</w:t>
            </w:r>
            <w:r>
              <w:rPr>
                <w:kern w:val="0"/>
                <w:szCs w:val="21"/>
              </w:rPr>
              <w:t>能量守衡</w:t>
            </w:r>
            <w:r>
              <w:rPr>
                <w:rFonts w:hint="eastAsia"/>
                <w:kern w:val="0"/>
                <w:szCs w:val="21"/>
              </w:rPr>
              <w:t>  控制体的选取  因次分析方法  边界层概念等</w:t>
            </w:r>
          </w:p>
        </w:tc>
        <w:tc>
          <w:tcPr>
            <w:tcW w:w="3115" w:type="dxa"/>
            <w:noWrap w:val="0"/>
            <w:vAlign w:val="center"/>
          </w:tcPr>
          <w:p>
            <w:pPr>
              <w:widowControl/>
              <w:jc w:val="left"/>
              <w:rPr>
                <w:rFonts w:hint="eastAsia" w:ascii="宋体" w:hAnsi="宋体" w:cs="宋体"/>
                <w:color w:val="000000"/>
                <w:kern w:val="0"/>
                <w:szCs w:val="21"/>
                <w:lang w:bidi="ar"/>
              </w:rPr>
            </w:pPr>
            <w:r>
              <w:rPr>
                <w:rFonts w:hint="eastAsia" w:ascii="宋体" w:hAnsi="宋体" w:cs="宋体"/>
                <w:color w:val="000000"/>
                <w:kern w:val="0"/>
                <w:szCs w:val="21"/>
                <w:lang w:bidi="ar"/>
              </w:rPr>
              <w:t xml:space="preserve">我国华东理工大学顾毓珍先生早年曾在美国 </w:t>
            </w:r>
            <w:r>
              <w:rPr>
                <w:color w:val="000000"/>
                <w:kern w:val="0"/>
                <w:szCs w:val="21"/>
                <w:lang w:bidi="ar"/>
              </w:rPr>
              <w:t xml:space="preserve">MIT </w:t>
            </w:r>
            <w:r>
              <w:rPr>
                <w:rFonts w:hint="eastAsia" w:ascii="宋体" w:hAnsi="宋体" w:cs="宋体"/>
                <w:color w:val="000000"/>
                <w:kern w:val="0"/>
                <w:szCs w:val="21"/>
                <w:lang w:bidi="ar"/>
              </w:rPr>
              <w:t>深入研究上述经验方程关系，得到著名的顾毓珍公式，后顾先生获博士学位，学成后回国报效国家，这个典型，可用作爱国主义、理想信念和科学精神教育的德育元素。</w:t>
            </w:r>
          </w:p>
          <w:p>
            <w:pPr>
              <w:widowControl/>
              <w:jc w:val="left"/>
              <w:rPr>
                <w:rFonts w:hint="eastAsia" w:ascii="宋体" w:hAnsi="宋体" w:cs="宋体"/>
                <w:color w:val="000000"/>
                <w:kern w:val="0"/>
                <w:szCs w:val="21"/>
                <w:lang w:bidi="ar"/>
              </w:rPr>
            </w:pPr>
            <w:r>
              <w:rPr>
                <w:rFonts w:hint="eastAsia" w:ascii="宋体" w:hAnsi="宋体" w:cs="宋体"/>
                <w:color w:val="000000"/>
                <w:kern w:val="0"/>
                <w:szCs w:val="21"/>
                <w:lang w:bidi="ar"/>
              </w:rPr>
              <w:t>流体流动章节的静力学方程和动力学方程(机械能守恒方程)，可以抽提出“运动的绝对性和静止的相对性”哲学元素。</w:t>
            </w:r>
          </w:p>
          <w:p>
            <w:pPr>
              <w:widowControl/>
              <w:jc w:val="left"/>
              <w:rPr>
                <w:rFonts w:hint="eastAsia" w:ascii="宋体" w:hAnsi="宋体" w:cs="宋体"/>
                <w:color w:val="000000"/>
                <w:kern w:val="0"/>
                <w:szCs w:val="21"/>
                <w:lang w:bidi="ar"/>
              </w:rPr>
            </w:pPr>
          </w:p>
          <w:p>
            <w:pPr>
              <w:rPr>
                <w:szCs w:val="21"/>
              </w:rPr>
            </w:pPr>
          </w:p>
        </w:tc>
        <w:tc>
          <w:tcPr>
            <w:tcW w:w="1513" w:type="dxa"/>
            <w:noWrap w:val="0"/>
            <w:vAlign w:val="center"/>
          </w:tcPr>
          <w:p>
            <w:pPr>
              <w:rPr>
                <w:szCs w:val="21"/>
              </w:rPr>
            </w:pPr>
            <w:r>
              <w:rPr>
                <w:rFonts w:hint="eastAsia"/>
                <w:szCs w:val="21"/>
              </w:rPr>
              <w:t>了解流体流动的考察方法、作用力分类和机械能种类；理解流体静力学中静压强的分布规律、压强能和位能的物理意义，了解静压强的测量方法；理解流体流动中的三种守恒原理，熟练掌握伯努利方程的推导及应用；掌握流体流动类型的分类、基本特征和圆管内不同流动状态的数学描述；熟练掌握层流和湍流时直管阻力计算方法，了解局部阻力一般性分类和计算方法；理解阻力对流动的影响规律、熟练掌握简单管路计算，了解复杂管路计算方法；掌握几种流量计的测量原理和使用条件。</w:t>
            </w:r>
          </w:p>
        </w:tc>
        <w:tc>
          <w:tcPr>
            <w:tcW w:w="645" w:type="dxa"/>
            <w:noWrap w:val="0"/>
            <w:vAlign w:val="center"/>
          </w:tcPr>
          <w:p>
            <w:pPr>
              <w:spacing w:line="360" w:lineRule="exact"/>
              <w:jc w:val="center"/>
              <w:rPr>
                <w:szCs w:val="21"/>
              </w:rPr>
            </w:pPr>
            <w:r>
              <w:rPr>
                <w:rFonts w:hint="eastAsia"/>
                <w:sz w:val="24"/>
              </w:rPr>
              <w:t>14</w:t>
            </w:r>
          </w:p>
        </w:tc>
        <w:tc>
          <w:tcPr>
            <w:tcW w:w="727" w:type="dxa"/>
            <w:noWrap w:val="0"/>
            <w:vAlign w:val="center"/>
          </w:tcPr>
          <w:p>
            <w:pPr>
              <w:rPr>
                <w:szCs w:val="21"/>
              </w:rPr>
            </w:pPr>
            <w:r>
              <w:rPr>
                <w:szCs w:val="21"/>
              </w:rPr>
              <w:t>讲授/讨论/实例教学等</w:t>
            </w:r>
          </w:p>
        </w:tc>
        <w:tc>
          <w:tcPr>
            <w:tcW w:w="925" w:type="dxa"/>
            <w:noWrap w:val="0"/>
            <w:vAlign w:val="center"/>
          </w:tcPr>
          <w:p>
            <w:pPr>
              <w:jc w:val="center"/>
              <w:rPr>
                <w:bCs/>
                <w:kern w:val="0"/>
                <w:szCs w:val="21"/>
              </w:rPr>
            </w:pPr>
            <w:r>
              <w:rPr>
                <w:bCs/>
                <w:kern w:val="0"/>
                <w:szCs w:val="21"/>
              </w:rPr>
              <w:t>目标1</w:t>
            </w:r>
          </w:p>
          <w:p>
            <w:pPr>
              <w:jc w:val="center"/>
              <w:rPr>
                <w:bCs/>
                <w:szCs w:val="21"/>
              </w:rPr>
            </w:pPr>
            <w:r>
              <w:rPr>
                <w:bCs/>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95" w:type="dxa"/>
            <w:noWrap w:val="0"/>
            <w:vAlign w:val="center"/>
          </w:tcPr>
          <w:p>
            <w:pPr>
              <w:jc w:val="center"/>
              <w:rPr>
                <w:szCs w:val="21"/>
              </w:rPr>
            </w:pPr>
            <w:r>
              <w:rPr>
                <w:szCs w:val="21"/>
              </w:rPr>
              <w:t>3</w:t>
            </w:r>
          </w:p>
        </w:tc>
        <w:tc>
          <w:tcPr>
            <w:tcW w:w="1851" w:type="dxa"/>
            <w:noWrap w:val="0"/>
            <w:vAlign w:val="center"/>
          </w:tcPr>
          <w:p>
            <w:pPr>
              <w:rPr>
                <w:kern w:val="0"/>
                <w:szCs w:val="21"/>
              </w:rPr>
            </w:pPr>
            <w:r>
              <w:rPr>
                <w:rFonts w:hint="eastAsia"/>
                <w:b/>
                <w:kern w:val="0"/>
                <w:szCs w:val="21"/>
              </w:rPr>
              <w:t>流体输送机械：</w:t>
            </w:r>
            <w:r>
              <w:rPr>
                <w:rFonts w:hint="eastAsia"/>
                <w:kern w:val="0"/>
                <w:szCs w:val="21"/>
              </w:rPr>
              <w:t>离心泵：工作原理、特性曲线、流量调节方法、安装高度、类型与选用；往复泵：作用原理和类型、流量调节；其他化工用泵：非正位移泵、正位移泵；气体输送机械：通风机、鼓风机、压缩机、离心泵</w:t>
            </w:r>
          </w:p>
          <w:p>
            <w:pPr>
              <w:rPr>
                <w:kern w:val="0"/>
                <w:szCs w:val="21"/>
              </w:rPr>
            </w:pPr>
            <w:r>
              <w:rPr>
                <w:b/>
                <w:kern w:val="0"/>
                <w:szCs w:val="21"/>
              </w:rPr>
              <w:t>重点和难点：</w:t>
            </w:r>
            <w:r>
              <w:rPr>
                <w:rFonts w:hint="eastAsia"/>
                <w:kern w:val="0"/>
                <w:szCs w:val="21"/>
              </w:rPr>
              <w:t>离心泵工作原理与气缚现象、气蚀现象与离心泵的安装高度等。</w:t>
            </w:r>
          </w:p>
        </w:tc>
        <w:tc>
          <w:tcPr>
            <w:tcW w:w="3115" w:type="dxa"/>
            <w:noWrap w:val="0"/>
            <w:vAlign w:val="center"/>
          </w:tcPr>
          <w:p>
            <w:pPr>
              <w:widowControl/>
              <w:jc w:val="left"/>
            </w:pPr>
            <w:r>
              <w:rPr>
                <w:rFonts w:hint="eastAsia" w:ascii="宋体" w:hAnsi="宋体" w:cs="宋体"/>
                <w:color w:val="000000"/>
                <w:kern w:val="0"/>
                <w:szCs w:val="21"/>
                <w:lang w:bidi="ar"/>
              </w:rPr>
              <w:t>在爱国主义、理想信念、使命感和科学精神等育德教学上具有极强的感召力。</w:t>
            </w:r>
          </w:p>
          <w:p>
            <w:pPr>
              <w:rPr>
                <w:szCs w:val="21"/>
              </w:rPr>
            </w:pPr>
          </w:p>
        </w:tc>
        <w:tc>
          <w:tcPr>
            <w:tcW w:w="1513" w:type="dxa"/>
            <w:noWrap w:val="0"/>
            <w:vAlign w:val="center"/>
          </w:tcPr>
          <w:p>
            <w:pPr>
              <w:rPr>
                <w:szCs w:val="21"/>
              </w:rPr>
            </w:pPr>
            <w:r>
              <w:rPr>
                <w:rFonts w:hint="eastAsia"/>
                <w:szCs w:val="21"/>
              </w:rPr>
              <w:t>理解离心泵的工作原理，熟练掌握离心泵的特性曲线、安装高度的计算，了解离心泵基本类型与选用标准理解往复泵的工作原理，了解往复泵的分类，掌握往复泵的流量调节方法了解非正位移泵和正位移泵的差异及选用掌握几种气体输送机械的的工作原理、特点及主要性能参数。</w:t>
            </w:r>
          </w:p>
        </w:tc>
        <w:tc>
          <w:tcPr>
            <w:tcW w:w="645" w:type="dxa"/>
            <w:noWrap w:val="0"/>
            <w:vAlign w:val="center"/>
          </w:tcPr>
          <w:p>
            <w:pPr>
              <w:spacing w:line="360" w:lineRule="exact"/>
              <w:jc w:val="center"/>
              <w:rPr>
                <w:szCs w:val="21"/>
              </w:rPr>
            </w:pPr>
            <w:r>
              <w:rPr>
                <w:rFonts w:hint="eastAsia"/>
                <w:sz w:val="24"/>
              </w:rPr>
              <w:t>8</w:t>
            </w:r>
          </w:p>
        </w:tc>
        <w:tc>
          <w:tcPr>
            <w:tcW w:w="727" w:type="dxa"/>
            <w:noWrap w:val="0"/>
            <w:vAlign w:val="center"/>
          </w:tcPr>
          <w:p>
            <w:pPr>
              <w:rPr>
                <w:szCs w:val="21"/>
              </w:rPr>
            </w:pPr>
            <w:r>
              <w:rPr>
                <w:szCs w:val="21"/>
              </w:rPr>
              <w:t>讲授/讨论/实例教学等</w:t>
            </w:r>
          </w:p>
        </w:tc>
        <w:tc>
          <w:tcPr>
            <w:tcW w:w="925" w:type="dxa"/>
            <w:noWrap w:val="0"/>
            <w:vAlign w:val="center"/>
          </w:tcPr>
          <w:p>
            <w:pPr>
              <w:jc w:val="center"/>
              <w:rPr>
                <w:bCs/>
                <w:kern w:val="0"/>
                <w:szCs w:val="21"/>
              </w:rPr>
            </w:pPr>
            <w:r>
              <w:rPr>
                <w:bCs/>
                <w:kern w:val="0"/>
                <w:szCs w:val="21"/>
              </w:rPr>
              <w:t>目标1</w:t>
            </w:r>
          </w:p>
          <w:p>
            <w:pPr>
              <w:jc w:val="center"/>
              <w:rPr>
                <w:bCs/>
                <w:szCs w:val="21"/>
              </w:rPr>
            </w:pPr>
            <w:r>
              <w:rPr>
                <w:bCs/>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95" w:type="dxa"/>
            <w:noWrap w:val="0"/>
            <w:vAlign w:val="center"/>
          </w:tcPr>
          <w:p>
            <w:pPr>
              <w:jc w:val="center"/>
              <w:rPr>
                <w:szCs w:val="21"/>
              </w:rPr>
            </w:pPr>
            <w:r>
              <w:rPr>
                <w:szCs w:val="21"/>
              </w:rPr>
              <w:t>4</w:t>
            </w:r>
          </w:p>
        </w:tc>
        <w:tc>
          <w:tcPr>
            <w:tcW w:w="1851" w:type="dxa"/>
            <w:noWrap w:val="0"/>
            <w:vAlign w:val="center"/>
          </w:tcPr>
          <w:p>
            <w:pPr>
              <w:rPr>
                <w:kern w:val="0"/>
                <w:szCs w:val="21"/>
              </w:rPr>
            </w:pPr>
            <w:r>
              <w:rPr>
                <w:rFonts w:hint="eastAsia"/>
                <w:b/>
                <w:kern w:val="0"/>
                <w:szCs w:val="21"/>
              </w:rPr>
              <w:t>沉降与过滤：</w:t>
            </w:r>
            <w:r>
              <w:rPr>
                <w:rFonts w:hint="eastAsia"/>
                <w:kern w:val="0"/>
                <w:szCs w:val="21"/>
              </w:rPr>
              <w:t>重力沉降的基本计算及降尘室的构造、操作和计算；离心沉降的基本计算及旋风分离器的构造；过滤：原理、设备、过滤过程的计算</w:t>
            </w:r>
          </w:p>
          <w:p>
            <w:pPr>
              <w:rPr>
                <w:kern w:val="0"/>
                <w:szCs w:val="21"/>
              </w:rPr>
            </w:pPr>
            <w:r>
              <w:rPr>
                <w:b/>
                <w:kern w:val="0"/>
                <w:szCs w:val="21"/>
              </w:rPr>
              <w:t>重点和难点：</w:t>
            </w:r>
            <w:r>
              <w:rPr>
                <w:rFonts w:hint="eastAsia"/>
                <w:kern w:val="0"/>
                <w:szCs w:val="21"/>
              </w:rPr>
              <w:t xml:space="preserve"> 重力沉降速度、降尘室的计算、过滤基本方程式推导  过滤常数的测定等</w:t>
            </w:r>
          </w:p>
        </w:tc>
        <w:tc>
          <w:tcPr>
            <w:tcW w:w="3115" w:type="dxa"/>
            <w:noWrap w:val="0"/>
            <w:vAlign w:val="center"/>
          </w:tcPr>
          <w:p>
            <w:pPr>
              <w:widowControl/>
              <w:jc w:val="left"/>
              <w:rPr>
                <w:szCs w:val="21"/>
              </w:rPr>
            </w:pPr>
            <w:r>
              <w:rPr>
                <w:rFonts w:hint="eastAsia" w:ascii="宋体" w:hAnsi="宋体" w:cs="宋体"/>
                <w:color w:val="000000"/>
                <w:kern w:val="0"/>
                <w:szCs w:val="21"/>
                <w:lang w:bidi="ar"/>
              </w:rPr>
              <w:t>沉降等单元操作过程，涉及环保、健康和安全以及法律规范等育德元素，藉这些教学内容渗透环保、健康、安全和法律等化工过程的理念，结合化工过程废弃物排放的严格规范和法律法规，达到培养学生环保、安全和法律道德意识的培养。</w:t>
            </w:r>
          </w:p>
        </w:tc>
        <w:tc>
          <w:tcPr>
            <w:tcW w:w="1513" w:type="dxa"/>
            <w:noWrap w:val="0"/>
            <w:vAlign w:val="center"/>
          </w:tcPr>
          <w:p>
            <w:pPr>
              <w:autoSpaceDE w:val="0"/>
              <w:autoSpaceDN w:val="0"/>
              <w:adjustRightInd w:val="0"/>
              <w:rPr>
                <w:szCs w:val="21"/>
              </w:rPr>
            </w:pPr>
            <w:r>
              <w:rPr>
                <w:rFonts w:hint="eastAsia"/>
                <w:szCs w:val="21"/>
              </w:rPr>
              <w:t>掌握重力沉降的原理及降尘室的设计计算了解离心沉降的原理及旋风分离器的构造和选型理解过滤的基本概念、原理，熟练掌握过滤过程的计算，了解过滤设备的结构和特点。</w:t>
            </w:r>
          </w:p>
        </w:tc>
        <w:tc>
          <w:tcPr>
            <w:tcW w:w="645" w:type="dxa"/>
            <w:noWrap w:val="0"/>
            <w:vAlign w:val="center"/>
          </w:tcPr>
          <w:p>
            <w:pPr>
              <w:spacing w:line="360" w:lineRule="exact"/>
              <w:jc w:val="center"/>
              <w:rPr>
                <w:szCs w:val="21"/>
              </w:rPr>
            </w:pPr>
            <w:r>
              <w:rPr>
                <w:rFonts w:hint="eastAsia"/>
                <w:sz w:val="24"/>
              </w:rPr>
              <w:t>8</w:t>
            </w:r>
          </w:p>
        </w:tc>
        <w:tc>
          <w:tcPr>
            <w:tcW w:w="727" w:type="dxa"/>
            <w:noWrap w:val="0"/>
            <w:vAlign w:val="center"/>
          </w:tcPr>
          <w:p>
            <w:pPr>
              <w:rPr>
                <w:szCs w:val="21"/>
              </w:rPr>
            </w:pPr>
            <w:r>
              <w:rPr>
                <w:szCs w:val="21"/>
              </w:rPr>
              <w:t>讲授/讨论/实例教学等</w:t>
            </w:r>
          </w:p>
        </w:tc>
        <w:tc>
          <w:tcPr>
            <w:tcW w:w="925" w:type="dxa"/>
            <w:noWrap w:val="0"/>
            <w:vAlign w:val="center"/>
          </w:tcPr>
          <w:p>
            <w:pPr>
              <w:jc w:val="center"/>
              <w:rPr>
                <w:bCs/>
                <w:kern w:val="0"/>
                <w:szCs w:val="21"/>
              </w:rPr>
            </w:pPr>
            <w:r>
              <w:rPr>
                <w:bCs/>
                <w:kern w:val="0"/>
                <w:szCs w:val="21"/>
              </w:rPr>
              <w:t>目标1</w:t>
            </w:r>
          </w:p>
          <w:p>
            <w:pPr>
              <w:jc w:val="center"/>
              <w:rPr>
                <w:bCs/>
                <w:szCs w:val="21"/>
              </w:rPr>
            </w:pPr>
            <w:r>
              <w:rPr>
                <w:bCs/>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95" w:type="dxa"/>
            <w:noWrap w:val="0"/>
            <w:vAlign w:val="center"/>
          </w:tcPr>
          <w:p>
            <w:pPr>
              <w:jc w:val="center"/>
              <w:rPr>
                <w:szCs w:val="21"/>
              </w:rPr>
            </w:pPr>
            <w:r>
              <w:rPr>
                <w:szCs w:val="21"/>
              </w:rPr>
              <w:t>5</w:t>
            </w:r>
          </w:p>
        </w:tc>
        <w:tc>
          <w:tcPr>
            <w:tcW w:w="1851" w:type="dxa"/>
            <w:noWrap w:val="0"/>
            <w:vAlign w:val="center"/>
          </w:tcPr>
          <w:p>
            <w:pPr>
              <w:rPr>
                <w:kern w:val="0"/>
                <w:szCs w:val="21"/>
              </w:rPr>
            </w:pPr>
            <w:r>
              <w:rPr>
                <w:rFonts w:hint="eastAsia"/>
                <w:b/>
                <w:kern w:val="0"/>
                <w:szCs w:val="21"/>
              </w:rPr>
              <w:t>传热：</w:t>
            </w:r>
            <w:r>
              <w:rPr>
                <w:rFonts w:hint="eastAsia"/>
                <w:kern w:val="0"/>
                <w:szCs w:val="21"/>
              </w:rPr>
              <w:t>热传导：傅里叶定律、平壁、圆筒壁和多层壁的定态导热过程对流给热：过程分析、数学描述有相变时的给热：沸腾给热、冷凝给热热辐射：固体辐射、气体辐射传热过程的计算：传热速率方程式、传热量、平均温度差、总传热系数的计换热器：间壁式、管壳式</w:t>
            </w:r>
          </w:p>
          <w:p>
            <w:pPr>
              <w:rPr>
                <w:kern w:val="0"/>
                <w:szCs w:val="21"/>
              </w:rPr>
            </w:pPr>
            <w:r>
              <w:rPr>
                <w:b/>
                <w:kern w:val="0"/>
                <w:szCs w:val="21"/>
              </w:rPr>
              <w:t>重点和难点：</w:t>
            </w:r>
            <w:r>
              <w:rPr>
                <w:rFonts w:hint="eastAsia"/>
                <w:bCs/>
                <w:kern w:val="0"/>
                <w:szCs w:val="21"/>
              </w:rPr>
              <w:t>对流传热机理分析；牛顿冷却定律；对流传热系数及其主要影响因素</w:t>
            </w:r>
          </w:p>
        </w:tc>
        <w:tc>
          <w:tcPr>
            <w:tcW w:w="3115" w:type="dxa"/>
            <w:noWrap w:val="0"/>
            <w:vAlign w:val="center"/>
          </w:tcPr>
          <w:p>
            <w:pPr>
              <w:widowControl/>
              <w:jc w:val="left"/>
              <w:rPr>
                <w:rFonts w:hint="eastAsia" w:ascii="宋体" w:hAnsi="宋体" w:cs="宋体"/>
                <w:color w:val="000000"/>
                <w:kern w:val="0"/>
                <w:szCs w:val="21"/>
                <w:lang w:bidi="ar"/>
              </w:rPr>
            </w:pPr>
            <w:r>
              <w:rPr>
                <w:rFonts w:hint="eastAsia" w:ascii="宋体" w:hAnsi="宋体" w:cs="宋体"/>
                <w:color w:val="000000"/>
                <w:kern w:val="0"/>
                <w:szCs w:val="21"/>
                <w:lang w:bidi="ar"/>
              </w:rPr>
              <w:t>传热单元操作设备发展史和科学家传记等素材，教学过程对学生可以进行隐性渗透式的理想信念、使命感和科学精神等思政教育。</w:t>
            </w:r>
          </w:p>
          <w:p>
            <w:pPr>
              <w:widowControl/>
              <w:jc w:val="left"/>
              <w:rPr>
                <w:szCs w:val="21"/>
              </w:rPr>
            </w:pPr>
            <w:r>
              <w:rPr>
                <w:rFonts w:hint="eastAsia" w:ascii="宋体" w:hAnsi="宋体" w:cs="宋体"/>
                <w:color w:val="000000"/>
                <w:kern w:val="0"/>
                <w:szCs w:val="21"/>
                <w:lang w:bidi="ar"/>
              </w:rPr>
              <w:t xml:space="preserve">科学家传记以普朗特为例。他在大学任教长达 </w:t>
            </w:r>
            <w:r>
              <w:rPr>
                <w:color w:val="000000"/>
                <w:kern w:val="0"/>
                <w:szCs w:val="21"/>
                <w:lang w:bidi="ar"/>
              </w:rPr>
              <w:t xml:space="preserve">45 </w:t>
            </w:r>
            <w:r>
              <w:rPr>
                <w:rFonts w:hint="eastAsia" w:ascii="宋体" w:hAnsi="宋体" w:cs="宋体"/>
                <w:color w:val="000000"/>
                <w:kern w:val="0"/>
                <w:szCs w:val="21"/>
                <w:lang w:bidi="ar"/>
              </w:rPr>
              <w:t>年，培养了不少杰出科学家，如冯</w:t>
            </w:r>
            <w:r>
              <w:rPr>
                <w:color w:val="000000"/>
                <w:kern w:val="0"/>
                <w:szCs w:val="21"/>
                <w:lang w:bidi="ar"/>
              </w:rPr>
              <w:t>·</w:t>
            </w:r>
            <w:r>
              <w:rPr>
                <w:rFonts w:hint="eastAsia" w:ascii="宋体" w:hAnsi="宋体" w:cs="宋体"/>
                <w:color w:val="000000"/>
                <w:kern w:val="0"/>
                <w:szCs w:val="21"/>
                <w:lang w:bidi="ar"/>
              </w:rPr>
              <w:t>卡门、布劳修斯、许利庆格等都是他的高足。普朗特在边界层 理论以及机翼理论方面起到了决定性的推进作用，并且他的研究成果成为气体力学的基本资料。</w:t>
            </w:r>
          </w:p>
        </w:tc>
        <w:tc>
          <w:tcPr>
            <w:tcW w:w="1513" w:type="dxa"/>
            <w:noWrap w:val="0"/>
            <w:vAlign w:val="center"/>
          </w:tcPr>
          <w:p>
            <w:pPr>
              <w:rPr>
                <w:szCs w:val="21"/>
              </w:rPr>
            </w:pPr>
            <w:r>
              <w:rPr>
                <w:rFonts w:hint="eastAsia"/>
                <w:szCs w:val="21"/>
              </w:rPr>
              <w:t>了解三种传热基本方式的基本定律和计算方法；重点掌握对流给热和传热过程计算；了解换热器的类型， 掌握管壳式换热器的设计及选用。</w:t>
            </w:r>
          </w:p>
        </w:tc>
        <w:tc>
          <w:tcPr>
            <w:tcW w:w="645" w:type="dxa"/>
            <w:noWrap w:val="0"/>
            <w:vAlign w:val="center"/>
          </w:tcPr>
          <w:p>
            <w:pPr>
              <w:spacing w:line="360" w:lineRule="exact"/>
              <w:jc w:val="center"/>
              <w:rPr>
                <w:szCs w:val="21"/>
              </w:rPr>
            </w:pPr>
            <w:r>
              <w:rPr>
                <w:rFonts w:hint="eastAsia"/>
                <w:sz w:val="24"/>
              </w:rPr>
              <w:t>16</w:t>
            </w:r>
          </w:p>
        </w:tc>
        <w:tc>
          <w:tcPr>
            <w:tcW w:w="727" w:type="dxa"/>
            <w:noWrap w:val="0"/>
            <w:vAlign w:val="center"/>
          </w:tcPr>
          <w:p>
            <w:pPr>
              <w:rPr>
                <w:szCs w:val="21"/>
              </w:rPr>
            </w:pPr>
            <w:r>
              <w:rPr>
                <w:szCs w:val="21"/>
              </w:rPr>
              <w:t>讲授/讨论/实例教学等</w:t>
            </w:r>
          </w:p>
        </w:tc>
        <w:tc>
          <w:tcPr>
            <w:tcW w:w="925" w:type="dxa"/>
            <w:noWrap w:val="0"/>
            <w:vAlign w:val="center"/>
          </w:tcPr>
          <w:p>
            <w:pPr>
              <w:jc w:val="center"/>
              <w:rPr>
                <w:bCs/>
                <w:kern w:val="0"/>
                <w:szCs w:val="21"/>
              </w:rPr>
            </w:pPr>
            <w:r>
              <w:rPr>
                <w:bCs/>
                <w:kern w:val="0"/>
                <w:szCs w:val="21"/>
              </w:rPr>
              <w:t>目标1</w:t>
            </w:r>
          </w:p>
          <w:p>
            <w:pPr>
              <w:jc w:val="center"/>
              <w:rPr>
                <w:bCs/>
                <w:szCs w:val="21"/>
              </w:rPr>
            </w:pPr>
            <w:r>
              <w:rPr>
                <w:bCs/>
                <w:kern w:val="0"/>
                <w:szCs w:val="21"/>
              </w:rPr>
              <w:t>目标2</w:t>
            </w:r>
          </w:p>
        </w:tc>
      </w:tr>
    </w:tbl>
    <w:p>
      <w:pPr>
        <w:spacing w:line="360" w:lineRule="auto"/>
        <w:ind w:firstLine="562" w:firstLineChars="200"/>
        <w:rPr>
          <w:rFonts w:hint="eastAsia"/>
          <w:b/>
          <w:sz w:val="28"/>
          <w:szCs w:val="28"/>
        </w:rPr>
      </w:pPr>
      <w:r>
        <w:rPr>
          <w:rFonts w:hint="eastAsia"/>
          <w:b/>
          <w:sz w:val="28"/>
          <w:szCs w:val="28"/>
        </w:rPr>
        <w:t>四、课程实施</w:t>
      </w:r>
    </w:p>
    <w:p>
      <w:pPr>
        <w:spacing w:line="360" w:lineRule="auto"/>
        <w:ind w:firstLine="482" w:firstLineChars="200"/>
        <w:rPr>
          <w:sz w:val="24"/>
        </w:rPr>
      </w:pPr>
      <w:r>
        <w:rPr>
          <w:rFonts w:hint="eastAsia"/>
          <w:b/>
          <w:sz w:val="24"/>
        </w:rPr>
        <w:t>（一）教学方法与教学手段</w:t>
      </w:r>
    </w:p>
    <w:p>
      <w:pPr>
        <w:spacing w:line="360" w:lineRule="auto"/>
        <w:ind w:firstLine="480" w:firstLineChars="200"/>
        <w:rPr>
          <w:sz w:val="24"/>
        </w:rPr>
      </w:pPr>
      <w:r>
        <w:rPr>
          <w:sz w:val="24"/>
        </w:rPr>
        <w:t>1.把握主线，引导学生掌握重要的化工原理概念、基本定律和基本公式，熟悉处理各种化工工程问题的方法，并学会灵活运用所学知识处理实际化工生产过程中所遇到问题及实验数据的归纳和分析方法，教学内容的选取，包括流体流动、流体输送机械</w:t>
      </w:r>
      <w:r>
        <w:rPr>
          <w:rFonts w:hint="eastAsia"/>
          <w:sz w:val="24"/>
        </w:rPr>
        <w:t>、</w:t>
      </w:r>
      <w:r>
        <w:rPr>
          <w:sz w:val="24"/>
        </w:rPr>
        <w:t>沉降与过滤和传热，使学生了解化工单元操作概貌。</w:t>
      </w:r>
    </w:p>
    <w:p>
      <w:pPr>
        <w:spacing w:line="360" w:lineRule="auto"/>
        <w:ind w:firstLine="480" w:firstLineChars="200"/>
        <w:rPr>
          <w:sz w:val="24"/>
        </w:rPr>
      </w:pPr>
      <w:r>
        <w:rPr>
          <w:sz w:val="24"/>
        </w:rPr>
        <w:t>2.采用多媒体教学手段，配合例题的讲解及适当的思考题，保证讲课进度的同时，注意学生的掌握程度和课堂的气氛。</w:t>
      </w:r>
    </w:p>
    <w:p>
      <w:pPr>
        <w:spacing w:line="360" w:lineRule="auto"/>
        <w:ind w:firstLine="480" w:firstLineChars="200"/>
        <w:rPr>
          <w:rFonts w:hint="eastAsia"/>
          <w:sz w:val="24"/>
        </w:rPr>
      </w:pPr>
      <w:r>
        <w:rPr>
          <w:sz w:val="24"/>
        </w:rPr>
        <w:t>3.采用案例式教学，引进</w:t>
      </w:r>
      <w:r>
        <w:rPr>
          <w:rFonts w:hint="eastAsia"/>
          <w:sz w:val="24"/>
        </w:rPr>
        <w:t>化工生产和设计</w:t>
      </w:r>
      <w:r>
        <w:rPr>
          <w:sz w:val="24"/>
        </w:rPr>
        <w:t>过程中的实际案例，</w:t>
      </w:r>
      <w:r>
        <w:rPr>
          <w:rFonts w:hint="eastAsia"/>
          <w:sz w:val="24"/>
        </w:rPr>
        <w:t>使学生不但解决课本上的问题而且能够通过在实际操作训练的基础上，能对化工原理知识有较为系统的概括了解。</w:t>
      </w:r>
    </w:p>
    <w:p>
      <w:pPr>
        <w:spacing w:line="360" w:lineRule="auto"/>
        <w:ind w:firstLine="482" w:firstLineChars="200"/>
        <w:rPr>
          <w:b/>
          <w:sz w:val="24"/>
        </w:rPr>
      </w:pPr>
      <w:r>
        <w:rPr>
          <w:rFonts w:hint="eastAsia"/>
          <w:b/>
          <w:sz w:val="24"/>
        </w:rPr>
        <w:t>（二）课程实施与保障</w:t>
      </w:r>
    </w:p>
    <w:tbl>
      <w:tblPr>
        <w:tblStyle w:val="10"/>
        <w:tblW w:w="9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817"/>
        <w:gridCol w:w="7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gridSpan w:val="2"/>
            <w:tcBorders>
              <w:top w:val="single" w:color="auto" w:sz="8" w:space="0"/>
              <w:left w:val="single" w:color="auto" w:sz="8" w:space="0"/>
              <w:right w:val="single" w:color="auto" w:sz="8" w:space="0"/>
            </w:tcBorders>
            <w:noWrap w:val="0"/>
            <w:tcMar>
              <w:left w:w="28" w:type="dxa"/>
              <w:right w:w="28" w:type="dxa"/>
            </w:tcMar>
            <w:vAlign w:val="center"/>
          </w:tcPr>
          <w:p>
            <w:pPr>
              <w:spacing w:line="276" w:lineRule="auto"/>
              <w:jc w:val="center"/>
              <w:rPr>
                <w:szCs w:val="21"/>
              </w:rPr>
            </w:pPr>
            <w:r>
              <w:rPr>
                <w:bCs/>
                <w:szCs w:val="21"/>
              </w:rPr>
              <w:t>主要教学环节</w:t>
            </w:r>
          </w:p>
        </w:tc>
        <w:tc>
          <w:tcPr>
            <w:tcW w:w="7858" w:type="dxa"/>
            <w:tcBorders>
              <w:top w:val="single" w:color="auto" w:sz="8" w:space="0"/>
              <w:left w:val="single" w:color="auto" w:sz="8" w:space="0"/>
              <w:right w:val="single" w:color="auto" w:sz="8" w:space="0"/>
            </w:tcBorders>
            <w:noWrap w:val="0"/>
            <w:vAlign w:val="center"/>
          </w:tcPr>
          <w:p>
            <w:pPr>
              <w:spacing w:line="276" w:lineRule="auto"/>
              <w:jc w:val="center"/>
              <w:rPr>
                <w:szCs w:val="21"/>
              </w:rPr>
            </w:pPr>
            <w:r>
              <w:rPr>
                <w:bCs/>
                <w:szCs w:val="21"/>
              </w:rPr>
              <w:t>质量</w:t>
            </w:r>
            <w:r>
              <w:rPr>
                <w:rFonts w:hint="eastAsia"/>
                <w:bCs/>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6" w:hRule="atLeast"/>
          <w:jc w:val="center"/>
        </w:trPr>
        <w:tc>
          <w:tcPr>
            <w:tcW w:w="425" w:type="dxa"/>
            <w:tcBorders>
              <w:left w:val="single" w:color="auto" w:sz="8" w:space="0"/>
            </w:tcBorders>
            <w:noWrap w:val="0"/>
            <w:vAlign w:val="center"/>
          </w:tcPr>
          <w:p>
            <w:pPr>
              <w:spacing w:line="276" w:lineRule="auto"/>
              <w:jc w:val="center"/>
              <w:rPr>
                <w:szCs w:val="21"/>
              </w:rPr>
            </w:pPr>
            <w:r>
              <w:rPr>
                <w:szCs w:val="21"/>
              </w:rPr>
              <w:t>1</w:t>
            </w:r>
          </w:p>
        </w:tc>
        <w:tc>
          <w:tcPr>
            <w:tcW w:w="817" w:type="dxa"/>
            <w:noWrap w:val="0"/>
            <w:tcMar>
              <w:left w:w="28" w:type="dxa"/>
              <w:right w:w="28" w:type="dxa"/>
            </w:tcMar>
            <w:vAlign w:val="center"/>
          </w:tcPr>
          <w:p>
            <w:pPr>
              <w:spacing w:line="276" w:lineRule="auto"/>
              <w:jc w:val="center"/>
              <w:rPr>
                <w:szCs w:val="21"/>
              </w:rPr>
            </w:pPr>
            <w:r>
              <w:rPr>
                <w:szCs w:val="21"/>
              </w:rPr>
              <w:t>备课</w:t>
            </w:r>
          </w:p>
        </w:tc>
        <w:tc>
          <w:tcPr>
            <w:tcW w:w="7858" w:type="dxa"/>
            <w:tcBorders>
              <w:right w:val="single" w:color="auto" w:sz="8" w:space="0"/>
            </w:tcBorders>
            <w:noWrap w:val="0"/>
            <w:vAlign w:val="center"/>
          </w:tcPr>
          <w:p>
            <w:pPr>
              <w:spacing w:line="276" w:lineRule="auto"/>
              <w:rPr>
                <w:szCs w:val="21"/>
              </w:rPr>
            </w:pPr>
            <w:r>
              <w:rPr>
                <w:szCs w:val="21"/>
              </w:rPr>
              <w:t>（1）掌握本课程教学大纲内容，严格按照教学大纲要求进行课程教学内容的组织。</w:t>
            </w:r>
          </w:p>
          <w:p>
            <w:pPr>
              <w:spacing w:line="276" w:lineRule="auto"/>
              <w:rPr>
                <w:szCs w:val="21"/>
              </w:rPr>
            </w:pPr>
            <w:r>
              <w:rPr>
                <w:szCs w:val="21"/>
              </w:rPr>
              <w:t>（2）熟悉教材各章节，借助专业书籍资料，并依据教学大纲编写授课计划，编写每次授课的教案。教案内容包括章节标题、教学目的、教法设计、课堂类型、时间分配、授课内容、课后作业、教学效果分析等方面。</w:t>
            </w:r>
          </w:p>
          <w:p>
            <w:pPr>
              <w:spacing w:line="276" w:lineRule="auto"/>
              <w:rPr>
                <w:szCs w:val="21"/>
              </w:rPr>
            </w:pPr>
            <w:r>
              <w:rPr>
                <w:szCs w:val="21"/>
              </w:rPr>
              <w:t>（3）</w:t>
            </w:r>
            <w:r>
              <w:rPr>
                <w:rFonts w:hint="eastAsia"/>
                <w:szCs w:val="21"/>
              </w:rPr>
              <w:t>根据</w:t>
            </w:r>
            <w:r>
              <w:rPr>
                <w:szCs w:val="21"/>
              </w:rPr>
              <w:t>各部分</w:t>
            </w:r>
            <w:r>
              <w:rPr>
                <w:rFonts w:hint="eastAsia"/>
                <w:szCs w:val="21"/>
              </w:rPr>
              <w:t>教学</w:t>
            </w:r>
            <w:r>
              <w:rPr>
                <w:szCs w:val="21"/>
              </w:rPr>
              <w:t>内容</w:t>
            </w:r>
            <w:r>
              <w:rPr>
                <w:rFonts w:hint="eastAsia"/>
                <w:szCs w:val="21"/>
              </w:rPr>
              <w:t>，</w:t>
            </w:r>
            <w:r>
              <w:rPr>
                <w:szCs w:val="21"/>
              </w:rPr>
              <w:t>构思授课思路、技巧</w:t>
            </w:r>
            <w:r>
              <w:rPr>
                <w:rFonts w:hint="eastAsia"/>
                <w:szCs w:val="21"/>
              </w:rPr>
              <w:t>，选择合适的</w:t>
            </w:r>
            <w:r>
              <w:rPr>
                <w:szCs w:val="21"/>
              </w:rPr>
              <w:t>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dxa"/>
            <w:tcBorders>
              <w:left w:val="single" w:color="auto" w:sz="8" w:space="0"/>
            </w:tcBorders>
            <w:noWrap w:val="0"/>
            <w:vAlign w:val="center"/>
          </w:tcPr>
          <w:p>
            <w:pPr>
              <w:spacing w:line="276" w:lineRule="auto"/>
              <w:jc w:val="center"/>
              <w:rPr>
                <w:szCs w:val="21"/>
              </w:rPr>
            </w:pPr>
            <w:r>
              <w:rPr>
                <w:szCs w:val="21"/>
              </w:rPr>
              <w:t>2</w:t>
            </w:r>
          </w:p>
        </w:tc>
        <w:tc>
          <w:tcPr>
            <w:tcW w:w="817" w:type="dxa"/>
            <w:noWrap w:val="0"/>
            <w:tcMar>
              <w:left w:w="28" w:type="dxa"/>
              <w:right w:w="28" w:type="dxa"/>
            </w:tcMar>
            <w:vAlign w:val="center"/>
          </w:tcPr>
          <w:p>
            <w:pPr>
              <w:spacing w:line="276" w:lineRule="auto"/>
              <w:jc w:val="center"/>
              <w:rPr>
                <w:szCs w:val="21"/>
              </w:rPr>
            </w:pPr>
            <w:r>
              <w:rPr>
                <w:szCs w:val="21"/>
              </w:rPr>
              <w:t>讲授</w:t>
            </w:r>
          </w:p>
        </w:tc>
        <w:tc>
          <w:tcPr>
            <w:tcW w:w="7858" w:type="dxa"/>
            <w:tcBorders>
              <w:right w:val="single" w:color="auto" w:sz="8" w:space="0"/>
            </w:tcBorders>
            <w:noWrap w:val="0"/>
            <w:vAlign w:val="center"/>
          </w:tcPr>
          <w:p>
            <w:pPr>
              <w:spacing w:line="276" w:lineRule="auto"/>
              <w:rPr>
                <w:szCs w:val="21"/>
              </w:rPr>
            </w:pPr>
            <w:r>
              <w:rPr>
                <w:rFonts w:hint="eastAsia"/>
                <w:szCs w:val="21"/>
              </w:rPr>
              <w:t>（1）</w:t>
            </w:r>
            <w:r>
              <w:rPr>
                <w:szCs w:val="21"/>
              </w:rPr>
              <w:t>要点准确</w:t>
            </w:r>
            <w:r>
              <w:rPr>
                <w:rFonts w:hint="eastAsia"/>
                <w:szCs w:val="21"/>
              </w:rPr>
              <w:t>、</w:t>
            </w:r>
            <w:r>
              <w:rPr>
                <w:szCs w:val="21"/>
              </w:rPr>
              <w:t>推理正确</w:t>
            </w:r>
            <w:r>
              <w:rPr>
                <w:rFonts w:hint="eastAsia"/>
                <w:szCs w:val="21"/>
              </w:rPr>
              <w:t>、</w:t>
            </w:r>
            <w:r>
              <w:rPr>
                <w:szCs w:val="21"/>
              </w:rPr>
              <w:t>条理清晰</w:t>
            </w:r>
            <w:r>
              <w:rPr>
                <w:rFonts w:hint="eastAsia"/>
                <w:szCs w:val="21"/>
              </w:rPr>
              <w:t>、</w:t>
            </w:r>
            <w:r>
              <w:rPr>
                <w:szCs w:val="21"/>
              </w:rPr>
              <w:t>重点突出，</w:t>
            </w:r>
            <w:r>
              <w:rPr>
                <w:rFonts w:hint="eastAsia"/>
                <w:szCs w:val="21"/>
              </w:rPr>
              <w:t>能够</w:t>
            </w:r>
            <w:r>
              <w:rPr>
                <w:szCs w:val="21"/>
              </w:rPr>
              <w:t>理论联系实际，熟练地解答和讲解例题。</w:t>
            </w:r>
          </w:p>
          <w:p>
            <w:pPr>
              <w:spacing w:line="276" w:lineRule="auto"/>
              <w:rPr>
                <w:szCs w:val="21"/>
              </w:rPr>
            </w:pPr>
            <w:r>
              <w:rPr>
                <w:rFonts w:hint="eastAsia"/>
                <w:szCs w:val="21"/>
              </w:rPr>
              <w:t>（2）</w:t>
            </w:r>
            <w:r>
              <w:rPr>
                <w:szCs w:val="21"/>
              </w:rPr>
              <w:t>采用多种教学方式（如启发式教学、案例分析教学、讨论式教学、多媒体示范教学等），注重培养学生发现、分析和解决问题的能力。</w:t>
            </w:r>
          </w:p>
          <w:p>
            <w:pPr>
              <w:spacing w:line="276" w:lineRule="auto"/>
              <w:rPr>
                <w:szCs w:val="21"/>
              </w:rPr>
            </w:pPr>
            <w:r>
              <w:rPr>
                <w:rFonts w:hint="eastAsia"/>
                <w:szCs w:val="21"/>
              </w:rPr>
              <w:t>（3）能够采用现代信息技术辅助</w:t>
            </w:r>
            <w:r>
              <w:rPr>
                <w:szCs w:val="21"/>
              </w:rPr>
              <w:t>教学。</w:t>
            </w:r>
          </w:p>
          <w:p>
            <w:pPr>
              <w:spacing w:line="276" w:lineRule="auto"/>
              <w:rPr>
                <w:szCs w:val="21"/>
              </w:rPr>
            </w:pPr>
            <w:r>
              <w:rPr>
                <w:rFonts w:hint="eastAsia"/>
                <w:szCs w:val="21"/>
              </w:rPr>
              <w:t>（4）</w:t>
            </w:r>
            <w:r>
              <w:rPr>
                <w:szCs w:val="21"/>
              </w:rPr>
              <w:t>表达方式</w:t>
            </w:r>
            <w:r>
              <w:rPr>
                <w:rFonts w:hint="eastAsia"/>
                <w:szCs w:val="21"/>
              </w:rPr>
              <w:t>应能</w:t>
            </w:r>
            <w:r>
              <w:rPr>
                <w:szCs w:val="21"/>
              </w:rPr>
              <w:t>便于学生理解、接受，力求形象生动，使学生在掌握知识的过程中，保持较为浓厚的</w:t>
            </w:r>
            <w:r>
              <w:rPr>
                <w:rFonts w:hint="eastAsia"/>
                <w:szCs w:val="21"/>
              </w:rPr>
              <w:t>学习</w:t>
            </w:r>
            <w:r>
              <w:rPr>
                <w:szCs w:val="21"/>
              </w:rPr>
              <w:t>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jc w:val="center"/>
        </w:trPr>
        <w:tc>
          <w:tcPr>
            <w:tcW w:w="425" w:type="dxa"/>
            <w:tcBorders>
              <w:left w:val="single" w:color="auto" w:sz="8" w:space="0"/>
            </w:tcBorders>
            <w:noWrap w:val="0"/>
            <w:vAlign w:val="center"/>
          </w:tcPr>
          <w:p>
            <w:pPr>
              <w:spacing w:line="276" w:lineRule="auto"/>
              <w:jc w:val="center"/>
              <w:rPr>
                <w:szCs w:val="21"/>
              </w:rPr>
            </w:pPr>
            <w:r>
              <w:rPr>
                <w:szCs w:val="21"/>
              </w:rPr>
              <w:t>3</w:t>
            </w:r>
          </w:p>
        </w:tc>
        <w:tc>
          <w:tcPr>
            <w:tcW w:w="817" w:type="dxa"/>
            <w:noWrap w:val="0"/>
            <w:tcMar>
              <w:left w:w="28" w:type="dxa"/>
              <w:right w:w="28" w:type="dxa"/>
            </w:tcMar>
            <w:vAlign w:val="center"/>
          </w:tcPr>
          <w:p>
            <w:pPr>
              <w:spacing w:line="276" w:lineRule="auto"/>
              <w:jc w:val="center"/>
              <w:rPr>
                <w:szCs w:val="21"/>
              </w:rPr>
            </w:pPr>
            <w:r>
              <w:rPr>
                <w:szCs w:val="21"/>
              </w:rPr>
              <w:t>作业布置与批改</w:t>
            </w:r>
          </w:p>
        </w:tc>
        <w:tc>
          <w:tcPr>
            <w:tcW w:w="7858" w:type="dxa"/>
            <w:tcBorders>
              <w:right w:val="single" w:color="auto" w:sz="8" w:space="0"/>
            </w:tcBorders>
            <w:noWrap w:val="0"/>
            <w:vAlign w:val="center"/>
          </w:tcPr>
          <w:p>
            <w:pPr>
              <w:spacing w:line="276" w:lineRule="auto"/>
              <w:rPr>
                <w:szCs w:val="21"/>
              </w:rPr>
            </w:pPr>
            <w:r>
              <w:rPr>
                <w:szCs w:val="21"/>
              </w:rPr>
              <w:t>学生必须完成</w:t>
            </w:r>
            <w:r>
              <w:rPr>
                <w:rFonts w:hint="eastAsia"/>
                <w:szCs w:val="21"/>
              </w:rPr>
              <w:t>规定</w:t>
            </w:r>
            <w:r>
              <w:rPr>
                <w:szCs w:val="21"/>
              </w:rPr>
              <w:t>数量的作业</w:t>
            </w:r>
            <w:r>
              <w:rPr>
                <w:rFonts w:hint="eastAsia"/>
                <w:szCs w:val="21"/>
              </w:rPr>
              <w:t>，</w:t>
            </w:r>
            <w:r>
              <w:rPr>
                <w:szCs w:val="21"/>
              </w:rPr>
              <w:t>作业必须达到以下基本要求：</w:t>
            </w:r>
          </w:p>
          <w:p>
            <w:pPr>
              <w:spacing w:line="276" w:lineRule="auto"/>
              <w:rPr>
                <w:szCs w:val="21"/>
              </w:rPr>
            </w:pPr>
            <w:r>
              <w:rPr>
                <w:rFonts w:hint="eastAsia"/>
                <w:szCs w:val="21"/>
              </w:rPr>
              <w:t>（1）</w:t>
            </w:r>
            <w:r>
              <w:rPr>
                <w:szCs w:val="21"/>
              </w:rPr>
              <w:t>按时按量完成作业，不缺交，不抄袭</w:t>
            </w:r>
            <w:r>
              <w:rPr>
                <w:rFonts w:hint="eastAsia"/>
                <w:szCs w:val="21"/>
              </w:rPr>
              <w:t>。</w:t>
            </w:r>
          </w:p>
          <w:p>
            <w:pPr>
              <w:spacing w:line="276" w:lineRule="auto"/>
              <w:rPr>
                <w:szCs w:val="21"/>
              </w:rPr>
            </w:pPr>
            <w:r>
              <w:rPr>
                <w:rFonts w:hint="eastAsia"/>
                <w:szCs w:val="21"/>
              </w:rPr>
              <w:t>（2）书写</w:t>
            </w:r>
            <w:r>
              <w:rPr>
                <w:szCs w:val="21"/>
              </w:rPr>
              <w:t>规范</w:t>
            </w:r>
            <w:r>
              <w:rPr>
                <w:rFonts w:hint="eastAsia"/>
                <w:szCs w:val="21"/>
              </w:rPr>
              <w:t>、</w:t>
            </w:r>
            <w:r>
              <w:rPr>
                <w:szCs w:val="21"/>
              </w:rPr>
              <w:t>清晰</w:t>
            </w:r>
            <w:r>
              <w:rPr>
                <w:rFonts w:hint="eastAsia"/>
                <w:szCs w:val="21"/>
              </w:rPr>
              <w:t>。</w:t>
            </w:r>
          </w:p>
          <w:p>
            <w:pPr>
              <w:spacing w:line="276" w:lineRule="auto"/>
              <w:rPr>
                <w:szCs w:val="21"/>
              </w:rPr>
            </w:pPr>
            <w:r>
              <w:rPr>
                <w:rFonts w:hint="eastAsia"/>
                <w:szCs w:val="21"/>
              </w:rPr>
              <w:t>（3）</w:t>
            </w:r>
            <w:r>
              <w:rPr>
                <w:szCs w:val="21"/>
              </w:rPr>
              <w:t>解题方法和步骤正确。</w:t>
            </w:r>
          </w:p>
          <w:p>
            <w:pPr>
              <w:spacing w:line="276" w:lineRule="auto"/>
              <w:rPr>
                <w:szCs w:val="21"/>
              </w:rPr>
            </w:pPr>
            <w:r>
              <w:rPr>
                <w:szCs w:val="21"/>
              </w:rPr>
              <w:t>教师批改</w:t>
            </w:r>
            <w:r>
              <w:rPr>
                <w:rFonts w:hint="eastAsia"/>
                <w:szCs w:val="21"/>
              </w:rPr>
              <w:t>和</w:t>
            </w:r>
            <w:r>
              <w:rPr>
                <w:szCs w:val="21"/>
              </w:rPr>
              <w:t>讲评作业要求如下：</w:t>
            </w:r>
          </w:p>
          <w:p>
            <w:pPr>
              <w:spacing w:line="276" w:lineRule="auto"/>
              <w:rPr>
                <w:szCs w:val="21"/>
              </w:rPr>
            </w:pPr>
            <w:r>
              <w:rPr>
                <w:rFonts w:hint="eastAsia"/>
                <w:szCs w:val="21"/>
              </w:rPr>
              <w:t>（1）</w:t>
            </w:r>
            <w:r>
              <w:rPr>
                <w:szCs w:val="21"/>
              </w:rPr>
              <w:t>学生的作业要</w:t>
            </w:r>
            <w:r>
              <w:rPr>
                <w:rFonts w:hint="eastAsia"/>
                <w:szCs w:val="21"/>
              </w:rPr>
              <w:t>按时</w:t>
            </w:r>
            <w:r>
              <w:rPr>
                <w:szCs w:val="21"/>
              </w:rPr>
              <w:t>全</w:t>
            </w:r>
            <w:r>
              <w:rPr>
                <w:rFonts w:hint="eastAsia"/>
                <w:szCs w:val="21"/>
              </w:rPr>
              <w:t>部</w:t>
            </w:r>
            <w:r>
              <w:rPr>
                <w:szCs w:val="21"/>
              </w:rPr>
              <w:t>批改，并</w:t>
            </w:r>
            <w:r>
              <w:rPr>
                <w:rFonts w:hint="eastAsia"/>
                <w:szCs w:val="21"/>
              </w:rPr>
              <w:t>及时进行</w:t>
            </w:r>
            <w:r>
              <w:rPr>
                <w:szCs w:val="21"/>
              </w:rPr>
              <w:t>讲评</w:t>
            </w:r>
            <w:r>
              <w:rPr>
                <w:rFonts w:hint="eastAsia"/>
                <w:szCs w:val="21"/>
              </w:rPr>
              <w:t>。</w:t>
            </w:r>
          </w:p>
          <w:p>
            <w:pPr>
              <w:spacing w:line="276" w:lineRule="auto"/>
              <w:rPr>
                <w:szCs w:val="21"/>
              </w:rPr>
            </w:pPr>
            <w:r>
              <w:rPr>
                <w:rFonts w:hint="eastAsia"/>
                <w:szCs w:val="21"/>
              </w:rPr>
              <w:t>（2）</w:t>
            </w:r>
            <w:r>
              <w:rPr>
                <w:szCs w:val="21"/>
              </w:rPr>
              <w:t>教师批改</w:t>
            </w:r>
            <w:r>
              <w:rPr>
                <w:rFonts w:hint="eastAsia"/>
                <w:szCs w:val="21"/>
              </w:rPr>
              <w:t>和</w:t>
            </w:r>
            <w:r>
              <w:rPr>
                <w:szCs w:val="21"/>
              </w:rPr>
              <w:t>讲评作业要认真、细致，按百分制评定成绩并写明日期</w:t>
            </w:r>
            <w:r>
              <w:rPr>
                <w:rFonts w:hint="eastAsia"/>
                <w:szCs w:val="21"/>
              </w:rPr>
              <w:t>。</w:t>
            </w:r>
          </w:p>
          <w:p>
            <w:pPr>
              <w:spacing w:line="276" w:lineRule="auto"/>
              <w:rPr>
                <w:szCs w:val="21"/>
              </w:rPr>
            </w:pPr>
            <w:r>
              <w:rPr>
                <w:rFonts w:hint="eastAsia"/>
                <w:szCs w:val="21"/>
              </w:rPr>
              <w:t>（3）</w:t>
            </w:r>
            <w:r>
              <w:rPr>
                <w:szCs w:val="21"/>
              </w:rPr>
              <w:t>学生作业的平均成绩</w:t>
            </w:r>
            <w:r>
              <w:rPr>
                <w:rFonts w:hint="eastAsia"/>
                <w:szCs w:val="21"/>
              </w:rPr>
              <w:t>应</w:t>
            </w:r>
            <w:r>
              <w:rPr>
                <w:szCs w:val="21"/>
              </w:rPr>
              <w:t>作为本课程总评成绩中平时成绩的重要组成部分。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425" w:type="dxa"/>
            <w:tcBorders>
              <w:left w:val="single" w:color="auto" w:sz="8" w:space="0"/>
            </w:tcBorders>
            <w:noWrap w:val="0"/>
            <w:vAlign w:val="center"/>
          </w:tcPr>
          <w:p>
            <w:pPr>
              <w:spacing w:line="276" w:lineRule="auto"/>
              <w:jc w:val="center"/>
              <w:rPr>
                <w:szCs w:val="21"/>
              </w:rPr>
            </w:pPr>
            <w:r>
              <w:rPr>
                <w:szCs w:val="21"/>
              </w:rPr>
              <w:t>4</w:t>
            </w:r>
          </w:p>
        </w:tc>
        <w:tc>
          <w:tcPr>
            <w:tcW w:w="817" w:type="dxa"/>
            <w:noWrap w:val="0"/>
            <w:tcMar>
              <w:left w:w="28" w:type="dxa"/>
              <w:right w:w="28" w:type="dxa"/>
            </w:tcMar>
            <w:vAlign w:val="center"/>
          </w:tcPr>
          <w:p>
            <w:pPr>
              <w:spacing w:line="276" w:lineRule="auto"/>
              <w:jc w:val="center"/>
              <w:rPr>
                <w:szCs w:val="21"/>
              </w:rPr>
            </w:pPr>
            <w:r>
              <w:rPr>
                <w:szCs w:val="21"/>
              </w:rPr>
              <w:t>课外答疑</w:t>
            </w:r>
          </w:p>
        </w:tc>
        <w:tc>
          <w:tcPr>
            <w:tcW w:w="7858" w:type="dxa"/>
            <w:tcBorders>
              <w:right w:val="single" w:color="auto" w:sz="8" w:space="0"/>
            </w:tcBorders>
            <w:noWrap w:val="0"/>
            <w:vAlign w:val="center"/>
          </w:tcPr>
          <w:p>
            <w:pPr>
              <w:spacing w:line="276" w:lineRule="auto"/>
              <w:rPr>
                <w:szCs w:val="21"/>
              </w:rPr>
            </w:pPr>
            <w:r>
              <w:rPr>
                <w:szCs w:val="21"/>
              </w:rPr>
              <w:t>为了解学生的学习情况，帮助学生</w:t>
            </w:r>
            <w:r>
              <w:rPr>
                <w:rFonts w:hint="eastAsia"/>
                <w:szCs w:val="21"/>
              </w:rPr>
              <w:t>更好地</w:t>
            </w:r>
            <w:r>
              <w:rPr>
                <w:szCs w:val="21"/>
              </w:rPr>
              <w:t>理解和消化所学知识、改进学习方法和思维方式，培养其独立思考问题的能力，任课教师</w:t>
            </w:r>
            <w:r>
              <w:rPr>
                <w:rFonts w:hint="eastAsia"/>
                <w:szCs w:val="21"/>
              </w:rPr>
              <w:t>需</w:t>
            </w:r>
            <w:r>
              <w:rPr>
                <w:szCs w:val="21"/>
              </w:rPr>
              <w:t>每周安排</w:t>
            </w:r>
            <w:r>
              <w:rPr>
                <w:rFonts w:hint="eastAsia"/>
                <w:szCs w:val="21"/>
              </w:rPr>
              <w:t>一定</w:t>
            </w:r>
            <w:r>
              <w:rPr>
                <w:szCs w:val="21"/>
              </w:rPr>
              <w:t>时间进行课外答疑与辅导。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425" w:type="dxa"/>
            <w:tcBorders>
              <w:left w:val="single" w:color="auto" w:sz="8" w:space="0"/>
            </w:tcBorders>
            <w:noWrap w:val="0"/>
            <w:vAlign w:val="center"/>
          </w:tcPr>
          <w:p>
            <w:pPr>
              <w:spacing w:line="276" w:lineRule="auto"/>
              <w:jc w:val="center"/>
              <w:rPr>
                <w:szCs w:val="21"/>
              </w:rPr>
            </w:pPr>
            <w:r>
              <w:rPr>
                <w:szCs w:val="21"/>
              </w:rPr>
              <w:t>5</w:t>
            </w:r>
          </w:p>
        </w:tc>
        <w:tc>
          <w:tcPr>
            <w:tcW w:w="817" w:type="dxa"/>
            <w:noWrap w:val="0"/>
            <w:tcMar>
              <w:left w:w="28" w:type="dxa"/>
              <w:right w:w="28" w:type="dxa"/>
            </w:tcMar>
            <w:vAlign w:val="center"/>
          </w:tcPr>
          <w:p>
            <w:pPr>
              <w:spacing w:line="276" w:lineRule="auto"/>
              <w:jc w:val="center"/>
              <w:rPr>
                <w:szCs w:val="21"/>
              </w:rPr>
            </w:pPr>
            <w:r>
              <w:rPr>
                <w:szCs w:val="21"/>
              </w:rPr>
              <w:t>成绩考核</w:t>
            </w:r>
          </w:p>
        </w:tc>
        <w:tc>
          <w:tcPr>
            <w:tcW w:w="7858" w:type="dxa"/>
            <w:tcBorders>
              <w:right w:val="single" w:color="auto" w:sz="8" w:space="0"/>
            </w:tcBorders>
            <w:noWrap w:val="0"/>
            <w:vAlign w:val="center"/>
          </w:tcPr>
          <w:p>
            <w:pPr>
              <w:spacing w:line="276" w:lineRule="auto"/>
              <w:rPr>
                <w:szCs w:val="21"/>
              </w:rPr>
            </w:pPr>
            <w:r>
              <w:rPr>
                <w:szCs w:val="21"/>
              </w:rPr>
              <w:t>本课程考核的方式</w:t>
            </w:r>
            <w:r>
              <w:rPr>
                <w:rFonts w:hint="eastAsia"/>
                <w:szCs w:val="21"/>
              </w:rPr>
              <w:t>为闭卷笔试</w:t>
            </w:r>
            <w:r>
              <w:rPr>
                <w:szCs w:val="21"/>
              </w:rPr>
              <w:t>。考试采取教考分离，监考</w:t>
            </w:r>
            <w:r>
              <w:rPr>
                <w:rFonts w:hint="eastAsia"/>
                <w:szCs w:val="21"/>
              </w:rPr>
              <w:t>由学院</w:t>
            </w:r>
            <w:r>
              <w:rPr>
                <w:szCs w:val="21"/>
              </w:rPr>
              <w:t>统一安排。有下列情况之一者，总评成绩为不及格：</w:t>
            </w:r>
          </w:p>
          <w:p>
            <w:pPr>
              <w:spacing w:line="276" w:lineRule="auto"/>
              <w:rPr>
                <w:szCs w:val="21"/>
              </w:rPr>
            </w:pPr>
            <w:r>
              <w:rPr>
                <w:rFonts w:hint="eastAsia"/>
                <w:szCs w:val="21"/>
              </w:rPr>
              <w:t>（1）</w:t>
            </w:r>
            <w:r>
              <w:rPr>
                <w:szCs w:val="21"/>
              </w:rPr>
              <w:t>缺交作业次数达1/3以上者</w:t>
            </w:r>
            <w:r>
              <w:rPr>
                <w:rFonts w:hint="eastAsia"/>
                <w:szCs w:val="21"/>
              </w:rPr>
              <w:t>。</w:t>
            </w:r>
          </w:p>
          <w:p>
            <w:pPr>
              <w:spacing w:line="276" w:lineRule="auto"/>
              <w:rPr>
                <w:szCs w:val="21"/>
              </w:rPr>
            </w:pPr>
            <w:r>
              <w:rPr>
                <w:rFonts w:hint="eastAsia"/>
                <w:szCs w:val="21"/>
              </w:rPr>
              <w:t>（2）</w:t>
            </w:r>
            <w:r>
              <w:rPr>
                <w:szCs w:val="21"/>
              </w:rPr>
              <w:t>缺课次数达本学期总授课学时的1/3以上者</w:t>
            </w:r>
            <w:r>
              <w:rPr>
                <w:rFonts w:hint="eastAsia"/>
                <w:szCs w:val="21"/>
              </w:rPr>
              <w:t>。</w:t>
            </w:r>
          </w:p>
          <w:p>
            <w:pPr>
              <w:spacing w:line="276" w:lineRule="auto"/>
              <w:rPr>
                <w:szCs w:val="21"/>
              </w:rPr>
            </w:pPr>
            <w:r>
              <w:rPr>
                <w:rFonts w:hint="eastAsia"/>
                <w:szCs w:val="21"/>
              </w:rPr>
              <w:t>（3）</w:t>
            </w:r>
            <w:r>
              <w:rPr>
                <w:szCs w:val="21"/>
              </w:rPr>
              <w:t>课程目标小于0.6。</w:t>
            </w:r>
          </w:p>
        </w:tc>
      </w:tr>
    </w:tbl>
    <w:p>
      <w:pPr>
        <w:spacing w:line="360" w:lineRule="auto"/>
        <w:ind w:firstLine="562" w:firstLineChars="200"/>
        <w:rPr>
          <w:rFonts w:hint="eastAsia"/>
          <w:b/>
          <w:sz w:val="28"/>
          <w:szCs w:val="28"/>
        </w:rPr>
      </w:pPr>
      <w:r>
        <w:rPr>
          <w:rFonts w:hint="eastAsia"/>
          <w:b/>
          <w:sz w:val="28"/>
          <w:szCs w:val="28"/>
        </w:rPr>
        <w:t>五、考核方式</w:t>
      </w:r>
    </w:p>
    <w:p>
      <w:pPr>
        <w:spacing w:line="360" w:lineRule="auto"/>
        <w:rPr>
          <w:sz w:val="24"/>
        </w:rPr>
      </w:pPr>
      <w:r>
        <w:rPr>
          <w:sz w:val="24"/>
        </w:rPr>
        <w:t>（一）课程考核包括期末考试、平时及作业情况考核，期末考试采用闭卷笔试。</w:t>
      </w:r>
    </w:p>
    <w:p>
      <w:pPr>
        <w:spacing w:line="360" w:lineRule="auto"/>
        <w:rPr>
          <w:sz w:val="24"/>
        </w:rPr>
      </w:pPr>
      <w:r>
        <w:rPr>
          <w:sz w:val="24"/>
        </w:rPr>
        <w:t>（二）课程成绩=平时成绩×10%+作业成绩×20%+单元测试×20%</w:t>
      </w:r>
      <w:r>
        <w:rPr>
          <w:rFonts w:hint="eastAsia"/>
          <w:sz w:val="24"/>
        </w:rPr>
        <w:t>+</w:t>
      </w:r>
      <w:r>
        <w:rPr>
          <w:sz w:val="24"/>
        </w:rPr>
        <w:t>期末考试成绩×50%。具体内容和比例如表所示。</w:t>
      </w:r>
    </w:p>
    <w:tbl>
      <w:tblPr>
        <w:tblStyle w:val="10"/>
        <w:tblpPr w:leftFromText="180" w:rightFromText="180" w:vertAnchor="text" w:horzAnchor="margin" w:tblpXSpec="center" w:tblpY="244"/>
        <w:tblW w:w="91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715"/>
        <w:gridCol w:w="1560"/>
        <w:gridCol w:w="3260"/>
        <w:gridCol w:w="638"/>
        <w:gridCol w:w="638"/>
        <w:gridCol w:w="638"/>
        <w:gridCol w:w="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vMerge w:val="restart"/>
            <w:shd w:val="clear" w:color="auto" w:fill="FFFFFF"/>
            <w:noWrap w:val="0"/>
            <w:tcMar>
              <w:left w:w="57" w:type="dxa"/>
              <w:right w:w="57" w:type="dxa"/>
            </w:tcMar>
            <w:vAlign w:val="center"/>
          </w:tcPr>
          <w:p>
            <w:pPr>
              <w:pStyle w:val="14"/>
              <w:jc w:val="center"/>
              <w:rPr>
                <w:rFonts w:eastAsia="宋体"/>
              </w:rPr>
            </w:pPr>
            <w:r>
              <w:rPr>
                <w:rFonts w:eastAsia="宋体"/>
              </w:rPr>
              <w:t>考核环节</w:t>
            </w:r>
          </w:p>
        </w:tc>
        <w:tc>
          <w:tcPr>
            <w:tcW w:w="715" w:type="dxa"/>
            <w:vMerge w:val="restart"/>
            <w:shd w:val="clear" w:color="auto" w:fill="FFFFFF"/>
            <w:noWrap w:val="0"/>
            <w:vAlign w:val="center"/>
          </w:tcPr>
          <w:p>
            <w:pPr>
              <w:pStyle w:val="14"/>
              <w:jc w:val="center"/>
              <w:rPr>
                <w:rFonts w:eastAsia="宋体"/>
              </w:rPr>
            </w:pPr>
            <w:r>
              <w:rPr>
                <w:rFonts w:eastAsia="宋体"/>
              </w:rPr>
              <w:t>成绩比例</w:t>
            </w:r>
          </w:p>
        </w:tc>
        <w:tc>
          <w:tcPr>
            <w:tcW w:w="4820" w:type="dxa"/>
            <w:gridSpan w:val="2"/>
            <w:vMerge w:val="restart"/>
            <w:shd w:val="clear" w:color="auto" w:fill="FFFFFF"/>
            <w:noWrap w:val="0"/>
            <w:vAlign w:val="center"/>
          </w:tcPr>
          <w:p>
            <w:pPr>
              <w:pStyle w:val="14"/>
              <w:jc w:val="center"/>
              <w:rPr>
                <w:rFonts w:eastAsia="宋体"/>
              </w:rPr>
            </w:pPr>
            <w:r>
              <w:rPr>
                <w:rFonts w:eastAsia="宋体"/>
              </w:rPr>
              <w:t>考核内容与评价细则</w:t>
            </w:r>
          </w:p>
        </w:tc>
        <w:tc>
          <w:tcPr>
            <w:tcW w:w="2552" w:type="dxa"/>
            <w:gridSpan w:val="4"/>
            <w:shd w:val="clear" w:color="auto" w:fill="FFFFFF"/>
            <w:noWrap w:val="0"/>
            <w:vAlign w:val="center"/>
          </w:tcPr>
          <w:p>
            <w:pPr>
              <w:pStyle w:val="14"/>
              <w:jc w:val="center"/>
              <w:rPr>
                <w:rFonts w:eastAsia="宋体"/>
              </w:rPr>
            </w:pPr>
            <w:r>
              <w:rPr>
                <w:rFonts w:eastAsia="宋体"/>
              </w:rPr>
              <w:t>支撑目标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vMerge w:val="continue"/>
            <w:shd w:val="clear" w:color="auto" w:fill="FFFFFF"/>
            <w:noWrap w:val="0"/>
            <w:tcMar>
              <w:left w:w="57" w:type="dxa"/>
              <w:right w:w="57" w:type="dxa"/>
            </w:tcMar>
            <w:vAlign w:val="center"/>
          </w:tcPr>
          <w:p>
            <w:pPr>
              <w:pStyle w:val="14"/>
              <w:jc w:val="center"/>
              <w:rPr>
                <w:rFonts w:eastAsia="宋体"/>
              </w:rPr>
            </w:pPr>
          </w:p>
        </w:tc>
        <w:tc>
          <w:tcPr>
            <w:tcW w:w="715" w:type="dxa"/>
            <w:vMerge w:val="continue"/>
            <w:shd w:val="clear" w:color="auto" w:fill="FFFFFF"/>
            <w:noWrap w:val="0"/>
            <w:vAlign w:val="center"/>
          </w:tcPr>
          <w:p>
            <w:pPr>
              <w:pStyle w:val="14"/>
              <w:jc w:val="center"/>
              <w:rPr>
                <w:rFonts w:eastAsia="宋体"/>
              </w:rPr>
            </w:pPr>
          </w:p>
        </w:tc>
        <w:tc>
          <w:tcPr>
            <w:tcW w:w="4820" w:type="dxa"/>
            <w:gridSpan w:val="2"/>
            <w:vMerge w:val="continue"/>
            <w:shd w:val="clear" w:color="auto" w:fill="FFFFFF"/>
            <w:noWrap w:val="0"/>
            <w:vAlign w:val="center"/>
          </w:tcPr>
          <w:p>
            <w:pPr>
              <w:pStyle w:val="14"/>
              <w:jc w:val="center"/>
              <w:rPr>
                <w:rFonts w:eastAsia="宋体"/>
              </w:rPr>
            </w:pPr>
          </w:p>
        </w:tc>
        <w:tc>
          <w:tcPr>
            <w:tcW w:w="638" w:type="dxa"/>
            <w:shd w:val="clear" w:color="auto" w:fill="FFFFFF"/>
            <w:noWrap w:val="0"/>
            <w:vAlign w:val="center"/>
          </w:tcPr>
          <w:p>
            <w:pPr>
              <w:pStyle w:val="14"/>
              <w:jc w:val="center"/>
              <w:rPr>
                <w:rFonts w:eastAsia="宋体"/>
              </w:rPr>
            </w:pPr>
            <w:r>
              <w:rPr>
                <w:rFonts w:eastAsia="宋体"/>
              </w:rPr>
              <w:t>目标1</w:t>
            </w:r>
          </w:p>
        </w:tc>
        <w:tc>
          <w:tcPr>
            <w:tcW w:w="638" w:type="dxa"/>
            <w:shd w:val="clear" w:color="auto" w:fill="FFFFFF"/>
            <w:noWrap w:val="0"/>
            <w:vAlign w:val="center"/>
          </w:tcPr>
          <w:p>
            <w:pPr>
              <w:pStyle w:val="14"/>
              <w:jc w:val="center"/>
              <w:rPr>
                <w:rFonts w:eastAsia="宋体"/>
              </w:rPr>
            </w:pPr>
            <w:r>
              <w:rPr>
                <w:rFonts w:eastAsia="宋体"/>
              </w:rPr>
              <w:t>目标2</w:t>
            </w:r>
          </w:p>
        </w:tc>
        <w:tc>
          <w:tcPr>
            <w:tcW w:w="638" w:type="dxa"/>
            <w:shd w:val="clear" w:color="auto" w:fill="FFFFFF"/>
            <w:noWrap w:val="0"/>
            <w:vAlign w:val="center"/>
          </w:tcPr>
          <w:p>
            <w:pPr>
              <w:pStyle w:val="14"/>
              <w:jc w:val="center"/>
              <w:rPr>
                <w:rFonts w:eastAsia="宋体"/>
              </w:rPr>
            </w:pPr>
          </w:p>
        </w:tc>
        <w:tc>
          <w:tcPr>
            <w:tcW w:w="638" w:type="dxa"/>
            <w:shd w:val="clear" w:color="auto" w:fill="FFFFFF"/>
            <w:noWrap w:val="0"/>
            <w:vAlign w:val="center"/>
          </w:tcPr>
          <w:p>
            <w:pPr>
              <w:pStyle w:val="14"/>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shd w:val="clear" w:color="auto" w:fill="FFFFFF"/>
            <w:noWrap w:val="0"/>
            <w:tcMar>
              <w:left w:w="57" w:type="dxa"/>
              <w:right w:w="57" w:type="dxa"/>
            </w:tcMar>
            <w:vAlign w:val="center"/>
          </w:tcPr>
          <w:p>
            <w:pPr>
              <w:pStyle w:val="14"/>
              <w:jc w:val="center"/>
              <w:rPr>
                <w:rFonts w:hint="eastAsia" w:eastAsia="宋体"/>
                <w:lang w:val="en-US" w:eastAsia="zh-CN"/>
              </w:rPr>
            </w:pPr>
            <w:r>
              <w:rPr>
                <w:rFonts w:eastAsia="宋体"/>
              </w:rPr>
              <w:t>平时</w:t>
            </w:r>
            <w:r>
              <w:rPr>
                <w:rFonts w:hint="eastAsia" w:eastAsia="宋体"/>
                <w:lang w:val="en-US" w:eastAsia="zh-CN"/>
              </w:rPr>
              <w:t>成绩</w:t>
            </w:r>
          </w:p>
        </w:tc>
        <w:tc>
          <w:tcPr>
            <w:tcW w:w="715" w:type="dxa"/>
            <w:shd w:val="clear" w:color="auto" w:fill="FFFFFF"/>
            <w:noWrap w:val="0"/>
            <w:vAlign w:val="center"/>
          </w:tcPr>
          <w:p>
            <w:pPr>
              <w:pStyle w:val="14"/>
              <w:jc w:val="center"/>
              <w:rPr>
                <w:rFonts w:eastAsia="宋体"/>
              </w:rPr>
            </w:pPr>
            <w:r>
              <w:rPr>
                <w:rFonts w:eastAsia="宋体"/>
              </w:rPr>
              <w:t>10%</w:t>
            </w:r>
          </w:p>
        </w:tc>
        <w:tc>
          <w:tcPr>
            <w:tcW w:w="4820" w:type="dxa"/>
            <w:gridSpan w:val="2"/>
            <w:shd w:val="clear" w:color="auto" w:fill="FFFFFF"/>
            <w:noWrap w:val="0"/>
            <w:vAlign w:val="center"/>
          </w:tcPr>
          <w:p>
            <w:pPr>
              <w:pStyle w:val="14"/>
              <w:rPr>
                <w:rFonts w:eastAsia="宋体"/>
              </w:rPr>
            </w:pPr>
            <w:r>
              <w:rPr>
                <w:rFonts w:hint="default" w:ascii="Times New Roman" w:hAnsi="Times New Roman" w:eastAsia="宋体" w:cs="Times New Roman"/>
                <w:color w:val="000000"/>
                <w:szCs w:val="21"/>
              </w:rPr>
              <w:t>按时完成网络课堂教学视频观看，</w:t>
            </w:r>
            <w:r>
              <w:rPr>
                <w:rFonts w:hint="eastAsia" w:ascii="Times New Roman" w:hAnsi="Times New Roman" w:eastAsia="宋体" w:cs="Times New Roman"/>
                <w:color w:val="000000"/>
                <w:szCs w:val="21"/>
                <w:lang w:eastAsia="zh-CN"/>
              </w:rPr>
              <w:t>并完成学习笔记，通过学习笔记的工整、全面、重点是否突出等情况并百分制打分。</w:t>
            </w:r>
          </w:p>
        </w:tc>
        <w:tc>
          <w:tcPr>
            <w:tcW w:w="638" w:type="dxa"/>
            <w:shd w:val="clear" w:color="auto" w:fill="FFFFFF"/>
            <w:noWrap w:val="0"/>
            <w:vAlign w:val="center"/>
          </w:tcPr>
          <w:p>
            <w:pPr>
              <w:pStyle w:val="14"/>
              <w:jc w:val="center"/>
              <w:rPr>
                <w:rFonts w:eastAsia="宋体"/>
                <w:highlight w:val="yellow"/>
              </w:rPr>
            </w:pPr>
            <w:r>
              <w:rPr>
                <w:rFonts w:eastAsia="宋体"/>
              </w:rPr>
              <w:t>5%</w:t>
            </w:r>
          </w:p>
        </w:tc>
        <w:tc>
          <w:tcPr>
            <w:tcW w:w="638" w:type="dxa"/>
            <w:shd w:val="clear" w:color="auto" w:fill="FFFFFF"/>
            <w:noWrap w:val="0"/>
            <w:vAlign w:val="center"/>
          </w:tcPr>
          <w:p>
            <w:pPr>
              <w:pStyle w:val="14"/>
              <w:jc w:val="center"/>
              <w:rPr>
                <w:rFonts w:eastAsia="宋体"/>
                <w:highlight w:val="yellow"/>
              </w:rPr>
            </w:pPr>
            <w:r>
              <w:rPr>
                <w:rFonts w:eastAsia="宋体"/>
              </w:rPr>
              <w:t>5%</w:t>
            </w:r>
          </w:p>
        </w:tc>
        <w:tc>
          <w:tcPr>
            <w:tcW w:w="638" w:type="dxa"/>
            <w:shd w:val="clear" w:color="auto" w:fill="FFFFFF"/>
            <w:noWrap w:val="0"/>
            <w:vAlign w:val="center"/>
          </w:tcPr>
          <w:p>
            <w:pPr>
              <w:pStyle w:val="14"/>
              <w:jc w:val="center"/>
              <w:rPr>
                <w:rFonts w:eastAsia="宋体"/>
              </w:rPr>
            </w:pPr>
          </w:p>
        </w:tc>
        <w:tc>
          <w:tcPr>
            <w:tcW w:w="638" w:type="dxa"/>
            <w:shd w:val="clear" w:color="auto" w:fill="FFFFFF"/>
            <w:noWrap w:val="0"/>
            <w:vAlign w:val="center"/>
          </w:tcPr>
          <w:p>
            <w:pPr>
              <w:pStyle w:val="14"/>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8" w:hRule="atLeast"/>
        </w:trPr>
        <w:tc>
          <w:tcPr>
            <w:tcW w:w="1043" w:type="dxa"/>
            <w:shd w:val="clear" w:color="auto" w:fill="auto"/>
            <w:noWrap w:val="0"/>
            <w:tcMar>
              <w:left w:w="57" w:type="dxa"/>
              <w:right w:w="57" w:type="dxa"/>
            </w:tcMar>
            <w:vAlign w:val="center"/>
          </w:tcPr>
          <w:p>
            <w:pPr>
              <w:pStyle w:val="14"/>
              <w:jc w:val="center"/>
              <w:rPr>
                <w:rFonts w:hint="eastAsia" w:eastAsia="宋体"/>
                <w:lang w:val="en-US" w:eastAsia="zh-CN"/>
              </w:rPr>
            </w:pPr>
            <w:r>
              <w:rPr>
                <w:rFonts w:eastAsia="宋体"/>
              </w:rPr>
              <w:t>作业</w:t>
            </w:r>
            <w:r>
              <w:rPr>
                <w:rFonts w:hint="eastAsia" w:eastAsia="宋体"/>
                <w:lang w:val="en-US" w:eastAsia="zh-CN"/>
              </w:rPr>
              <w:t>成绩</w:t>
            </w:r>
          </w:p>
        </w:tc>
        <w:tc>
          <w:tcPr>
            <w:tcW w:w="715" w:type="dxa"/>
            <w:shd w:val="clear" w:color="auto" w:fill="auto"/>
            <w:noWrap w:val="0"/>
            <w:vAlign w:val="center"/>
          </w:tcPr>
          <w:p>
            <w:pPr>
              <w:pStyle w:val="14"/>
              <w:jc w:val="center"/>
              <w:rPr>
                <w:rFonts w:eastAsia="宋体"/>
              </w:rPr>
            </w:pPr>
            <w:r>
              <w:rPr>
                <w:rFonts w:eastAsia="宋体"/>
              </w:rPr>
              <w:t>20%</w:t>
            </w:r>
          </w:p>
        </w:tc>
        <w:tc>
          <w:tcPr>
            <w:tcW w:w="4820" w:type="dxa"/>
            <w:gridSpan w:val="2"/>
            <w:shd w:val="clear" w:color="auto" w:fill="auto"/>
            <w:noWrap w:val="0"/>
            <w:vAlign w:val="center"/>
          </w:tcPr>
          <w:p>
            <w:pPr>
              <w:pStyle w:val="14"/>
              <w:rPr>
                <w:rFonts w:eastAsia="宋体"/>
                <w:szCs w:val="21"/>
              </w:rPr>
            </w:pPr>
            <w:r>
              <w:rPr>
                <w:rFonts w:eastAsia="宋体"/>
                <w:szCs w:val="21"/>
              </w:rPr>
              <w:t>每章节对应有思考题和习题，考核学生对每节课知识点的复习、理解和掌握度。对每次作业完成情况做记录并百分制打分。</w:t>
            </w:r>
          </w:p>
        </w:tc>
        <w:tc>
          <w:tcPr>
            <w:tcW w:w="638" w:type="dxa"/>
            <w:shd w:val="clear" w:color="auto" w:fill="FFFFFF"/>
            <w:noWrap w:val="0"/>
            <w:vAlign w:val="center"/>
          </w:tcPr>
          <w:p>
            <w:pPr>
              <w:pStyle w:val="14"/>
              <w:jc w:val="center"/>
              <w:rPr>
                <w:rFonts w:eastAsia="宋体"/>
                <w:color w:val="000000"/>
                <w:szCs w:val="21"/>
              </w:rPr>
            </w:pPr>
            <w:r>
              <w:rPr>
                <w:rFonts w:hint="eastAsia" w:eastAsia="宋体"/>
                <w:color w:val="000000"/>
                <w:szCs w:val="21"/>
                <w:lang w:val="en-US" w:eastAsia="zh-CN"/>
              </w:rPr>
              <w:t>10</w:t>
            </w:r>
            <w:r>
              <w:rPr>
                <w:rFonts w:eastAsia="宋体"/>
                <w:color w:val="000000"/>
                <w:szCs w:val="21"/>
              </w:rPr>
              <w:t>%</w:t>
            </w:r>
          </w:p>
        </w:tc>
        <w:tc>
          <w:tcPr>
            <w:tcW w:w="638" w:type="dxa"/>
            <w:shd w:val="clear" w:color="auto" w:fill="FFFFFF"/>
            <w:noWrap w:val="0"/>
            <w:vAlign w:val="center"/>
          </w:tcPr>
          <w:p>
            <w:pPr>
              <w:pStyle w:val="14"/>
              <w:jc w:val="center"/>
              <w:rPr>
                <w:rFonts w:eastAsia="宋体"/>
                <w:color w:val="000000"/>
                <w:szCs w:val="21"/>
              </w:rPr>
            </w:pPr>
            <w:r>
              <w:rPr>
                <w:rFonts w:hint="eastAsia" w:eastAsia="宋体"/>
                <w:color w:val="000000"/>
                <w:szCs w:val="21"/>
                <w:lang w:val="en-US" w:eastAsia="zh-CN"/>
              </w:rPr>
              <w:t>10</w:t>
            </w:r>
            <w:r>
              <w:rPr>
                <w:rFonts w:eastAsia="宋体"/>
                <w:color w:val="000000"/>
                <w:szCs w:val="21"/>
              </w:rPr>
              <w:t>%</w:t>
            </w:r>
          </w:p>
        </w:tc>
        <w:tc>
          <w:tcPr>
            <w:tcW w:w="638"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 w:type="dxa"/>
            <w:shd w:val="clear" w:color="auto" w:fill="auto"/>
            <w:noWrap w:val="0"/>
            <w:tcMar>
              <w:left w:w="57" w:type="dxa"/>
              <w:right w:w="57" w:type="dxa"/>
            </w:tcMar>
            <w:vAlign w:val="center"/>
          </w:tcPr>
          <w:p>
            <w:pPr>
              <w:pStyle w:val="14"/>
              <w:jc w:val="center"/>
              <w:rPr>
                <w:rFonts w:eastAsia="宋体"/>
              </w:rPr>
            </w:pPr>
            <w:r>
              <w:rPr>
                <w:rFonts w:eastAsia="宋体"/>
              </w:rPr>
              <w:t>单元测试</w:t>
            </w:r>
          </w:p>
        </w:tc>
        <w:tc>
          <w:tcPr>
            <w:tcW w:w="715" w:type="dxa"/>
            <w:shd w:val="clear" w:color="auto" w:fill="auto"/>
            <w:noWrap w:val="0"/>
            <w:vAlign w:val="center"/>
          </w:tcPr>
          <w:p>
            <w:pPr>
              <w:pStyle w:val="14"/>
              <w:jc w:val="center"/>
              <w:rPr>
                <w:rFonts w:eastAsia="宋体"/>
              </w:rPr>
            </w:pPr>
            <w:r>
              <w:rPr>
                <w:rFonts w:eastAsia="宋体"/>
              </w:rPr>
              <w:t xml:space="preserve">20% </w:t>
            </w:r>
          </w:p>
        </w:tc>
        <w:tc>
          <w:tcPr>
            <w:tcW w:w="4820" w:type="dxa"/>
            <w:gridSpan w:val="2"/>
            <w:shd w:val="clear" w:color="auto" w:fill="auto"/>
            <w:noWrap w:val="0"/>
            <w:vAlign w:val="center"/>
          </w:tcPr>
          <w:p>
            <w:pPr>
              <w:pStyle w:val="14"/>
              <w:rPr>
                <w:rFonts w:eastAsia="宋体"/>
                <w:color w:val="000000"/>
                <w:szCs w:val="21"/>
              </w:rPr>
            </w:pPr>
            <w:r>
              <w:rPr>
                <w:rFonts w:eastAsia="宋体"/>
                <w:color w:val="000000"/>
                <w:szCs w:val="21"/>
              </w:rPr>
              <w:t>在每章结束之后进行测验，考察学生对</w:t>
            </w:r>
            <w:r>
              <w:rPr>
                <w:rFonts w:hint="eastAsia" w:eastAsia="宋体"/>
                <w:color w:val="000000"/>
                <w:szCs w:val="21"/>
              </w:rPr>
              <w:t>每个</w:t>
            </w:r>
            <w:r>
              <w:rPr>
                <w:rFonts w:eastAsia="宋体"/>
                <w:color w:val="000000"/>
                <w:szCs w:val="21"/>
              </w:rPr>
              <w:t>教学</w:t>
            </w:r>
            <w:r>
              <w:rPr>
                <w:rFonts w:hint="eastAsia" w:eastAsia="宋体"/>
                <w:color w:val="000000"/>
                <w:szCs w:val="21"/>
              </w:rPr>
              <w:t>单元</w:t>
            </w:r>
            <w:r>
              <w:rPr>
                <w:rFonts w:eastAsia="宋体"/>
                <w:color w:val="000000"/>
                <w:szCs w:val="21"/>
              </w:rPr>
              <w:t>的掌握情况，以</w:t>
            </w:r>
            <w:r>
              <w:rPr>
                <w:rFonts w:hint="eastAsia" w:eastAsia="宋体"/>
                <w:color w:val="000000"/>
                <w:szCs w:val="21"/>
              </w:rPr>
              <w:t>百分制打分</w:t>
            </w:r>
            <w:r>
              <w:rPr>
                <w:rFonts w:eastAsia="宋体"/>
                <w:color w:val="000000"/>
                <w:szCs w:val="21"/>
              </w:rPr>
              <w:t>。</w:t>
            </w:r>
          </w:p>
        </w:tc>
        <w:tc>
          <w:tcPr>
            <w:tcW w:w="638" w:type="dxa"/>
            <w:shd w:val="clear" w:color="auto" w:fill="FFFFFF"/>
            <w:noWrap w:val="0"/>
            <w:vAlign w:val="center"/>
          </w:tcPr>
          <w:p>
            <w:pPr>
              <w:pStyle w:val="14"/>
              <w:jc w:val="center"/>
              <w:rPr>
                <w:rFonts w:eastAsia="宋体"/>
                <w:color w:val="000000"/>
                <w:szCs w:val="21"/>
              </w:rPr>
            </w:pPr>
            <w:r>
              <w:rPr>
                <w:rFonts w:eastAsia="宋体"/>
                <w:color w:val="000000"/>
                <w:szCs w:val="21"/>
              </w:rPr>
              <w:t>10%</w:t>
            </w:r>
          </w:p>
        </w:tc>
        <w:tc>
          <w:tcPr>
            <w:tcW w:w="638" w:type="dxa"/>
            <w:shd w:val="clear" w:color="auto" w:fill="FFFFFF"/>
            <w:noWrap w:val="0"/>
            <w:vAlign w:val="center"/>
          </w:tcPr>
          <w:p>
            <w:pPr>
              <w:pStyle w:val="14"/>
              <w:jc w:val="center"/>
              <w:rPr>
                <w:rFonts w:eastAsia="宋体"/>
                <w:color w:val="000000"/>
                <w:szCs w:val="21"/>
              </w:rPr>
            </w:pPr>
            <w:r>
              <w:rPr>
                <w:rFonts w:eastAsia="宋体"/>
                <w:color w:val="000000"/>
                <w:szCs w:val="21"/>
              </w:rPr>
              <w:t>10%</w:t>
            </w:r>
          </w:p>
        </w:tc>
        <w:tc>
          <w:tcPr>
            <w:tcW w:w="638"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043" w:type="dxa"/>
            <w:vMerge w:val="restart"/>
            <w:shd w:val="clear" w:color="auto" w:fill="auto"/>
            <w:noWrap w:val="0"/>
            <w:tcMar>
              <w:left w:w="57" w:type="dxa"/>
              <w:right w:w="57" w:type="dxa"/>
            </w:tcMar>
            <w:vAlign w:val="center"/>
          </w:tcPr>
          <w:p>
            <w:pPr>
              <w:pStyle w:val="14"/>
              <w:jc w:val="center"/>
              <w:rPr>
                <w:rFonts w:eastAsia="宋体"/>
              </w:rPr>
            </w:pPr>
            <w:r>
              <w:rPr>
                <w:rFonts w:eastAsia="宋体"/>
              </w:rPr>
              <w:t>期末试卷</w:t>
            </w:r>
          </w:p>
        </w:tc>
        <w:tc>
          <w:tcPr>
            <w:tcW w:w="715" w:type="dxa"/>
            <w:vMerge w:val="restart"/>
            <w:shd w:val="clear" w:color="auto" w:fill="auto"/>
            <w:noWrap w:val="0"/>
            <w:vAlign w:val="center"/>
          </w:tcPr>
          <w:p>
            <w:pPr>
              <w:pStyle w:val="14"/>
              <w:jc w:val="center"/>
              <w:rPr>
                <w:rFonts w:eastAsia="宋体"/>
              </w:rPr>
            </w:pPr>
            <w:r>
              <w:rPr>
                <w:rFonts w:eastAsia="宋体"/>
              </w:rPr>
              <w:t xml:space="preserve">50% </w:t>
            </w:r>
          </w:p>
        </w:tc>
        <w:tc>
          <w:tcPr>
            <w:tcW w:w="1560" w:type="dxa"/>
            <w:tcBorders>
              <w:left w:val="single" w:color="auto" w:sz="4" w:space="0"/>
            </w:tcBorders>
            <w:shd w:val="clear" w:color="auto" w:fill="auto"/>
            <w:noWrap w:val="0"/>
            <w:vAlign w:val="center"/>
          </w:tcPr>
          <w:p>
            <w:pPr>
              <w:pStyle w:val="14"/>
              <w:jc w:val="center"/>
              <w:rPr>
                <w:rFonts w:eastAsia="宋体"/>
                <w:color w:val="000000"/>
                <w:szCs w:val="21"/>
              </w:rPr>
            </w:pPr>
            <w:r>
              <w:rPr>
                <w:rFonts w:eastAsia="宋体"/>
                <w:color w:val="000000"/>
                <w:szCs w:val="21"/>
              </w:rPr>
              <w:t>题型</w:t>
            </w:r>
          </w:p>
        </w:tc>
        <w:tc>
          <w:tcPr>
            <w:tcW w:w="3260" w:type="dxa"/>
            <w:tcBorders>
              <w:left w:val="single" w:color="auto" w:sz="4" w:space="0"/>
            </w:tcBorders>
            <w:shd w:val="clear" w:color="auto" w:fill="auto"/>
            <w:noWrap w:val="0"/>
            <w:vAlign w:val="center"/>
          </w:tcPr>
          <w:p>
            <w:pPr>
              <w:widowControl/>
              <w:jc w:val="center"/>
            </w:pPr>
            <w:r>
              <w:rPr>
                <w:color w:val="000000"/>
                <w:szCs w:val="21"/>
              </w:rPr>
              <w:t>考核内容及相应试题</w:t>
            </w:r>
          </w:p>
        </w:tc>
        <w:tc>
          <w:tcPr>
            <w:tcW w:w="2552" w:type="dxa"/>
            <w:gridSpan w:val="4"/>
            <w:tcBorders>
              <w:tl2br w:val="single" w:color="auto" w:sz="4" w:space="0"/>
            </w:tcBorders>
            <w:shd w:val="clear" w:color="auto" w:fill="FFFFFF"/>
            <w:noWrap w:val="0"/>
            <w:vAlign w:val="top"/>
          </w:tcPr>
          <w:p>
            <w:pPr>
              <w:pStyle w:val="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noWrap w:val="0"/>
            <w:tcMar>
              <w:left w:w="57" w:type="dxa"/>
              <w:right w:w="57" w:type="dxa"/>
            </w:tcMar>
            <w:vAlign w:val="center"/>
          </w:tcPr>
          <w:p>
            <w:pPr>
              <w:pStyle w:val="14"/>
              <w:jc w:val="center"/>
              <w:rPr>
                <w:rFonts w:eastAsia="宋体"/>
              </w:rPr>
            </w:pPr>
          </w:p>
        </w:tc>
        <w:tc>
          <w:tcPr>
            <w:tcW w:w="715" w:type="dxa"/>
            <w:vMerge w:val="continue"/>
            <w:shd w:val="clear" w:color="auto" w:fill="auto"/>
            <w:noWrap w:val="0"/>
            <w:vAlign w:val="center"/>
          </w:tcPr>
          <w:p>
            <w:pPr>
              <w:pStyle w:val="14"/>
              <w:jc w:val="center"/>
              <w:rPr>
                <w:rFonts w:eastAsia="宋体"/>
              </w:rPr>
            </w:pPr>
          </w:p>
        </w:tc>
        <w:tc>
          <w:tcPr>
            <w:tcW w:w="1560" w:type="dxa"/>
            <w:tcBorders>
              <w:left w:val="single" w:color="auto" w:sz="4" w:space="0"/>
            </w:tcBorders>
            <w:shd w:val="clear" w:color="auto" w:fill="auto"/>
            <w:noWrap w:val="0"/>
            <w:vAlign w:val="center"/>
          </w:tcPr>
          <w:p>
            <w:pPr>
              <w:pStyle w:val="14"/>
              <w:jc w:val="center"/>
              <w:rPr>
                <w:rFonts w:eastAsia="宋体"/>
                <w:color w:val="000000"/>
                <w:szCs w:val="21"/>
              </w:rPr>
            </w:pPr>
            <w:r>
              <w:rPr>
                <w:rFonts w:eastAsia="宋体"/>
                <w:color w:val="000000"/>
                <w:szCs w:val="21"/>
              </w:rPr>
              <w:t>选择题</w:t>
            </w:r>
          </w:p>
        </w:tc>
        <w:tc>
          <w:tcPr>
            <w:tcW w:w="3260" w:type="dxa"/>
            <w:tcBorders>
              <w:left w:val="single" w:color="auto" w:sz="4" w:space="0"/>
            </w:tcBorders>
            <w:shd w:val="clear" w:color="auto" w:fill="auto"/>
            <w:noWrap w:val="0"/>
            <w:vAlign w:val="center"/>
          </w:tcPr>
          <w:p>
            <w:pPr>
              <w:pStyle w:val="14"/>
              <w:rPr>
                <w:rFonts w:eastAsia="宋体"/>
                <w:color w:val="000000"/>
                <w:szCs w:val="21"/>
              </w:rPr>
            </w:pPr>
            <w:r>
              <w:rPr>
                <w:rFonts w:eastAsia="宋体"/>
                <w:color w:val="000000"/>
                <w:szCs w:val="21"/>
              </w:rPr>
              <w:t>主要考核流体流动、流体输送机械、沉降与过滤和传热的基本概念和定律。</w:t>
            </w:r>
          </w:p>
        </w:tc>
        <w:tc>
          <w:tcPr>
            <w:tcW w:w="638" w:type="dxa"/>
            <w:shd w:val="clear" w:color="auto" w:fill="FFFFFF"/>
            <w:noWrap w:val="0"/>
            <w:vAlign w:val="center"/>
          </w:tcPr>
          <w:p>
            <w:pPr>
              <w:widowControl/>
              <w:jc w:val="center"/>
            </w:pPr>
            <w:r>
              <w:t>1</w:t>
            </w:r>
            <w:r>
              <w:rPr>
                <w:rFonts w:hint="eastAsia"/>
              </w:rPr>
              <w:t>5</w:t>
            </w:r>
            <w:r>
              <w:t>%</w:t>
            </w:r>
          </w:p>
        </w:tc>
        <w:tc>
          <w:tcPr>
            <w:tcW w:w="638" w:type="dxa"/>
            <w:shd w:val="clear" w:color="auto" w:fill="FFFFFF"/>
            <w:noWrap w:val="0"/>
            <w:vAlign w:val="center"/>
          </w:tcPr>
          <w:p>
            <w:pPr>
              <w:widowControl/>
              <w:jc w:val="center"/>
            </w:pPr>
          </w:p>
        </w:tc>
        <w:tc>
          <w:tcPr>
            <w:tcW w:w="638" w:type="dxa"/>
            <w:shd w:val="clear" w:color="auto" w:fill="FFFFFF"/>
            <w:noWrap w:val="0"/>
            <w:vAlign w:val="center"/>
          </w:tcPr>
          <w:p>
            <w:pPr>
              <w:widowControl/>
              <w:jc w:val="center"/>
            </w:pPr>
          </w:p>
        </w:tc>
        <w:tc>
          <w:tcPr>
            <w:tcW w:w="638" w:type="dxa"/>
            <w:shd w:val="clear" w:color="auto" w:fill="FFFFFF"/>
            <w:noWrap w:val="0"/>
            <w:vAlign w:val="center"/>
          </w:tcPr>
          <w:p>
            <w:pPr>
              <w:widowControl/>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noWrap w:val="0"/>
            <w:tcMar>
              <w:left w:w="57" w:type="dxa"/>
              <w:right w:w="57" w:type="dxa"/>
            </w:tcMar>
            <w:vAlign w:val="center"/>
          </w:tcPr>
          <w:p>
            <w:pPr>
              <w:pStyle w:val="14"/>
              <w:jc w:val="center"/>
              <w:rPr>
                <w:rFonts w:eastAsia="宋体"/>
              </w:rPr>
            </w:pPr>
          </w:p>
        </w:tc>
        <w:tc>
          <w:tcPr>
            <w:tcW w:w="715" w:type="dxa"/>
            <w:vMerge w:val="continue"/>
            <w:shd w:val="clear" w:color="auto" w:fill="auto"/>
            <w:noWrap w:val="0"/>
            <w:vAlign w:val="center"/>
          </w:tcPr>
          <w:p>
            <w:pPr>
              <w:pStyle w:val="14"/>
              <w:jc w:val="center"/>
              <w:rPr>
                <w:rFonts w:eastAsia="宋体"/>
              </w:rPr>
            </w:pPr>
          </w:p>
        </w:tc>
        <w:tc>
          <w:tcPr>
            <w:tcW w:w="1560" w:type="dxa"/>
            <w:tcBorders>
              <w:left w:val="single" w:color="auto" w:sz="4" w:space="0"/>
            </w:tcBorders>
            <w:shd w:val="clear" w:color="auto" w:fill="auto"/>
            <w:noWrap w:val="0"/>
            <w:vAlign w:val="center"/>
          </w:tcPr>
          <w:p>
            <w:pPr>
              <w:pStyle w:val="14"/>
              <w:jc w:val="center"/>
              <w:rPr>
                <w:rFonts w:eastAsia="宋体"/>
                <w:color w:val="000000"/>
                <w:szCs w:val="21"/>
              </w:rPr>
            </w:pPr>
            <w:r>
              <w:rPr>
                <w:rFonts w:eastAsia="宋体"/>
                <w:color w:val="000000"/>
                <w:szCs w:val="21"/>
              </w:rPr>
              <w:t>填空题</w:t>
            </w:r>
          </w:p>
        </w:tc>
        <w:tc>
          <w:tcPr>
            <w:tcW w:w="3260" w:type="dxa"/>
            <w:tcBorders>
              <w:left w:val="single" w:color="auto" w:sz="4" w:space="0"/>
            </w:tcBorders>
            <w:shd w:val="clear" w:color="auto" w:fill="auto"/>
            <w:noWrap w:val="0"/>
            <w:vAlign w:val="center"/>
          </w:tcPr>
          <w:p>
            <w:pPr>
              <w:pStyle w:val="14"/>
              <w:rPr>
                <w:rFonts w:eastAsia="宋体"/>
                <w:color w:val="000000"/>
                <w:szCs w:val="21"/>
              </w:rPr>
            </w:pPr>
            <w:r>
              <w:rPr>
                <w:rFonts w:eastAsia="宋体"/>
                <w:color w:val="000000"/>
                <w:szCs w:val="21"/>
              </w:rPr>
              <w:t>主要考核流体流动、流体输送机械、沉降与过滤和传热的基本概念和定律。</w:t>
            </w:r>
          </w:p>
        </w:tc>
        <w:tc>
          <w:tcPr>
            <w:tcW w:w="638" w:type="dxa"/>
            <w:shd w:val="clear" w:color="auto" w:fill="FFFFFF"/>
            <w:noWrap w:val="0"/>
            <w:vAlign w:val="center"/>
          </w:tcPr>
          <w:p>
            <w:pPr>
              <w:pStyle w:val="14"/>
              <w:jc w:val="center"/>
              <w:rPr>
                <w:rFonts w:eastAsia="宋体"/>
                <w:color w:val="000000"/>
                <w:szCs w:val="21"/>
              </w:rPr>
            </w:pPr>
            <w:r>
              <w:rPr>
                <w:rFonts w:eastAsia="宋体"/>
                <w:color w:val="000000"/>
                <w:szCs w:val="21"/>
              </w:rPr>
              <w:t>1</w:t>
            </w:r>
            <w:r>
              <w:rPr>
                <w:rFonts w:hint="eastAsia" w:eastAsia="宋体"/>
                <w:color w:val="000000"/>
                <w:szCs w:val="21"/>
              </w:rPr>
              <w:t>0</w:t>
            </w:r>
            <w:r>
              <w:rPr>
                <w:rFonts w:eastAsia="宋体"/>
                <w:color w:val="000000"/>
                <w:szCs w:val="21"/>
              </w:rPr>
              <w:t>%</w:t>
            </w:r>
          </w:p>
        </w:tc>
        <w:tc>
          <w:tcPr>
            <w:tcW w:w="638"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noWrap w:val="0"/>
            <w:tcMar>
              <w:left w:w="57" w:type="dxa"/>
              <w:right w:w="57" w:type="dxa"/>
            </w:tcMar>
            <w:vAlign w:val="center"/>
          </w:tcPr>
          <w:p>
            <w:pPr>
              <w:pStyle w:val="14"/>
              <w:jc w:val="center"/>
              <w:rPr>
                <w:rFonts w:eastAsia="宋体"/>
              </w:rPr>
            </w:pPr>
          </w:p>
        </w:tc>
        <w:tc>
          <w:tcPr>
            <w:tcW w:w="715" w:type="dxa"/>
            <w:vMerge w:val="continue"/>
            <w:shd w:val="clear" w:color="auto" w:fill="auto"/>
            <w:noWrap w:val="0"/>
            <w:vAlign w:val="center"/>
          </w:tcPr>
          <w:p>
            <w:pPr>
              <w:pStyle w:val="14"/>
              <w:jc w:val="center"/>
              <w:rPr>
                <w:rFonts w:eastAsia="宋体"/>
              </w:rPr>
            </w:pPr>
          </w:p>
        </w:tc>
        <w:tc>
          <w:tcPr>
            <w:tcW w:w="1560" w:type="dxa"/>
            <w:tcBorders>
              <w:left w:val="single" w:color="auto" w:sz="4" w:space="0"/>
            </w:tcBorders>
            <w:shd w:val="clear" w:color="auto" w:fill="auto"/>
            <w:noWrap w:val="0"/>
            <w:vAlign w:val="center"/>
          </w:tcPr>
          <w:p>
            <w:pPr>
              <w:pStyle w:val="14"/>
              <w:jc w:val="center"/>
              <w:rPr>
                <w:rFonts w:eastAsia="宋体"/>
                <w:color w:val="000000"/>
                <w:szCs w:val="21"/>
              </w:rPr>
            </w:pPr>
            <w:r>
              <w:rPr>
                <w:rFonts w:eastAsia="宋体"/>
                <w:color w:val="000000"/>
                <w:szCs w:val="21"/>
              </w:rPr>
              <w:t>计算题</w:t>
            </w:r>
          </w:p>
        </w:tc>
        <w:tc>
          <w:tcPr>
            <w:tcW w:w="3260" w:type="dxa"/>
            <w:tcBorders>
              <w:left w:val="single" w:color="auto" w:sz="4" w:space="0"/>
              <w:bottom w:val="single" w:color="auto" w:sz="4" w:space="0"/>
            </w:tcBorders>
            <w:shd w:val="clear" w:color="auto" w:fill="auto"/>
            <w:noWrap w:val="0"/>
            <w:vAlign w:val="center"/>
          </w:tcPr>
          <w:p>
            <w:pPr>
              <w:pStyle w:val="14"/>
              <w:rPr>
                <w:rFonts w:eastAsia="宋体"/>
                <w:color w:val="000000"/>
                <w:szCs w:val="21"/>
              </w:rPr>
            </w:pPr>
            <w:r>
              <w:rPr>
                <w:rFonts w:eastAsia="宋体"/>
                <w:color w:val="000000"/>
                <w:szCs w:val="21"/>
              </w:rPr>
              <w:t>主要考核流体流动、流体输送机械、沉降与过滤和传热定律的应用计算。</w:t>
            </w:r>
          </w:p>
        </w:tc>
        <w:tc>
          <w:tcPr>
            <w:tcW w:w="638"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r>
              <w:rPr>
                <w:rFonts w:eastAsia="宋体"/>
                <w:color w:val="000000"/>
                <w:szCs w:val="21"/>
              </w:rPr>
              <w:t>25%</w:t>
            </w:r>
          </w:p>
        </w:tc>
        <w:tc>
          <w:tcPr>
            <w:tcW w:w="638"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043" w:type="dxa"/>
            <w:shd w:val="clear" w:color="auto" w:fill="auto"/>
            <w:noWrap w:val="0"/>
            <w:tcMar>
              <w:left w:w="57" w:type="dxa"/>
              <w:right w:w="57" w:type="dxa"/>
            </w:tcMar>
            <w:vAlign w:val="center"/>
          </w:tcPr>
          <w:p>
            <w:pPr>
              <w:pStyle w:val="14"/>
              <w:jc w:val="center"/>
              <w:rPr>
                <w:rFonts w:eastAsia="宋体"/>
              </w:rPr>
            </w:pPr>
            <w:r>
              <w:rPr>
                <w:rFonts w:eastAsia="宋体"/>
              </w:rPr>
              <w:t>合    计</w:t>
            </w:r>
          </w:p>
        </w:tc>
        <w:tc>
          <w:tcPr>
            <w:tcW w:w="715" w:type="dxa"/>
            <w:shd w:val="clear" w:color="auto" w:fill="auto"/>
            <w:noWrap w:val="0"/>
            <w:vAlign w:val="center"/>
          </w:tcPr>
          <w:p>
            <w:pPr>
              <w:pStyle w:val="14"/>
              <w:jc w:val="center"/>
              <w:rPr>
                <w:rFonts w:eastAsia="宋体"/>
              </w:rPr>
            </w:pPr>
            <w:r>
              <w:rPr>
                <w:rFonts w:eastAsia="宋体"/>
              </w:rPr>
              <w:t>100%</w:t>
            </w:r>
          </w:p>
        </w:tc>
        <w:tc>
          <w:tcPr>
            <w:tcW w:w="4820" w:type="dxa"/>
            <w:gridSpan w:val="2"/>
            <w:tcBorders>
              <w:left w:val="single" w:color="auto" w:sz="4" w:space="0"/>
            </w:tcBorders>
            <w:shd w:val="clear" w:color="auto" w:fill="auto"/>
            <w:noWrap w:val="0"/>
            <w:vAlign w:val="center"/>
          </w:tcPr>
          <w:p>
            <w:pPr>
              <w:pStyle w:val="14"/>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r>
              <w:rPr>
                <w:rFonts w:eastAsia="宋体"/>
                <w:color w:val="000000"/>
                <w:szCs w:val="21"/>
              </w:rPr>
              <w:t>5</w:t>
            </w:r>
            <w:r>
              <w:rPr>
                <w:rFonts w:hint="eastAsia" w:eastAsia="宋体"/>
                <w:color w:val="000000"/>
                <w:szCs w:val="21"/>
              </w:rPr>
              <w:t>0</w:t>
            </w:r>
            <w:r>
              <w:rPr>
                <w:rFonts w:eastAsia="宋体"/>
                <w:color w:val="000000"/>
                <w:szCs w:val="21"/>
              </w:rPr>
              <w:t>%</w:t>
            </w:r>
          </w:p>
        </w:tc>
        <w:tc>
          <w:tcPr>
            <w:tcW w:w="638" w:type="dxa"/>
            <w:shd w:val="clear" w:color="auto" w:fill="FFFFFF"/>
            <w:noWrap w:val="0"/>
            <w:vAlign w:val="center"/>
          </w:tcPr>
          <w:p>
            <w:pPr>
              <w:pStyle w:val="14"/>
              <w:jc w:val="center"/>
              <w:rPr>
                <w:rFonts w:eastAsia="宋体"/>
                <w:color w:val="000000"/>
                <w:szCs w:val="21"/>
              </w:rPr>
            </w:pPr>
            <w:r>
              <w:rPr>
                <w:rFonts w:eastAsia="宋体"/>
                <w:color w:val="000000"/>
                <w:szCs w:val="21"/>
              </w:rPr>
              <w:t>5</w:t>
            </w:r>
            <w:r>
              <w:rPr>
                <w:rFonts w:hint="eastAsia" w:eastAsia="宋体"/>
                <w:color w:val="000000"/>
                <w:szCs w:val="21"/>
              </w:rPr>
              <w:t>0</w:t>
            </w:r>
            <w:r>
              <w:rPr>
                <w:rFonts w:eastAsia="宋体"/>
                <w:color w:val="000000"/>
                <w:szCs w:val="21"/>
              </w:rPr>
              <w:t>%</w:t>
            </w:r>
          </w:p>
        </w:tc>
        <w:tc>
          <w:tcPr>
            <w:tcW w:w="638"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r>
    </w:tbl>
    <w:p>
      <w:pPr>
        <w:spacing w:line="360" w:lineRule="auto"/>
        <w:rPr>
          <w:sz w:val="24"/>
          <w:szCs w:val="22"/>
        </w:rPr>
      </w:pPr>
      <w:r>
        <w:rPr>
          <w:sz w:val="24"/>
          <w:szCs w:val="22"/>
        </w:rPr>
        <w:t>备注：1. 课程目标达成度计算方法如下：</w:t>
      </w:r>
    </w:p>
    <w:p>
      <w:pPr>
        <w:spacing w:line="360" w:lineRule="auto"/>
        <w:jc w:val="center"/>
        <w:rPr>
          <w:sz w:val="24"/>
          <w:szCs w:val="22"/>
        </w:rPr>
      </w:pPr>
      <w:r>
        <w:rPr>
          <w:position w:val="-26"/>
          <w:sz w:val="24"/>
          <w:szCs w:val="22"/>
        </w:rPr>
        <w:object>
          <v:shape id="_x0000_i1028" o:spt="75" type="#_x0000_t75" style="height:32.4pt;width:336.8pt;" o:ole="t" filled="f" o:preferrelative="t" stroked="f" coordsize="21600,21600">
            <v:path/>
            <v:fill on="f" focussize="0,0"/>
            <v:stroke on="f"/>
            <v:imagedata r:id="rId20" o:title=""/>
            <o:lock v:ext="edit" aspectratio="t"/>
            <w10:wrap type="none"/>
            <w10:anchorlock/>
          </v:shape>
          <o:OLEObject Type="Embed" ProgID="Equation.DSMT4" ShapeID="_x0000_i1028" DrawAspect="Content" ObjectID="_1468075728" r:id="rId23">
            <o:LockedField>false</o:LockedField>
          </o:OLEObject>
        </w:object>
      </w:r>
    </w:p>
    <w:p>
      <w:pPr>
        <w:spacing w:line="360" w:lineRule="auto"/>
        <w:ind w:firstLine="720" w:firstLineChars="300"/>
        <w:rPr>
          <w:sz w:val="24"/>
          <w:szCs w:val="22"/>
        </w:rPr>
      </w:pPr>
      <w:r>
        <w:rPr>
          <w:sz w:val="24"/>
          <w:szCs w:val="22"/>
        </w:rPr>
        <w:t>2. 作业包括课后习题、思考题、单元测试、笔记、网络课堂学习等。</w:t>
      </w:r>
    </w:p>
    <w:p>
      <w:pPr>
        <w:spacing w:line="360" w:lineRule="auto"/>
        <w:ind w:firstLine="562" w:firstLineChars="200"/>
        <w:rPr>
          <w:rFonts w:hint="eastAsia"/>
          <w:b/>
          <w:sz w:val="28"/>
          <w:szCs w:val="28"/>
        </w:rPr>
      </w:pPr>
      <w:r>
        <w:rPr>
          <w:rFonts w:hint="eastAsia"/>
          <w:b/>
          <w:sz w:val="28"/>
          <w:szCs w:val="28"/>
        </w:rPr>
        <w:t>六</w:t>
      </w:r>
      <w:r>
        <w:rPr>
          <w:b/>
          <w:sz w:val="28"/>
          <w:szCs w:val="28"/>
        </w:rPr>
        <w:t>、</w:t>
      </w:r>
      <w:r>
        <w:rPr>
          <w:rFonts w:hint="eastAsia"/>
          <w:b/>
          <w:sz w:val="28"/>
          <w:szCs w:val="28"/>
        </w:rPr>
        <w:t>有关说明</w:t>
      </w:r>
    </w:p>
    <w:p>
      <w:pPr>
        <w:spacing w:line="360" w:lineRule="auto"/>
        <w:ind w:firstLine="482" w:firstLineChars="200"/>
        <w:rPr>
          <w:rFonts w:hint="eastAsia"/>
          <w:b/>
          <w:color w:val="000000"/>
          <w:sz w:val="24"/>
        </w:rPr>
      </w:pPr>
      <w:r>
        <w:rPr>
          <w:rFonts w:hint="eastAsia"/>
          <w:b/>
          <w:color w:val="000000"/>
          <w:sz w:val="24"/>
        </w:rPr>
        <w:t>（一）持续改进</w:t>
      </w:r>
    </w:p>
    <w:p>
      <w:pPr>
        <w:autoSpaceDE w:val="0"/>
        <w:autoSpaceDN w:val="0"/>
        <w:adjustRightInd w:val="0"/>
        <w:spacing w:line="360" w:lineRule="auto"/>
        <w:ind w:firstLine="480" w:firstLineChars="200"/>
        <w:jc w:val="left"/>
        <w:rPr>
          <w:kern w:val="0"/>
          <w:sz w:val="24"/>
          <w:szCs w:val="21"/>
        </w:rPr>
      </w:pPr>
      <w:r>
        <w:rPr>
          <w:rFonts w:hint="eastAsia"/>
          <w:kern w:val="0"/>
          <w:sz w:val="24"/>
          <w:szCs w:val="21"/>
        </w:rPr>
        <w:t>本课程根据课后作业、考勤、期末考试等考核情况，以及学生、教学督导的反馈意见，及时对教学中不足之处进行改进，并在下一轮课程教学中改进提高。针对课程目标设计出课程考核的方式、内容和评分标准，确保课程内容与教学方式能有效实现课程目标，使得考核结果能够证明课程目标达成。</w:t>
      </w:r>
    </w:p>
    <w:p>
      <w:pPr>
        <w:spacing w:line="360" w:lineRule="auto"/>
        <w:ind w:firstLine="482" w:firstLineChars="200"/>
        <w:rPr>
          <w:rFonts w:hint="eastAsia"/>
          <w:b/>
          <w:color w:val="000000"/>
          <w:sz w:val="24"/>
        </w:rPr>
      </w:pPr>
      <w:r>
        <w:rPr>
          <w:rFonts w:hint="eastAsia"/>
          <w:b/>
          <w:color w:val="000000"/>
          <w:sz w:val="24"/>
        </w:rPr>
        <w:t>（二）</w:t>
      </w:r>
      <w:r>
        <w:rPr>
          <w:b/>
          <w:color w:val="000000"/>
          <w:sz w:val="24"/>
        </w:rPr>
        <w:t>参考书目及学习资料</w:t>
      </w:r>
    </w:p>
    <w:p>
      <w:pPr>
        <w:autoSpaceDE w:val="0"/>
        <w:autoSpaceDN w:val="0"/>
        <w:adjustRightInd w:val="0"/>
        <w:spacing w:line="360" w:lineRule="auto"/>
        <w:ind w:firstLine="480" w:firstLineChars="200"/>
        <w:jc w:val="left"/>
        <w:rPr>
          <w:rFonts w:hint="eastAsia" w:eastAsia="宋体"/>
          <w:kern w:val="0"/>
          <w:sz w:val="24"/>
          <w:szCs w:val="21"/>
          <w:lang w:val="en-US" w:eastAsia="zh-CN"/>
        </w:rPr>
      </w:pPr>
      <w:r>
        <w:rPr>
          <w:rFonts w:hint="eastAsia"/>
          <w:kern w:val="0"/>
          <w:sz w:val="24"/>
          <w:szCs w:val="21"/>
        </w:rPr>
        <w:t>《化工原理》（第三版），杨祖荣主编，化学工业出版社，201</w:t>
      </w:r>
      <w:r>
        <w:rPr>
          <w:rFonts w:hint="eastAsia"/>
          <w:kern w:val="0"/>
          <w:sz w:val="24"/>
          <w:szCs w:val="21"/>
          <w:lang w:val="en-US" w:eastAsia="zh-CN"/>
        </w:rPr>
        <w:t>8</w:t>
      </w:r>
    </w:p>
    <w:p>
      <w:pPr>
        <w:autoSpaceDE w:val="0"/>
        <w:autoSpaceDN w:val="0"/>
        <w:adjustRightInd w:val="0"/>
        <w:spacing w:line="360" w:lineRule="auto"/>
        <w:ind w:firstLine="480" w:firstLineChars="200"/>
        <w:jc w:val="left"/>
        <w:rPr>
          <w:rFonts w:hint="eastAsia"/>
          <w:kern w:val="0"/>
          <w:sz w:val="24"/>
          <w:szCs w:val="21"/>
        </w:rPr>
      </w:pPr>
      <w:r>
        <w:rPr>
          <w:rFonts w:hint="eastAsia"/>
          <w:kern w:val="0"/>
          <w:sz w:val="24"/>
          <w:szCs w:val="21"/>
        </w:rPr>
        <w:t>《化工原理》（第四版），管国峰，赵汝博主编，化学工业出版社，2015</w:t>
      </w:r>
    </w:p>
    <w:p>
      <w:pPr>
        <w:autoSpaceDE w:val="0"/>
        <w:autoSpaceDN w:val="0"/>
        <w:adjustRightInd w:val="0"/>
        <w:spacing w:line="360" w:lineRule="auto"/>
        <w:ind w:firstLine="480" w:firstLineChars="200"/>
        <w:jc w:val="left"/>
        <w:rPr>
          <w:rFonts w:hint="eastAsia" w:eastAsia="宋体"/>
          <w:kern w:val="0"/>
          <w:sz w:val="24"/>
          <w:szCs w:val="21"/>
          <w:lang w:val="en-US" w:eastAsia="zh-CN"/>
        </w:rPr>
      </w:pPr>
      <w:r>
        <w:rPr>
          <w:rFonts w:hint="eastAsia"/>
          <w:kern w:val="0"/>
          <w:sz w:val="24"/>
          <w:szCs w:val="21"/>
        </w:rPr>
        <w:t>《化工原理课程学习指导》（第二版），丁忠伟主编，化学工业出版社， 201</w:t>
      </w:r>
      <w:r>
        <w:rPr>
          <w:rFonts w:hint="eastAsia"/>
          <w:kern w:val="0"/>
          <w:sz w:val="24"/>
          <w:szCs w:val="21"/>
          <w:lang w:val="en-US" w:eastAsia="zh-CN"/>
        </w:rPr>
        <w:t>6</w:t>
      </w:r>
    </w:p>
    <w:p>
      <w:pPr>
        <w:wordWrap w:val="0"/>
        <w:spacing w:line="400" w:lineRule="exact"/>
        <w:ind w:right="240" w:firstLine="5964" w:firstLineChars="2485"/>
        <w:jc w:val="right"/>
        <w:rPr>
          <w:rFonts w:hint="eastAsia"/>
          <w:sz w:val="24"/>
        </w:rPr>
      </w:pPr>
      <w:r>
        <w:rPr>
          <w:rFonts w:hint="eastAsia"/>
          <w:sz w:val="24"/>
        </w:rPr>
        <w:t xml:space="preserve">     </w:t>
      </w:r>
    </w:p>
    <w:p>
      <w:pPr>
        <w:wordWrap w:val="0"/>
        <w:spacing w:line="400" w:lineRule="exact"/>
        <w:ind w:right="240" w:firstLine="5964" w:firstLineChars="2485"/>
        <w:jc w:val="right"/>
        <w:rPr>
          <w:rFonts w:hint="eastAsia"/>
          <w:sz w:val="24"/>
        </w:rPr>
      </w:pPr>
      <w:r>
        <w:rPr>
          <w:rFonts w:hint="eastAsia"/>
          <w:sz w:val="24"/>
          <w:lang w:val="en-US" w:eastAsia="zh-CN"/>
        </w:rPr>
        <w:t xml:space="preserve">    </w:t>
      </w:r>
      <w:r>
        <w:rPr>
          <w:sz w:val="24"/>
        </w:rPr>
        <w:t>执笔人：</w:t>
      </w:r>
      <w:r>
        <w:rPr>
          <w:rFonts w:hint="eastAsia"/>
          <w:sz w:val="24"/>
        </w:rPr>
        <w:t>刘宝亮</w:t>
      </w:r>
    </w:p>
    <w:p>
      <w:pPr>
        <w:spacing w:line="400" w:lineRule="exact"/>
        <w:ind w:firstLine="5964" w:firstLineChars="2485"/>
        <w:jc w:val="center"/>
        <w:rPr>
          <w:rFonts w:hint="eastAsia"/>
          <w:sz w:val="24"/>
        </w:rPr>
      </w:pPr>
      <w:r>
        <w:rPr>
          <w:rFonts w:hint="eastAsia"/>
          <w:sz w:val="24"/>
        </w:rPr>
        <w:t xml:space="preserve">  审定</w:t>
      </w:r>
      <w:r>
        <w:rPr>
          <w:sz w:val="24"/>
        </w:rPr>
        <w:t>人：</w:t>
      </w:r>
      <w:r>
        <w:rPr>
          <w:rFonts w:hint="eastAsia"/>
          <w:sz w:val="24"/>
        </w:rPr>
        <w:t>魏雪姣</w:t>
      </w:r>
    </w:p>
    <w:p>
      <w:pPr>
        <w:spacing w:line="400" w:lineRule="exact"/>
        <w:ind w:firstLine="5964" w:firstLineChars="2485"/>
        <w:jc w:val="center"/>
        <w:rPr>
          <w:rFonts w:hint="eastAsia"/>
          <w:sz w:val="24"/>
        </w:rPr>
      </w:pPr>
      <w:r>
        <w:rPr>
          <w:rFonts w:hint="eastAsia"/>
          <w:sz w:val="24"/>
        </w:rPr>
        <w:t xml:space="preserve">  </w:t>
      </w:r>
      <w:r>
        <w:rPr>
          <w:sz w:val="24"/>
        </w:rPr>
        <w:t>批准人：</w:t>
      </w:r>
      <w:r>
        <w:rPr>
          <w:rFonts w:hint="eastAsia"/>
          <w:sz w:val="24"/>
        </w:rPr>
        <w:t>吴泽颖</w:t>
      </w:r>
    </w:p>
    <w:p>
      <w:pPr>
        <w:spacing w:line="400" w:lineRule="exact"/>
        <w:ind w:firstLine="5964" w:firstLineChars="2485"/>
        <w:rPr>
          <w:rFonts w:hint="eastAsia"/>
          <w:sz w:val="24"/>
        </w:rPr>
      </w:pPr>
      <w:r>
        <w:rPr>
          <w:rFonts w:hint="eastAsia"/>
          <w:sz w:val="24"/>
        </w:rPr>
        <w:t xml:space="preserve">   批准时间:202</w:t>
      </w:r>
      <w:r>
        <w:rPr>
          <w:rFonts w:hint="eastAsia"/>
          <w:sz w:val="24"/>
          <w:lang w:val="en-US" w:eastAsia="zh-CN"/>
        </w:rPr>
        <w:t>1</w:t>
      </w:r>
      <w:r>
        <w:rPr>
          <w:rFonts w:hint="eastAsia"/>
          <w:sz w:val="24"/>
        </w:rPr>
        <w:t>.9.1</w:t>
      </w:r>
    </w:p>
    <w:p/>
    <w:p/>
    <w:p/>
    <w:p/>
    <w:p/>
    <w:p/>
    <w:p/>
    <w:p/>
    <w:p/>
    <w:p/>
    <w:p/>
    <w:p/>
    <w:p/>
    <w:p/>
    <w:p/>
    <w:p/>
    <w:p/>
    <w:p/>
    <w:p/>
    <w:p/>
    <w:p>
      <w:pPr>
        <w:pStyle w:val="3"/>
        <w:bidi w:val="0"/>
        <w:jc w:val="center"/>
        <w:rPr>
          <w:b/>
          <w:bCs/>
        </w:rPr>
      </w:pPr>
      <w:bookmarkStart w:id="33" w:name="_Toc25599"/>
      <w:bookmarkStart w:id="34" w:name="_Toc26947"/>
      <w:r>
        <w:rPr>
          <w:rFonts w:hint="eastAsia"/>
        </w:rPr>
        <w:t>化工原理II课程教学大纲</w:t>
      </w:r>
      <w:bookmarkEnd w:id="33"/>
      <w:bookmarkEnd w:id="34"/>
    </w:p>
    <w:p>
      <w:pPr>
        <w:spacing w:line="312" w:lineRule="auto"/>
        <w:jc w:val="center"/>
        <w:rPr>
          <w:b/>
          <w:bCs/>
          <w:sz w:val="30"/>
        </w:rPr>
      </w:pPr>
      <w:r>
        <w:rPr>
          <w:b/>
          <w:bCs/>
          <w:sz w:val="30"/>
        </w:rPr>
        <w:t>（Principles of Chemical Engineering I</w:t>
      </w:r>
      <w:r>
        <w:rPr>
          <w:rFonts w:hint="eastAsia"/>
          <w:b/>
          <w:bCs/>
          <w:sz w:val="30"/>
        </w:rPr>
        <w:t>I</w:t>
      </w:r>
      <w:r>
        <w:rPr>
          <w:b/>
          <w:bCs/>
          <w:sz w:val="30"/>
        </w:rPr>
        <w:t>）</w:t>
      </w:r>
    </w:p>
    <w:p>
      <w:pPr>
        <w:spacing w:line="360" w:lineRule="auto"/>
        <w:ind w:firstLine="551" w:firstLineChars="196"/>
        <w:rPr>
          <w:rFonts w:hint="default" w:ascii="Times New Roman" w:hAnsi="Times New Roman" w:cs="Times New Roman"/>
          <w:b/>
          <w:sz w:val="28"/>
          <w:szCs w:val="28"/>
        </w:rPr>
      </w:pPr>
      <w:r>
        <w:rPr>
          <w:rFonts w:hint="default" w:ascii="Times New Roman" w:hAnsi="Times New Roman" w:cs="Times New Roman"/>
          <w:b/>
          <w:sz w:val="28"/>
          <w:szCs w:val="28"/>
        </w:rPr>
        <w:t>一、课程概况</w:t>
      </w:r>
    </w:p>
    <w:p>
      <w:pPr>
        <w:spacing w:line="360" w:lineRule="auto"/>
        <w:ind w:firstLine="482" w:firstLineChars="200"/>
        <w:rPr>
          <w:rFonts w:hint="default" w:ascii="Times New Roman" w:hAnsi="Times New Roman" w:eastAsia="宋体" w:cs="Times New Roman"/>
          <w:b/>
          <w:sz w:val="28"/>
          <w:szCs w:val="28"/>
          <w:lang w:val="en-US" w:eastAsia="zh-CN"/>
        </w:rPr>
      </w:pPr>
      <w:r>
        <w:rPr>
          <w:rFonts w:hint="default" w:ascii="Times New Roman" w:hAnsi="Times New Roman" w:cs="Times New Roman"/>
          <w:b/>
          <w:bCs/>
          <w:kern w:val="0"/>
          <w:sz w:val="24"/>
        </w:rPr>
        <w:t>课程代码</w:t>
      </w:r>
      <w:r>
        <w:rPr>
          <w:rFonts w:hint="default" w:ascii="Times New Roman" w:hAnsi="Times New Roman" w:cs="Times New Roman"/>
          <w:b/>
          <w:kern w:val="0"/>
          <w:sz w:val="24"/>
        </w:rPr>
        <w:t>：</w:t>
      </w:r>
      <w:r>
        <w:rPr>
          <w:rFonts w:hint="default" w:ascii="Times New Roman" w:hAnsi="Times New Roman" w:cs="Times New Roman"/>
          <w:bCs/>
          <w:kern w:val="0"/>
          <w:sz w:val="24"/>
          <w:lang w:val="en-US" w:eastAsia="zh-CN"/>
        </w:rPr>
        <w:t>2501043</w:t>
      </w:r>
    </w:p>
    <w:p>
      <w:pPr>
        <w:spacing w:line="360" w:lineRule="auto"/>
        <w:ind w:firstLine="482" w:firstLineChars="200"/>
        <w:rPr>
          <w:rFonts w:hint="default" w:ascii="Times New Roman" w:hAnsi="Times New Roman" w:cs="Times New Roman"/>
          <w:kern w:val="0"/>
          <w:sz w:val="24"/>
        </w:rPr>
      </w:pPr>
      <w:r>
        <w:rPr>
          <w:rFonts w:hint="default" w:ascii="Times New Roman" w:hAnsi="Times New Roman" w:cs="Times New Roman"/>
          <w:b/>
          <w:bCs/>
          <w:kern w:val="0"/>
          <w:sz w:val="24"/>
        </w:rPr>
        <w:t>学    分</w:t>
      </w:r>
      <w:r>
        <w:rPr>
          <w:rFonts w:hint="default" w:ascii="Times New Roman" w:hAnsi="Times New Roman" w:cs="Times New Roman"/>
          <w:b/>
          <w:kern w:val="0"/>
          <w:sz w:val="24"/>
        </w:rPr>
        <w:t>：</w:t>
      </w:r>
      <w:r>
        <w:rPr>
          <w:rFonts w:hint="default" w:ascii="Times New Roman" w:hAnsi="Times New Roman" w:cs="Times New Roman"/>
          <w:b w:val="0"/>
          <w:bCs/>
          <w:kern w:val="0"/>
          <w:sz w:val="24"/>
          <w:lang w:val="en-US" w:eastAsia="zh-CN"/>
        </w:rPr>
        <w:t>3</w:t>
      </w:r>
      <w:r>
        <w:rPr>
          <w:rFonts w:hint="default" w:ascii="Times New Roman" w:hAnsi="Times New Roman" w:cs="Times New Roman"/>
          <w:b w:val="0"/>
          <w:bCs/>
          <w:kern w:val="0"/>
          <w:sz w:val="24"/>
        </w:rPr>
        <w:t>.0</w:t>
      </w:r>
    </w:p>
    <w:p>
      <w:pPr>
        <w:spacing w:line="360" w:lineRule="auto"/>
        <w:ind w:firstLine="482" w:firstLineChars="200"/>
        <w:rPr>
          <w:rFonts w:hint="default" w:ascii="Times New Roman" w:hAnsi="Times New Roman" w:eastAsia="宋体" w:cs="Times New Roman"/>
          <w:kern w:val="0"/>
          <w:sz w:val="24"/>
          <w:lang w:val="en-US" w:eastAsia="zh-CN"/>
        </w:rPr>
      </w:pPr>
      <w:r>
        <w:rPr>
          <w:rFonts w:hint="default" w:ascii="Times New Roman" w:hAnsi="Times New Roman" w:cs="Times New Roman"/>
          <w:b/>
          <w:bCs/>
          <w:kern w:val="0"/>
          <w:sz w:val="24"/>
        </w:rPr>
        <w:t>学    时</w:t>
      </w:r>
      <w:r>
        <w:rPr>
          <w:rFonts w:hint="default" w:ascii="Times New Roman" w:hAnsi="Times New Roman" w:cs="Times New Roman"/>
          <w:b/>
          <w:kern w:val="0"/>
          <w:sz w:val="24"/>
        </w:rPr>
        <w:t>：</w:t>
      </w:r>
      <w:r>
        <w:rPr>
          <w:rFonts w:hint="default" w:ascii="Times New Roman" w:hAnsi="Times New Roman" w:cs="Times New Roman"/>
          <w:b w:val="0"/>
          <w:bCs/>
          <w:kern w:val="0"/>
          <w:sz w:val="24"/>
          <w:lang w:val="en-US" w:eastAsia="zh-CN"/>
        </w:rPr>
        <w:t>48</w:t>
      </w:r>
    </w:p>
    <w:p>
      <w:pPr>
        <w:spacing w:line="360" w:lineRule="auto"/>
        <w:ind w:firstLine="482" w:firstLineChars="200"/>
        <w:rPr>
          <w:kern w:val="0"/>
          <w:sz w:val="24"/>
        </w:rPr>
      </w:pPr>
      <w:r>
        <w:rPr>
          <w:b/>
          <w:bCs/>
          <w:kern w:val="0"/>
          <w:sz w:val="24"/>
        </w:rPr>
        <w:t>先修课程</w:t>
      </w:r>
      <w:r>
        <w:rPr>
          <w:b/>
          <w:kern w:val="0"/>
          <w:sz w:val="24"/>
        </w:rPr>
        <w:t>：</w:t>
      </w:r>
      <w:r>
        <w:rPr>
          <w:rFonts w:hint="eastAsia"/>
          <w:kern w:val="0"/>
          <w:sz w:val="24"/>
        </w:rPr>
        <w:t>高等数学、大学物理、化学、物理化学等。</w:t>
      </w:r>
    </w:p>
    <w:p>
      <w:pPr>
        <w:spacing w:line="360" w:lineRule="auto"/>
        <w:ind w:firstLine="482" w:firstLineChars="200"/>
        <w:rPr>
          <w:kern w:val="0"/>
          <w:sz w:val="24"/>
        </w:rPr>
      </w:pPr>
      <w:r>
        <w:rPr>
          <w:b/>
          <w:bCs/>
          <w:kern w:val="0"/>
          <w:sz w:val="24"/>
        </w:rPr>
        <w:t>适用专业</w:t>
      </w:r>
      <w:r>
        <w:rPr>
          <w:b/>
          <w:kern w:val="0"/>
          <w:sz w:val="24"/>
        </w:rPr>
        <w:t>：</w:t>
      </w:r>
      <w:r>
        <w:rPr>
          <w:rFonts w:hint="eastAsia"/>
          <w:kern w:val="0"/>
          <w:sz w:val="24"/>
        </w:rPr>
        <w:t>化学工程与工艺</w:t>
      </w:r>
      <w:r>
        <w:rPr>
          <w:kern w:val="0"/>
          <w:sz w:val="24"/>
        </w:rPr>
        <w:t xml:space="preserve">                         </w:t>
      </w:r>
    </w:p>
    <w:p>
      <w:pPr>
        <w:spacing w:line="360" w:lineRule="auto"/>
        <w:ind w:firstLine="482" w:firstLineChars="200"/>
        <w:rPr>
          <w:rFonts w:hint="eastAsia" w:eastAsia="宋体"/>
          <w:sz w:val="24"/>
          <w:lang w:val="en-US" w:eastAsia="zh-CN"/>
        </w:rPr>
      </w:pPr>
      <w:r>
        <w:rPr>
          <w:rFonts w:hint="eastAsia"/>
          <w:b/>
          <w:bCs/>
          <w:kern w:val="0"/>
          <w:sz w:val="24"/>
        </w:rPr>
        <w:t>建议</w:t>
      </w:r>
      <w:r>
        <w:rPr>
          <w:b/>
          <w:bCs/>
          <w:kern w:val="0"/>
          <w:sz w:val="24"/>
        </w:rPr>
        <w:t>教材</w:t>
      </w:r>
      <w:r>
        <w:rPr>
          <w:b/>
          <w:kern w:val="0"/>
          <w:sz w:val="24"/>
        </w:rPr>
        <w:t>：</w:t>
      </w:r>
      <w:r>
        <w:rPr>
          <w:sz w:val="24"/>
          <w:szCs w:val="21"/>
        </w:rPr>
        <w:t>《</w:t>
      </w:r>
      <w:r>
        <w:rPr>
          <w:rFonts w:hint="eastAsia"/>
          <w:sz w:val="24"/>
          <w:szCs w:val="21"/>
        </w:rPr>
        <w:t>化工原理</w:t>
      </w:r>
      <w:r>
        <w:rPr>
          <w:sz w:val="24"/>
        </w:rPr>
        <w:t>》，</w:t>
      </w:r>
      <w:r>
        <w:rPr>
          <w:rFonts w:hint="eastAsia"/>
          <w:sz w:val="24"/>
          <w:lang w:eastAsia="zh-CN"/>
        </w:rPr>
        <w:t>陈敏恒</w:t>
      </w:r>
      <w:r>
        <w:rPr>
          <w:sz w:val="24"/>
        </w:rPr>
        <w:t>，</w:t>
      </w:r>
      <w:r>
        <w:rPr>
          <w:rFonts w:hint="eastAsia"/>
          <w:sz w:val="24"/>
        </w:rPr>
        <w:t>化学工业出版社</w:t>
      </w:r>
      <w:r>
        <w:rPr>
          <w:sz w:val="24"/>
        </w:rPr>
        <w:t>，201</w:t>
      </w:r>
      <w:r>
        <w:rPr>
          <w:rFonts w:hint="eastAsia"/>
          <w:sz w:val="24"/>
          <w:lang w:val="en-US" w:eastAsia="zh-CN"/>
        </w:rPr>
        <w:t>5</w:t>
      </w:r>
    </w:p>
    <w:p>
      <w:pPr>
        <w:spacing w:line="360" w:lineRule="auto"/>
        <w:ind w:firstLine="482" w:firstLineChars="200"/>
        <w:rPr>
          <w:bCs/>
          <w:kern w:val="0"/>
          <w:sz w:val="24"/>
        </w:rPr>
      </w:pPr>
      <w:r>
        <w:rPr>
          <w:b/>
          <w:bCs/>
          <w:kern w:val="0"/>
          <w:sz w:val="24"/>
        </w:rPr>
        <w:t>课程归口：</w:t>
      </w:r>
      <w:r>
        <w:rPr>
          <w:rFonts w:hint="eastAsia"/>
          <w:bCs/>
          <w:kern w:val="0"/>
          <w:sz w:val="24"/>
        </w:rPr>
        <w:t>数理与化工</w:t>
      </w:r>
      <w:r>
        <w:rPr>
          <w:kern w:val="0"/>
          <w:sz w:val="24"/>
        </w:rPr>
        <w:t>学院</w:t>
      </w:r>
    </w:p>
    <w:p>
      <w:pPr>
        <w:spacing w:line="360" w:lineRule="auto"/>
        <w:ind w:firstLine="482" w:firstLineChars="200"/>
        <w:rPr>
          <w:kern w:val="0"/>
          <w:sz w:val="24"/>
        </w:rPr>
      </w:pPr>
      <w:r>
        <w:rPr>
          <w:b/>
          <w:bCs/>
          <w:kern w:val="0"/>
          <w:sz w:val="24"/>
        </w:rPr>
        <w:t>课程的性质与任务</w:t>
      </w:r>
      <w:r>
        <w:rPr>
          <w:rFonts w:hint="eastAsia"/>
          <w:b/>
          <w:bCs/>
          <w:kern w:val="0"/>
          <w:sz w:val="24"/>
        </w:rPr>
        <w:t>：</w:t>
      </w:r>
      <w:r>
        <w:rPr>
          <w:rFonts w:hint="eastAsia"/>
          <w:kern w:val="0"/>
          <w:sz w:val="24"/>
        </w:rPr>
        <w:t>化学工业是将自然界的各种物质，经过化学和物理方法处理，制造成生产资料和生活资料的工业。一种产品的生产过程中，从原料到成品往往需要几个或几十个加工过程。《化工原理》是化工各专业学生必修的一门基础技术课程，其主要任务是培养学生运用基础理论分析和解决化工单元操作中各种工程实际问题的能力。《化工原理》的主要任务就是介绍流体流动、传热、传质的基本原理及主要单元操作的典型设备构造、操作原理、计算及选型。</w:t>
      </w:r>
      <w:r>
        <w:rPr>
          <w:rFonts w:hint="eastAsia"/>
          <w:bCs/>
          <w:color w:val="000000"/>
          <w:sz w:val="24"/>
        </w:rPr>
        <w:t>将</w:t>
      </w:r>
      <w:r>
        <w:rPr>
          <w:rFonts w:hint="eastAsia"/>
          <w:bCs/>
          <w:color w:val="000000"/>
          <w:sz w:val="24"/>
          <w:lang w:eastAsia="zh-CN"/>
        </w:rPr>
        <w:t>化工原理单元操作分析</w:t>
      </w:r>
      <w:r>
        <w:rPr>
          <w:rFonts w:hint="eastAsia"/>
          <w:bCs/>
          <w:color w:val="000000"/>
          <w:sz w:val="24"/>
        </w:rPr>
        <w:t>的方法与工程实践相结合，培养学生具有辩证思维能力，树立理论联系实际的科学观，为学生毕业后从事相关工作打下良好的基础。</w:t>
      </w:r>
    </w:p>
    <w:p>
      <w:pPr>
        <w:spacing w:line="360" w:lineRule="auto"/>
        <w:ind w:firstLine="562" w:firstLineChars="200"/>
        <w:rPr>
          <w:b/>
          <w:sz w:val="28"/>
          <w:szCs w:val="28"/>
        </w:rPr>
      </w:pPr>
      <w:r>
        <w:rPr>
          <w:rFonts w:hint="eastAsia"/>
          <w:b/>
          <w:sz w:val="28"/>
          <w:szCs w:val="28"/>
        </w:rPr>
        <w:t>二</w:t>
      </w:r>
      <w:r>
        <w:rPr>
          <w:b/>
          <w:sz w:val="28"/>
          <w:szCs w:val="28"/>
        </w:rPr>
        <w:t>、课程目标及对毕业要求观测点的支撑</w:t>
      </w:r>
    </w:p>
    <w:tbl>
      <w:tblPr>
        <w:tblStyle w:val="1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118"/>
        <w:gridCol w:w="2292"/>
        <w:gridCol w:w="3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38" w:type="dxa"/>
            <w:noWrap/>
            <w:vAlign w:val="center"/>
          </w:tcPr>
          <w:p>
            <w:pPr>
              <w:widowControl/>
              <w:jc w:val="center"/>
              <w:rPr>
                <w:rFonts w:hint="default" w:ascii="Times New Roman" w:hAnsi="Times New Roman" w:cs="Times New Roman"/>
                <w:b/>
                <w:bCs/>
                <w:kern w:val="0"/>
                <w:szCs w:val="21"/>
              </w:rPr>
            </w:pPr>
            <w:r>
              <w:rPr>
                <w:rFonts w:hint="default" w:ascii="Times New Roman" w:hAnsi="Times New Roman" w:cs="Times New Roman"/>
                <w:b/>
                <w:bCs/>
                <w:kern w:val="0"/>
                <w:szCs w:val="21"/>
              </w:rPr>
              <w:t>序号</w:t>
            </w:r>
          </w:p>
        </w:tc>
        <w:tc>
          <w:tcPr>
            <w:tcW w:w="3118" w:type="dxa"/>
            <w:noWrap/>
            <w:vAlign w:val="center"/>
          </w:tcPr>
          <w:p>
            <w:pPr>
              <w:widowControl/>
              <w:jc w:val="center"/>
              <w:rPr>
                <w:rFonts w:hint="default" w:ascii="Times New Roman" w:hAnsi="Times New Roman" w:cs="Times New Roman"/>
                <w:b/>
                <w:bCs/>
                <w:kern w:val="0"/>
                <w:szCs w:val="21"/>
              </w:rPr>
            </w:pPr>
            <w:r>
              <w:rPr>
                <w:rFonts w:hint="default" w:ascii="Times New Roman" w:hAnsi="Times New Roman" w:cs="Times New Roman"/>
                <w:b/>
                <w:bCs/>
                <w:kern w:val="0"/>
                <w:szCs w:val="21"/>
              </w:rPr>
              <w:t>课程目标</w:t>
            </w:r>
          </w:p>
        </w:tc>
        <w:tc>
          <w:tcPr>
            <w:tcW w:w="2292" w:type="dxa"/>
            <w:noWrap/>
            <w:vAlign w:val="center"/>
          </w:tcPr>
          <w:p>
            <w:pPr>
              <w:widowControl/>
              <w:jc w:val="center"/>
              <w:rPr>
                <w:rFonts w:hint="default" w:ascii="Times New Roman" w:hAnsi="Times New Roman" w:cs="Times New Roman"/>
                <w:b/>
                <w:bCs/>
                <w:kern w:val="0"/>
                <w:szCs w:val="21"/>
              </w:rPr>
            </w:pPr>
            <w:r>
              <w:rPr>
                <w:rFonts w:hint="default" w:ascii="Times New Roman" w:hAnsi="Times New Roman" w:cs="Times New Roman"/>
                <w:b/>
                <w:bCs/>
                <w:kern w:val="0"/>
                <w:szCs w:val="21"/>
              </w:rPr>
              <w:t>支撑毕业要求观测点</w:t>
            </w:r>
          </w:p>
        </w:tc>
        <w:tc>
          <w:tcPr>
            <w:tcW w:w="3066" w:type="dxa"/>
            <w:noWrap/>
            <w:vAlign w:val="center"/>
          </w:tcPr>
          <w:p>
            <w:pPr>
              <w:widowControl/>
              <w:jc w:val="center"/>
              <w:rPr>
                <w:rFonts w:hint="default" w:ascii="Times New Roman" w:hAnsi="Times New Roman" w:cs="Times New Roman"/>
                <w:b/>
                <w:bCs/>
                <w:kern w:val="0"/>
                <w:szCs w:val="21"/>
              </w:rPr>
            </w:pPr>
            <w:r>
              <w:rPr>
                <w:rFonts w:hint="default" w:ascii="Times New Roman" w:hAnsi="Times New Roman" w:cs="Times New Roman"/>
                <w:b/>
                <w:bCs/>
                <w:kern w:val="0"/>
                <w:szCs w:val="21"/>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38" w:type="dxa"/>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1</w:t>
            </w:r>
          </w:p>
        </w:tc>
        <w:tc>
          <w:tcPr>
            <w:tcW w:w="3118" w:type="dxa"/>
            <w:noWrap/>
            <w:vAlign w:val="center"/>
          </w:tcPr>
          <w:p>
            <w:pPr>
              <w:rPr>
                <w:rFonts w:hint="default" w:ascii="Times New Roman" w:hAnsi="Times New Roman" w:cs="Times New Roman"/>
                <w:kern w:val="0"/>
                <w:szCs w:val="21"/>
              </w:rPr>
            </w:pPr>
            <w:r>
              <w:rPr>
                <w:rFonts w:hint="default" w:ascii="Times New Roman" w:hAnsi="Times New Roman" w:cs="Times New Roman"/>
                <w:b/>
                <w:kern w:val="0"/>
                <w:szCs w:val="21"/>
              </w:rPr>
              <w:t>目标1：</w:t>
            </w:r>
            <w:r>
              <w:rPr>
                <w:rFonts w:hint="default" w:ascii="Times New Roman" w:hAnsi="Times New Roman" w:cs="Times New Roman"/>
                <w:b w:val="0"/>
                <w:bCs/>
                <w:kern w:val="0"/>
                <w:szCs w:val="21"/>
                <w:lang w:val="en-US" w:eastAsia="zh-CN"/>
              </w:rPr>
              <w:t>能够运用数学、物理和物化知识表达单元操作的问题，掌握蒸馏、吸收和干燥等单元操作的数学模型，利用行模型推演和分析复杂化工过程中的相关单元操作，根据推演和分析的结果进行复杂化工过程中相关单元过程的工艺设计、设备选型以及操作分析。</w:t>
            </w:r>
          </w:p>
        </w:tc>
        <w:tc>
          <w:tcPr>
            <w:tcW w:w="2292" w:type="dxa"/>
            <w:noWrap/>
            <w:vAlign w:val="center"/>
          </w:tcPr>
          <w:p>
            <w:pPr>
              <w:widowControl/>
              <w:rPr>
                <w:rFonts w:hint="default" w:ascii="Times New Roman" w:hAnsi="Times New Roman" w:cs="Times New Roman"/>
                <w:kern w:val="0"/>
                <w:szCs w:val="21"/>
              </w:rPr>
            </w:pPr>
            <w:r>
              <w:rPr>
                <w:rFonts w:hint="default" w:ascii="Times New Roman" w:hAnsi="Times New Roman" w:cs="Times New Roman"/>
                <w:b/>
                <w:szCs w:val="21"/>
              </w:rPr>
              <w:t>观测点1.</w:t>
            </w:r>
            <w:r>
              <w:rPr>
                <w:rFonts w:hint="eastAsia" w:ascii="Times New Roman" w:hAnsi="Times New Roman" w:cs="Times New Roman"/>
                <w:b/>
                <w:szCs w:val="21"/>
                <w:lang w:val="en-US" w:eastAsia="zh-CN"/>
              </w:rPr>
              <w:t>2</w:t>
            </w:r>
            <w:r>
              <w:rPr>
                <w:rFonts w:hint="default" w:ascii="Times New Roman" w:hAnsi="Times New Roman" w:cs="Times New Roman"/>
                <w:szCs w:val="21"/>
              </w:rPr>
              <w:t>：</w:t>
            </w:r>
            <w:r>
              <w:rPr>
                <w:rFonts w:ascii="Times New Roman" w:hAnsi="Times New Roman"/>
                <w:color w:val="000000"/>
                <w:kern w:val="0"/>
              </w:rPr>
              <w:t>掌握化学和化工基础知识</w:t>
            </w:r>
          </w:p>
        </w:tc>
        <w:tc>
          <w:tcPr>
            <w:tcW w:w="3066" w:type="dxa"/>
            <w:noWrap/>
            <w:vAlign w:val="center"/>
          </w:tcPr>
          <w:p>
            <w:pPr>
              <w:widowControl/>
              <w:rPr>
                <w:rFonts w:hint="default" w:ascii="Times New Roman" w:hAnsi="Times New Roman" w:cs="Times New Roman"/>
                <w:kern w:val="0"/>
                <w:szCs w:val="21"/>
              </w:rPr>
            </w:pPr>
            <w:r>
              <w:rPr>
                <w:rFonts w:hint="default" w:ascii="Times New Roman" w:hAnsi="Times New Roman" w:cs="Times New Roman"/>
                <w:b/>
                <w:szCs w:val="21"/>
              </w:rPr>
              <w:t>毕业要求1</w:t>
            </w:r>
            <w:r>
              <w:rPr>
                <w:rFonts w:hint="default" w:ascii="Times New Roman" w:hAnsi="Times New Roman" w:cs="Times New Roman"/>
                <w:szCs w:val="21"/>
              </w:rPr>
              <w:t>工程知识：</w:t>
            </w:r>
            <w:r>
              <w:rPr>
                <w:rFonts w:ascii="Times New Roman" w:hAnsi="Times New Roman"/>
                <w:color w:val="000000"/>
                <w:kern w:val="0"/>
              </w:rPr>
              <w:t>能够将数学、自然科学、工程基础和专业知识用于解决</w:t>
            </w:r>
            <w:r>
              <w:rPr>
                <w:rFonts w:ascii="Times New Roman" w:hAnsi="Times New Roman"/>
                <w:szCs w:val="21"/>
              </w:rPr>
              <w:t>化学工程与工艺领域</w:t>
            </w:r>
            <w:r>
              <w:rPr>
                <w:rFonts w:ascii="Times New Roman" w:hAnsi="Times New Roman"/>
                <w:color w:val="000000"/>
                <w:kern w:val="0"/>
              </w:rPr>
              <w:t>复杂工程问题。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38" w:type="dxa"/>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2</w:t>
            </w:r>
          </w:p>
        </w:tc>
        <w:tc>
          <w:tcPr>
            <w:tcW w:w="3118" w:type="dxa"/>
            <w:noWrap/>
            <w:vAlign w:val="center"/>
          </w:tcPr>
          <w:p>
            <w:pPr>
              <w:widowControl/>
              <w:rPr>
                <w:rFonts w:hint="default" w:ascii="Times New Roman" w:hAnsi="Times New Roman" w:cs="Times New Roman"/>
                <w:kern w:val="0"/>
                <w:szCs w:val="21"/>
              </w:rPr>
            </w:pPr>
            <w:r>
              <w:rPr>
                <w:rFonts w:hint="default" w:ascii="Times New Roman" w:hAnsi="Times New Roman" w:cs="Times New Roman"/>
                <w:b/>
                <w:kern w:val="0"/>
                <w:szCs w:val="21"/>
              </w:rPr>
              <w:t>目标2：</w:t>
            </w:r>
            <w:r>
              <w:rPr>
                <w:rFonts w:hint="default" w:ascii="Times New Roman" w:hAnsi="Times New Roman" w:cs="Times New Roman"/>
                <w:b w:val="0"/>
                <w:bCs/>
                <w:kern w:val="0"/>
                <w:szCs w:val="21"/>
                <w:lang w:val="en-US" w:eastAsia="zh-CN"/>
              </w:rPr>
              <w:t>能运用化工原理的基本知识分析、识别和判断复杂工程问题中蒸馏、吸收、液-液萃取和干燥的关键环节和影响因素，并增强工程观点，在此基础上去分析与解决质量传递方面的工程实际问题。</w:t>
            </w:r>
          </w:p>
        </w:tc>
        <w:tc>
          <w:tcPr>
            <w:tcW w:w="2292" w:type="dxa"/>
            <w:noWrap/>
            <w:vAlign w:val="center"/>
          </w:tcPr>
          <w:p>
            <w:pPr>
              <w:widowControl/>
              <w:rPr>
                <w:rFonts w:hint="eastAsia" w:ascii="Times New Roman" w:hAnsi="Times New Roman" w:eastAsia="宋体" w:cs="Times New Roman"/>
                <w:kern w:val="0"/>
                <w:szCs w:val="21"/>
                <w:lang w:val="en-US" w:eastAsia="zh-CN"/>
              </w:rPr>
            </w:pPr>
            <w:r>
              <w:rPr>
                <w:rFonts w:hint="default" w:ascii="Times New Roman" w:hAnsi="Times New Roman" w:cs="Times New Roman"/>
                <w:b/>
                <w:color w:val="000000"/>
                <w:kern w:val="0"/>
                <w:szCs w:val="21"/>
              </w:rPr>
              <w:t>观测点</w:t>
            </w:r>
            <w:r>
              <w:rPr>
                <w:rFonts w:hint="default" w:ascii="Times New Roman" w:hAnsi="Times New Roman" w:cs="Times New Roman"/>
                <w:b/>
                <w:szCs w:val="21"/>
              </w:rPr>
              <w:t>2.</w:t>
            </w:r>
            <w:r>
              <w:rPr>
                <w:rFonts w:hint="eastAsia" w:ascii="Times New Roman" w:hAnsi="Times New Roman" w:cs="Times New Roman"/>
                <w:b/>
                <w:szCs w:val="21"/>
                <w:lang w:val="en-US" w:eastAsia="zh-CN"/>
              </w:rPr>
              <w:t>1</w:t>
            </w:r>
            <w:r>
              <w:rPr>
                <w:rFonts w:hint="default" w:ascii="Times New Roman" w:hAnsi="Times New Roman" w:cs="Times New Roman"/>
                <w:szCs w:val="21"/>
              </w:rPr>
              <w:t>：</w:t>
            </w:r>
            <w:r>
              <w:rPr>
                <w:rFonts w:ascii="Times New Roman" w:hAnsi="Times New Roman"/>
                <w:color w:val="000000"/>
                <w:kern w:val="0"/>
              </w:rPr>
              <w:t>能够识别和判断复杂化学工程问题的关键环节和参数</w:t>
            </w:r>
            <w:r>
              <w:rPr>
                <w:rFonts w:hint="eastAsia" w:ascii="Times New Roman" w:hAnsi="Times New Roman"/>
                <w:color w:val="000000"/>
                <w:kern w:val="0"/>
                <w:lang w:eastAsia="zh-CN"/>
              </w:rPr>
              <w:t>。</w:t>
            </w:r>
          </w:p>
        </w:tc>
        <w:tc>
          <w:tcPr>
            <w:tcW w:w="3066" w:type="dxa"/>
            <w:noWrap/>
            <w:vAlign w:val="center"/>
          </w:tcPr>
          <w:p>
            <w:pPr>
              <w:widowControl/>
              <w:rPr>
                <w:rFonts w:hint="default" w:ascii="Times New Roman" w:hAnsi="Times New Roman" w:cs="Times New Roman"/>
                <w:kern w:val="0"/>
                <w:szCs w:val="21"/>
              </w:rPr>
            </w:pPr>
            <w:r>
              <w:rPr>
                <w:rFonts w:hint="default" w:ascii="Times New Roman" w:hAnsi="Times New Roman" w:cs="Times New Roman"/>
                <w:b/>
                <w:color w:val="000000"/>
                <w:kern w:val="0"/>
                <w:szCs w:val="21"/>
              </w:rPr>
              <w:t>毕业要求2</w:t>
            </w:r>
            <w:r>
              <w:rPr>
                <w:rFonts w:hint="default" w:ascii="Times New Roman" w:hAnsi="Times New Roman" w:cs="Times New Roman"/>
                <w:szCs w:val="21"/>
              </w:rPr>
              <w:t>问题分析：</w:t>
            </w:r>
            <w:r>
              <w:rPr>
                <w:rFonts w:ascii="Times New Roman" w:hAnsi="Times New Roman"/>
                <w:color w:val="000000"/>
                <w:kern w:val="0"/>
              </w:rPr>
              <w:t>能够应用数学、自然科学和工程科学的基本原理，识别、表达、并通过文献研究分析</w:t>
            </w:r>
            <w:r>
              <w:rPr>
                <w:rFonts w:ascii="Times New Roman" w:hAnsi="Times New Roman"/>
                <w:szCs w:val="21"/>
              </w:rPr>
              <w:t>化学工程与工艺领域</w:t>
            </w:r>
            <w:r>
              <w:rPr>
                <w:rFonts w:ascii="Times New Roman" w:hAnsi="Times New Roman"/>
                <w:color w:val="000000"/>
                <w:kern w:val="0"/>
              </w:rPr>
              <w:t>复杂工程问题，以获得有效结论。</w:t>
            </w:r>
          </w:p>
        </w:tc>
      </w:tr>
    </w:tbl>
    <w:p>
      <w:pPr>
        <w:spacing w:line="360" w:lineRule="auto"/>
        <w:rPr>
          <w:sz w:val="24"/>
        </w:rPr>
      </w:pPr>
      <w:r>
        <w:rPr>
          <w:rFonts w:hint="eastAsia"/>
          <w:b/>
          <w:sz w:val="28"/>
          <w:szCs w:val="28"/>
        </w:rPr>
        <w:t>三</w:t>
      </w:r>
      <w:r>
        <w:rPr>
          <w:b/>
          <w:sz w:val="28"/>
          <w:szCs w:val="28"/>
        </w:rPr>
        <w:t>、</w:t>
      </w:r>
      <w:r>
        <w:rPr>
          <w:rFonts w:hint="eastAsia"/>
          <w:b/>
          <w:sz w:val="28"/>
          <w:szCs w:val="28"/>
          <w:lang w:eastAsia="zh-CN"/>
        </w:rPr>
        <w:t>教学</w:t>
      </w:r>
      <w:r>
        <w:rPr>
          <w:b/>
          <w:sz w:val="28"/>
          <w:szCs w:val="28"/>
        </w:rPr>
        <w:t>内容及要求</w:t>
      </w:r>
    </w:p>
    <w:tbl>
      <w:tblPr>
        <w:tblStyle w:val="10"/>
        <w:tblW w:w="9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9"/>
        <w:gridCol w:w="2355"/>
        <w:gridCol w:w="1800"/>
        <w:gridCol w:w="2040"/>
        <w:gridCol w:w="705"/>
        <w:gridCol w:w="817"/>
        <w:gridCol w:w="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9" w:type="dxa"/>
            <w:noWrap w:val="0"/>
            <w:vAlign w:val="center"/>
          </w:tcPr>
          <w:p>
            <w:pPr>
              <w:jc w:val="center"/>
              <w:rPr>
                <w:b/>
                <w:bCs/>
                <w:szCs w:val="21"/>
              </w:rPr>
            </w:pPr>
            <w:r>
              <w:rPr>
                <w:b/>
                <w:bCs/>
                <w:szCs w:val="21"/>
              </w:rPr>
              <w:t>序号</w:t>
            </w:r>
          </w:p>
        </w:tc>
        <w:tc>
          <w:tcPr>
            <w:tcW w:w="2355" w:type="dxa"/>
            <w:noWrap w:val="0"/>
            <w:vAlign w:val="center"/>
          </w:tcPr>
          <w:p>
            <w:pPr>
              <w:jc w:val="center"/>
              <w:rPr>
                <w:b/>
                <w:bCs/>
                <w:szCs w:val="21"/>
              </w:rPr>
            </w:pPr>
            <w:r>
              <w:rPr>
                <w:b/>
                <w:bCs/>
                <w:szCs w:val="21"/>
              </w:rPr>
              <w:t>教学内容</w:t>
            </w:r>
          </w:p>
        </w:tc>
        <w:tc>
          <w:tcPr>
            <w:tcW w:w="1800" w:type="dxa"/>
            <w:noWrap w:val="0"/>
            <w:vAlign w:val="center"/>
          </w:tcPr>
          <w:p>
            <w:pPr>
              <w:jc w:val="center"/>
              <w:rPr>
                <w:b/>
                <w:bCs/>
                <w:szCs w:val="21"/>
              </w:rPr>
            </w:pPr>
            <w:r>
              <w:rPr>
                <w:b/>
                <w:bCs/>
                <w:szCs w:val="21"/>
              </w:rPr>
              <w:t>思政元素</w:t>
            </w:r>
          </w:p>
          <w:p>
            <w:pPr>
              <w:jc w:val="center"/>
              <w:rPr>
                <w:b/>
                <w:bCs/>
                <w:szCs w:val="21"/>
              </w:rPr>
            </w:pPr>
          </w:p>
        </w:tc>
        <w:tc>
          <w:tcPr>
            <w:tcW w:w="2040" w:type="dxa"/>
            <w:noWrap w:val="0"/>
            <w:vAlign w:val="center"/>
          </w:tcPr>
          <w:p>
            <w:pPr>
              <w:jc w:val="center"/>
              <w:rPr>
                <w:b/>
                <w:bCs/>
                <w:szCs w:val="21"/>
              </w:rPr>
            </w:pPr>
            <w:r>
              <w:rPr>
                <w:b/>
                <w:bCs/>
                <w:szCs w:val="21"/>
              </w:rPr>
              <w:t>预期学习成果</w:t>
            </w:r>
          </w:p>
          <w:p>
            <w:pPr>
              <w:jc w:val="center"/>
              <w:rPr>
                <w:b/>
                <w:bCs/>
                <w:szCs w:val="21"/>
              </w:rPr>
            </w:pPr>
          </w:p>
        </w:tc>
        <w:tc>
          <w:tcPr>
            <w:tcW w:w="705" w:type="dxa"/>
            <w:noWrap w:val="0"/>
            <w:vAlign w:val="center"/>
          </w:tcPr>
          <w:p>
            <w:pPr>
              <w:jc w:val="center"/>
              <w:rPr>
                <w:b/>
                <w:bCs/>
                <w:szCs w:val="21"/>
              </w:rPr>
            </w:pPr>
            <w:r>
              <w:rPr>
                <w:b/>
                <w:bCs/>
                <w:szCs w:val="21"/>
              </w:rPr>
              <w:t>教学学时</w:t>
            </w:r>
          </w:p>
        </w:tc>
        <w:tc>
          <w:tcPr>
            <w:tcW w:w="817" w:type="dxa"/>
            <w:noWrap w:val="0"/>
            <w:vAlign w:val="center"/>
          </w:tcPr>
          <w:p>
            <w:pPr>
              <w:jc w:val="center"/>
              <w:rPr>
                <w:b/>
                <w:bCs/>
                <w:szCs w:val="21"/>
              </w:rPr>
            </w:pPr>
            <w:r>
              <w:rPr>
                <w:b/>
                <w:bCs/>
                <w:szCs w:val="21"/>
              </w:rPr>
              <w:t>教学方式</w:t>
            </w:r>
          </w:p>
        </w:tc>
        <w:tc>
          <w:tcPr>
            <w:tcW w:w="925" w:type="dxa"/>
            <w:noWrap w:val="0"/>
            <w:vAlign w:val="center"/>
          </w:tcPr>
          <w:p>
            <w:pPr>
              <w:jc w:val="center"/>
              <w:rPr>
                <w:b/>
                <w:bCs/>
                <w:szCs w:val="21"/>
              </w:rPr>
            </w:pPr>
            <w:r>
              <w:rPr>
                <w:b/>
                <w:bCs/>
                <w:szCs w:val="21"/>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9" w:type="dxa"/>
            <w:noWrap w:val="0"/>
            <w:vAlign w:val="center"/>
          </w:tcPr>
          <w:p>
            <w:pPr>
              <w:jc w:val="center"/>
              <w:rPr>
                <w:szCs w:val="21"/>
              </w:rPr>
            </w:pPr>
            <w:r>
              <w:rPr>
                <w:szCs w:val="21"/>
              </w:rPr>
              <w:t>1</w:t>
            </w:r>
          </w:p>
        </w:tc>
        <w:tc>
          <w:tcPr>
            <w:tcW w:w="2355" w:type="dxa"/>
            <w:noWrap w:val="0"/>
            <w:vAlign w:val="center"/>
          </w:tcPr>
          <w:p>
            <w:pPr>
              <w:rPr>
                <w:rFonts w:hint="eastAsia"/>
                <w:kern w:val="0"/>
                <w:szCs w:val="21"/>
                <w:lang w:val="en-US" w:eastAsia="zh-CN"/>
              </w:rPr>
            </w:pPr>
            <w:r>
              <w:rPr>
                <w:rFonts w:hint="eastAsia"/>
                <w:b/>
                <w:kern w:val="0"/>
                <w:szCs w:val="21"/>
                <w:lang w:eastAsia="zh-CN"/>
              </w:rPr>
              <w:t>气体吸收</w:t>
            </w:r>
            <w:r>
              <w:rPr>
                <w:rFonts w:hint="eastAsia"/>
                <w:b/>
                <w:kern w:val="0"/>
                <w:szCs w:val="21"/>
              </w:rPr>
              <w:t>：</w:t>
            </w:r>
            <w:r>
              <w:rPr>
                <w:rFonts w:hint="eastAsia"/>
                <w:kern w:val="0"/>
                <w:szCs w:val="21"/>
                <w:lang w:val="en-US" w:eastAsia="zh-CN"/>
              </w:rPr>
              <w:t xml:space="preserve"> 概述：工业吸收过程、溶剂的选择、吸收中气液两相接触方式；气液相平衡：平衡溶解度、相平衡与吸收过程的关系；扩散和单向传质：双组分混合物中的分子扩散、对流传质理论；相际传质：相际传质速率、传质阻力的控制步骤与界面含量</w:t>
            </w:r>
          </w:p>
          <w:p>
            <w:pPr>
              <w:rPr>
                <w:rFonts w:hint="eastAsia" w:eastAsia="宋体"/>
                <w:kern w:val="0"/>
                <w:szCs w:val="21"/>
                <w:lang w:val="en-US" w:eastAsia="zh-CN"/>
              </w:rPr>
            </w:pPr>
            <w:r>
              <w:rPr>
                <w:rFonts w:hint="eastAsia"/>
                <w:kern w:val="0"/>
                <w:szCs w:val="21"/>
                <w:lang w:val="en-US" w:eastAsia="zh-CN"/>
              </w:rPr>
              <w:t>；低含量气体吸收：传质单元数的计算、吸收塔的设计型计算、操作型计算；填料塔：结构与特性、气液两相在填料塔内的流动</w:t>
            </w:r>
          </w:p>
          <w:p>
            <w:pPr>
              <w:rPr>
                <w:rFonts w:hint="eastAsia" w:eastAsia="宋体"/>
                <w:kern w:val="0"/>
                <w:szCs w:val="21"/>
                <w:lang w:eastAsia="zh-CN"/>
              </w:rPr>
            </w:pPr>
            <w:r>
              <w:rPr>
                <w:b/>
                <w:kern w:val="0"/>
                <w:szCs w:val="21"/>
              </w:rPr>
              <w:t>重点和难点：</w:t>
            </w:r>
            <w:r>
              <w:rPr>
                <w:rFonts w:hint="eastAsia"/>
                <w:kern w:val="0"/>
                <w:szCs w:val="21"/>
                <w:lang w:eastAsia="zh-CN"/>
              </w:rPr>
              <w:t>气体吸收的平衡关系、吸收过程的速率关系、吸收过程传质单元数和单元高度的计算、填料塔的流体力学性能及操作特性。</w:t>
            </w:r>
          </w:p>
        </w:tc>
        <w:tc>
          <w:tcPr>
            <w:tcW w:w="1800" w:type="dxa"/>
            <w:noWrap w:val="0"/>
            <w:vAlign w:val="center"/>
          </w:tcPr>
          <w:p>
            <w:pPr>
              <w:keepNext w:val="0"/>
              <w:keepLines w:val="0"/>
              <w:widowControl/>
              <w:suppressLineNumbers w:val="0"/>
              <w:jc w:val="left"/>
              <w:rPr>
                <w:kern w:val="0"/>
                <w:szCs w:val="21"/>
              </w:rPr>
            </w:pPr>
            <w:r>
              <w:rPr>
                <w:rFonts w:hint="eastAsia" w:ascii="宋体" w:hAnsi="宋体" w:eastAsia="宋体" w:cs="宋体"/>
                <w:color w:val="000000"/>
                <w:kern w:val="0"/>
                <w:sz w:val="21"/>
                <w:szCs w:val="21"/>
                <w:lang w:val="en-US" w:eastAsia="zh-CN" w:bidi="ar"/>
              </w:rPr>
              <w:t>吸收处理酸性气体等单元操作过程，涉及保、健康和安全以及法律规范等育德元素，藉这些教学内容渗透环保、健康、安全和法律等化工过程的理念，结合化工过程废弃物排放的严格规范和法律法规，达到培养学生环保、安全和法律道德意识的培养。</w:t>
            </w:r>
          </w:p>
        </w:tc>
        <w:tc>
          <w:tcPr>
            <w:tcW w:w="2040" w:type="dxa"/>
            <w:noWrap w:val="0"/>
            <w:vAlign w:val="center"/>
          </w:tcPr>
          <w:p>
            <w:pPr>
              <w:autoSpaceDE w:val="0"/>
              <w:autoSpaceDN w:val="0"/>
              <w:adjustRightInd w:val="0"/>
              <w:rPr>
                <w:kern w:val="0"/>
                <w:szCs w:val="21"/>
              </w:rPr>
            </w:pPr>
            <w:r>
              <w:rPr>
                <w:rFonts w:hint="eastAsia"/>
                <w:kern w:val="0"/>
                <w:szCs w:val="21"/>
              </w:rPr>
              <w:t>了解工业吸收过程和溶剂的选择依据，理解吸收过程中气液两相接触方式</w:t>
            </w:r>
            <w:r>
              <w:rPr>
                <w:rFonts w:hint="eastAsia"/>
                <w:kern w:val="0"/>
                <w:szCs w:val="21"/>
                <w:lang w:eastAsia="zh-CN"/>
              </w:rPr>
              <w:t>；</w:t>
            </w:r>
            <w:r>
              <w:rPr>
                <w:rFonts w:hint="eastAsia"/>
                <w:kern w:val="0"/>
                <w:szCs w:val="21"/>
              </w:rPr>
              <w:t>理解平衡溶解度的概念、亨利定律的物理意义和使用条件，掌握相平衡与吸收过程的关系</w:t>
            </w:r>
            <w:r>
              <w:rPr>
                <w:rFonts w:hint="eastAsia"/>
                <w:kern w:val="0"/>
                <w:szCs w:val="21"/>
                <w:lang w:eastAsia="zh-CN"/>
              </w:rPr>
              <w:t>；</w:t>
            </w:r>
            <w:r>
              <w:rPr>
                <w:rFonts w:hint="eastAsia"/>
                <w:kern w:val="0"/>
                <w:szCs w:val="21"/>
              </w:rPr>
              <w:t>了解菲克定律的物理意义，理解对流传质理论</w:t>
            </w:r>
            <w:r>
              <w:rPr>
                <w:rFonts w:hint="eastAsia"/>
                <w:kern w:val="0"/>
                <w:szCs w:val="21"/>
                <w:lang w:eastAsia="zh-CN"/>
              </w:rPr>
              <w:t>；</w:t>
            </w:r>
            <w:r>
              <w:rPr>
                <w:rFonts w:hint="eastAsia"/>
                <w:kern w:val="0"/>
                <w:szCs w:val="21"/>
              </w:rPr>
              <w:t>掌握相际传质速率方程的各种表达式，理解气相阻力控制与液相阻力控制的区别</w:t>
            </w:r>
            <w:r>
              <w:rPr>
                <w:rFonts w:hint="eastAsia"/>
                <w:kern w:val="0"/>
                <w:szCs w:val="21"/>
                <w:lang w:eastAsia="zh-CN"/>
              </w:rPr>
              <w:t>；</w:t>
            </w:r>
            <w:r>
              <w:rPr>
                <w:rFonts w:hint="eastAsia"/>
                <w:kern w:val="0"/>
                <w:szCs w:val="21"/>
              </w:rPr>
              <w:t>了解低含量气体吸收的特点，掌握传质单元数的计算方法，熟练掌握吸收塔的设计型和操作型计算</w:t>
            </w:r>
            <w:r>
              <w:rPr>
                <w:rFonts w:hint="eastAsia"/>
                <w:kern w:val="0"/>
                <w:szCs w:val="21"/>
                <w:lang w:eastAsia="zh-CN"/>
              </w:rPr>
              <w:t>；</w:t>
            </w:r>
            <w:r>
              <w:rPr>
                <w:rFonts w:hint="eastAsia"/>
                <w:kern w:val="0"/>
                <w:szCs w:val="21"/>
              </w:rPr>
              <w:t>了解填料塔的结构与特性，掌握气液两相在填料塔内的流动规律。</w:t>
            </w:r>
          </w:p>
        </w:tc>
        <w:tc>
          <w:tcPr>
            <w:tcW w:w="705" w:type="dxa"/>
            <w:noWrap w:val="0"/>
            <w:vAlign w:val="center"/>
          </w:tcPr>
          <w:p>
            <w:pPr>
              <w:spacing w:line="360" w:lineRule="exact"/>
              <w:jc w:val="center"/>
              <w:rPr>
                <w:szCs w:val="21"/>
              </w:rPr>
            </w:pPr>
            <w:r>
              <w:rPr>
                <w:rFonts w:hint="eastAsia"/>
                <w:sz w:val="24"/>
                <w:szCs w:val="24"/>
                <w:lang w:val="en-US" w:eastAsia="zh-CN"/>
              </w:rPr>
              <w:t>1</w:t>
            </w:r>
            <w:r>
              <w:rPr>
                <w:rFonts w:hint="eastAsia"/>
                <w:sz w:val="24"/>
                <w:szCs w:val="24"/>
              </w:rPr>
              <w:t>2</w:t>
            </w:r>
          </w:p>
        </w:tc>
        <w:tc>
          <w:tcPr>
            <w:tcW w:w="817" w:type="dxa"/>
            <w:noWrap w:val="0"/>
            <w:vAlign w:val="center"/>
          </w:tcPr>
          <w:p>
            <w:pPr>
              <w:rPr>
                <w:szCs w:val="21"/>
              </w:rPr>
            </w:pPr>
            <w:r>
              <w:rPr>
                <w:szCs w:val="21"/>
              </w:rPr>
              <w:t>讲授/讨论/实例教学等</w:t>
            </w:r>
          </w:p>
        </w:tc>
        <w:tc>
          <w:tcPr>
            <w:tcW w:w="925" w:type="dxa"/>
            <w:noWrap w:val="0"/>
            <w:vAlign w:val="center"/>
          </w:tcPr>
          <w:p>
            <w:pPr>
              <w:jc w:val="center"/>
              <w:rPr>
                <w:b w:val="0"/>
                <w:bCs/>
                <w:kern w:val="0"/>
                <w:szCs w:val="21"/>
              </w:rPr>
            </w:pPr>
            <w:r>
              <w:rPr>
                <w:b w:val="0"/>
                <w:bCs/>
                <w:kern w:val="0"/>
                <w:szCs w:val="21"/>
              </w:rPr>
              <w:t>目标1</w:t>
            </w:r>
          </w:p>
          <w:p>
            <w:pPr>
              <w:jc w:val="center"/>
              <w:rPr>
                <w:b w:val="0"/>
                <w:bCs/>
                <w:kern w:val="0"/>
                <w:szCs w:val="21"/>
              </w:rPr>
            </w:pPr>
            <w:r>
              <w:rPr>
                <w:b w:val="0"/>
                <w:bCs/>
                <w:kern w:val="0"/>
                <w:szCs w:val="21"/>
              </w:rPr>
              <w:t>目标2</w:t>
            </w:r>
          </w:p>
          <w:p>
            <w:pPr>
              <w:jc w:val="center"/>
              <w:rPr>
                <w:b w:val="0"/>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9" w:type="dxa"/>
            <w:noWrap w:val="0"/>
            <w:vAlign w:val="center"/>
          </w:tcPr>
          <w:p>
            <w:pPr>
              <w:jc w:val="center"/>
              <w:rPr>
                <w:szCs w:val="21"/>
              </w:rPr>
            </w:pPr>
            <w:r>
              <w:rPr>
                <w:szCs w:val="21"/>
              </w:rPr>
              <w:t>2</w:t>
            </w:r>
          </w:p>
        </w:tc>
        <w:tc>
          <w:tcPr>
            <w:tcW w:w="2355" w:type="dxa"/>
            <w:noWrap w:val="0"/>
            <w:vAlign w:val="center"/>
          </w:tcPr>
          <w:p>
            <w:pPr>
              <w:rPr>
                <w:rFonts w:hint="default" w:eastAsia="宋体"/>
                <w:kern w:val="0"/>
                <w:szCs w:val="21"/>
                <w:lang w:val="en-US" w:eastAsia="zh-CN"/>
              </w:rPr>
            </w:pPr>
            <w:r>
              <w:rPr>
                <w:rFonts w:hint="eastAsia"/>
                <w:b/>
                <w:kern w:val="0"/>
                <w:szCs w:val="21"/>
                <w:lang w:eastAsia="zh-CN"/>
              </w:rPr>
              <w:t>精馏</w:t>
            </w:r>
            <w:r>
              <w:rPr>
                <w:rFonts w:hint="eastAsia"/>
                <w:b/>
                <w:kern w:val="0"/>
                <w:szCs w:val="21"/>
              </w:rPr>
              <w:t>：</w:t>
            </w:r>
            <w:r>
              <w:rPr>
                <w:rFonts w:hint="eastAsia"/>
                <w:kern w:val="0"/>
                <w:szCs w:val="21"/>
                <w:lang w:val="en-US" w:eastAsia="zh-CN"/>
              </w:rPr>
              <w:t>双组分溶液的气—液相平衡：理想、非理想型气液相平衡；精馏：原理、塔板过程的数学描述、精馏塔的逐板计算；双组分精馏的设计型计算：理论塔板数、回流比的选择、加热状态的选择、平衡线为直线时的解析计算；双组分精馏的操作型计算：温度分布和灵敏板；板式塔：气液接触状态、不正常操作现象</w:t>
            </w:r>
          </w:p>
          <w:p>
            <w:pPr>
              <w:rPr>
                <w:rFonts w:hint="eastAsia" w:eastAsia="宋体"/>
                <w:kern w:val="0"/>
                <w:szCs w:val="21"/>
                <w:lang w:eastAsia="zh-CN"/>
              </w:rPr>
            </w:pPr>
            <w:r>
              <w:rPr>
                <w:b/>
                <w:kern w:val="0"/>
                <w:szCs w:val="21"/>
              </w:rPr>
              <w:t>重点和难点：</w:t>
            </w:r>
            <w:r>
              <w:rPr>
                <w:rFonts w:hint="eastAsia"/>
                <w:kern w:val="0"/>
                <w:szCs w:val="21"/>
                <w:lang w:eastAsia="zh-CN"/>
              </w:rPr>
              <w:t>拉乌尔定律、精馏原理、物料衡算、操作线方程、进料热状态参数、理论板的计算、回流比的确定、板式塔的流体力学特性等。</w:t>
            </w:r>
          </w:p>
        </w:tc>
        <w:tc>
          <w:tcPr>
            <w:tcW w:w="1800" w:type="dxa"/>
            <w:noWrap w:val="0"/>
            <w:vAlign w:val="center"/>
          </w:tcPr>
          <w:p>
            <w:pPr>
              <w:keepNext w:val="0"/>
              <w:keepLines w:val="0"/>
              <w:widowControl/>
              <w:suppressLineNumbers w:val="0"/>
              <w:jc w:val="left"/>
              <w:rPr>
                <w:szCs w:val="21"/>
              </w:rPr>
            </w:pPr>
            <w:r>
              <w:rPr>
                <w:rFonts w:hint="eastAsia" w:ascii="宋体" w:hAnsi="宋体" w:eastAsia="宋体" w:cs="宋体"/>
                <w:color w:val="000000"/>
                <w:kern w:val="0"/>
                <w:sz w:val="21"/>
                <w:szCs w:val="21"/>
                <w:lang w:val="en-US" w:eastAsia="zh-CN" w:bidi="ar"/>
              </w:rPr>
              <w:t>通过侯德榜、范旭东等爱国实业家的爱国事 迹也是爱国主义教育的良好素材。“家是最小国，国是最大家，家是国的基础，国是家的延伸”，作 为中国人首先要有一颗“中国人的心”。</w:t>
            </w:r>
          </w:p>
        </w:tc>
        <w:tc>
          <w:tcPr>
            <w:tcW w:w="2040" w:type="dxa"/>
            <w:noWrap w:val="0"/>
            <w:vAlign w:val="center"/>
          </w:tcPr>
          <w:p>
            <w:pPr>
              <w:rPr>
                <w:rFonts w:hint="eastAsia"/>
                <w:szCs w:val="21"/>
              </w:rPr>
            </w:pPr>
            <w:r>
              <w:rPr>
                <w:rFonts w:hint="eastAsia"/>
                <w:szCs w:val="21"/>
                <w:lang w:eastAsia="zh-CN"/>
              </w:rPr>
              <w:t>能够</w:t>
            </w:r>
            <w:r>
              <w:rPr>
                <w:rFonts w:hint="eastAsia"/>
                <w:szCs w:val="21"/>
              </w:rPr>
              <w:t>掌握拉乌尔定律、理想物系的气液两相平衡组成间的关系式，了解非理想物系的气液两相平衡关系</w:t>
            </w:r>
            <w:r>
              <w:rPr>
                <w:rFonts w:hint="eastAsia"/>
                <w:szCs w:val="21"/>
                <w:lang w:eastAsia="zh-CN"/>
              </w:rPr>
              <w:t>；</w:t>
            </w:r>
            <w:r>
              <w:rPr>
                <w:rFonts w:hint="eastAsia"/>
                <w:szCs w:val="21"/>
              </w:rPr>
              <w:t>掌握精馏原理，塔板过程的数学描述和逐板计算方法</w:t>
            </w:r>
            <w:r>
              <w:rPr>
                <w:rFonts w:hint="eastAsia"/>
                <w:szCs w:val="21"/>
                <w:lang w:eastAsia="zh-CN"/>
              </w:rPr>
              <w:t>；</w:t>
            </w:r>
            <w:r>
              <w:rPr>
                <w:rFonts w:hint="eastAsia"/>
                <w:szCs w:val="21"/>
              </w:rPr>
              <w:t>掌握理论塔板数的计算、回流比的选择、加热状态的选择、平衡线为直线时的解析计算等双组分精馏的设计型计算</w:t>
            </w:r>
            <w:r>
              <w:rPr>
                <w:rFonts w:hint="eastAsia"/>
                <w:szCs w:val="21"/>
                <w:lang w:eastAsia="zh-CN"/>
              </w:rPr>
              <w:t>；</w:t>
            </w:r>
            <w:r>
              <w:rPr>
                <w:rFonts w:hint="eastAsia"/>
                <w:szCs w:val="21"/>
              </w:rPr>
              <w:t>了解双组分精馏的操作型计算</w:t>
            </w:r>
            <w:r>
              <w:rPr>
                <w:rFonts w:hint="eastAsia"/>
                <w:szCs w:val="21"/>
                <w:lang w:eastAsia="zh-CN"/>
              </w:rPr>
              <w:t>；</w:t>
            </w:r>
            <w:r>
              <w:rPr>
                <w:rFonts w:hint="eastAsia"/>
                <w:szCs w:val="21"/>
              </w:rPr>
              <w:t>理解板式塔的结构特性，气液在板上的接触状态，了解不正常操作现象。</w:t>
            </w:r>
          </w:p>
          <w:p>
            <w:pPr>
              <w:rPr>
                <w:szCs w:val="21"/>
              </w:rPr>
            </w:pPr>
          </w:p>
        </w:tc>
        <w:tc>
          <w:tcPr>
            <w:tcW w:w="705" w:type="dxa"/>
            <w:noWrap w:val="0"/>
            <w:vAlign w:val="center"/>
          </w:tcPr>
          <w:p>
            <w:pPr>
              <w:spacing w:line="360" w:lineRule="exact"/>
              <w:jc w:val="center"/>
              <w:rPr>
                <w:rFonts w:hint="eastAsia" w:eastAsia="宋体"/>
                <w:szCs w:val="21"/>
                <w:lang w:val="en-US" w:eastAsia="zh-CN"/>
              </w:rPr>
            </w:pPr>
            <w:r>
              <w:rPr>
                <w:rFonts w:hint="eastAsia"/>
                <w:sz w:val="24"/>
                <w:szCs w:val="24"/>
              </w:rPr>
              <w:t>1</w:t>
            </w:r>
            <w:r>
              <w:rPr>
                <w:rFonts w:hint="eastAsia"/>
                <w:sz w:val="24"/>
                <w:szCs w:val="24"/>
                <w:lang w:val="en-US" w:eastAsia="zh-CN"/>
              </w:rPr>
              <w:t>4</w:t>
            </w:r>
          </w:p>
        </w:tc>
        <w:tc>
          <w:tcPr>
            <w:tcW w:w="817" w:type="dxa"/>
            <w:noWrap w:val="0"/>
            <w:vAlign w:val="center"/>
          </w:tcPr>
          <w:p>
            <w:pPr>
              <w:rPr>
                <w:szCs w:val="21"/>
              </w:rPr>
            </w:pPr>
            <w:r>
              <w:rPr>
                <w:szCs w:val="21"/>
              </w:rPr>
              <w:t>讲授/讨论/实例教学等</w:t>
            </w:r>
          </w:p>
        </w:tc>
        <w:tc>
          <w:tcPr>
            <w:tcW w:w="925" w:type="dxa"/>
            <w:noWrap w:val="0"/>
            <w:vAlign w:val="center"/>
          </w:tcPr>
          <w:p>
            <w:pPr>
              <w:jc w:val="center"/>
              <w:rPr>
                <w:b w:val="0"/>
                <w:bCs/>
                <w:kern w:val="0"/>
                <w:szCs w:val="21"/>
              </w:rPr>
            </w:pPr>
            <w:r>
              <w:rPr>
                <w:b w:val="0"/>
                <w:bCs/>
                <w:kern w:val="0"/>
                <w:szCs w:val="21"/>
              </w:rPr>
              <w:t>目标1</w:t>
            </w:r>
          </w:p>
          <w:p>
            <w:pPr>
              <w:jc w:val="center"/>
              <w:rPr>
                <w:b w:val="0"/>
                <w:bCs/>
                <w:szCs w:val="21"/>
              </w:rPr>
            </w:pPr>
            <w:r>
              <w:rPr>
                <w:b w:val="0"/>
                <w:bCs/>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9" w:type="dxa"/>
            <w:noWrap w:val="0"/>
            <w:vAlign w:val="center"/>
          </w:tcPr>
          <w:p>
            <w:pPr>
              <w:jc w:val="center"/>
              <w:rPr>
                <w:szCs w:val="21"/>
              </w:rPr>
            </w:pPr>
            <w:r>
              <w:rPr>
                <w:szCs w:val="21"/>
              </w:rPr>
              <w:t>3</w:t>
            </w:r>
          </w:p>
        </w:tc>
        <w:tc>
          <w:tcPr>
            <w:tcW w:w="2355" w:type="dxa"/>
            <w:noWrap w:val="0"/>
            <w:vAlign w:val="center"/>
          </w:tcPr>
          <w:p>
            <w:pPr>
              <w:rPr>
                <w:rFonts w:hint="default" w:eastAsia="宋体"/>
                <w:kern w:val="0"/>
                <w:szCs w:val="21"/>
                <w:lang w:val="en-US" w:eastAsia="zh-CN"/>
              </w:rPr>
            </w:pPr>
            <w:r>
              <w:rPr>
                <w:rFonts w:hint="eastAsia"/>
                <w:b/>
                <w:kern w:val="0"/>
                <w:szCs w:val="21"/>
                <w:lang w:eastAsia="zh-CN"/>
              </w:rPr>
              <w:t>萃取</w:t>
            </w:r>
            <w:r>
              <w:rPr>
                <w:rFonts w:hint="eastAsia"/>
                <w:b/>
                <w:kern w:val="0"/>
                <w:szCs w:val="21"/>
              </w:rPr>
              <w:t>：</w:t>
            </w:r>
            <w:r>
              <w:rPr>
                <w:rFonts w:hint="eastAsia"/>
                <w:kern w:val="0"/>
                <w:szCs w:val="21"/>
                <w:lang w:val="en-US" w:eastAsia="zh-CN"/>
              </w:rPr>
              <w:t>概述：液液萃取过程、两相接触方式；液液相平衡：三角形相图、部分互溶体系的相平衡、相平衡与萃取操作的关系；萃取过程计算：单极、多级错流、多级逆流、回流萃取，完全不互溶物系萃取过程的计算；萃取设备：类型及选择、液泛、传质速率</w:t>
            </w:r>
          </w:p>
          <w:p>
            <w:pPr>
              <w:rPr>
                <w:rFonts w:hint="eastAsia" w:eastAsia="宋体"/>
                <w:kern w:val="0"/>
                <w:szCs w:val="21"/>
                <w:lang w:eastAsia="zh-CN"/>
              </w:rPr>
            </w:pPr>
            <w:r>
              <w:rPr>
                <w:b/>
                <w:kern w:val="0"/>
                <w:szCs w:val="21"/>
              </w:rPr>
              <w:t>重点和难点：</w:t>
            </w:r>
            <w:r>
              <w:rPr>
                <w:rFonts w:hint="eastAsia"/>
                <w:kern w:val="0"/>
                <w:szCs w:val="21"/>
                <w:lang w:eastAsia="zh-CN"/>
              </w:rPr>
              <w:t>液</w:t>
            </w:r>
            <w:r>
              <w:rPr>
                <w:rFonts w:hint="eastAsia"/>
                <w:kern w:val="0"/>
                <w:szCs w:val="21"/>
                <w:lang w:val="en-US" w:eastAsia="zh-CN"/>
              </w:rPr>
              <w:t>-</w:t>
            </w:r>
            <w:r>
              <w:rPr>
                <w:rFonts w:hint="eastAsia"/>
                <w:kern w:val="0"/>
                <w:szCs w:val="21"/>
                <w:lang w:eastAsia="zh-CN"/>
              </w:rPr>
              <w:t>液相平衡关系、单级萃取的计算、多级错流和多级逆流萃取过程的计算。</w:t>
            </w:r>
          </w:p>
        </w:tc>
        <w:tc>
          <w:tcPr>
            <w:tcW w:w="1800" w:type="dxa"/>
            <w:noWrap w:val="0"/>
            <w:vAlign w:val="center"/>
          </w:tcPr>
          <w:p>
            <w:pPr>
              <w:keepNext w:val="0"/>
              <w:keepLines w:val="0"/>
              <w:widowControl/>
              <w:suppressLineNumbers w:val="0"/>
              <w:jc w:val="left"/>
              <w:rPr>
                <w:szCs w:val="21"/>
              </w:rPr>
            </w:pPr>
            <w:r>
              <w:rPr>
                <w:rFonts w:hint="eastAsia" w:ascii="宋体" w:hAnsi="宋体" w:eastAsia="宋体" w:cs="宋体"/>
                <w:color w:val="000000"/>
                <w:kern w:val="0"/>
                <w:sz w:val="21"/>
                <w:szCs w:val="21"/>
                <w:lang w:val="en-US" w:eastAsia="zh-CN" w:bidi="ar"/>
              </w:rPr>
              <w:t>萃取等单元操作过程需要选择和添加溶剂，同时，这些单元操作都涉及废弃物的排放，如何做到绿色与经济，这是从事化工过程的科研人员臻于追求的。教学过程注重化工过程绿色化的重要性，加强学生绿色化工理念的教育和培养。</w:t>
            </w:r>
          </w:p>
        </w:tc>
        <w:tc>
          <w:tcPr>
            <w:tcW w:w="2040" w:type="dxa"/>
            <w:noWrap w:val="0"/>
            <w:vAlign w:val="center"/>
          </w:tcPr>
          <w:p>
            <w:pPr>
              <w:rPr>
                <w:rFonts w:hint="eastAsia"/>
                <w:szCs w:val="21"/>
              </w:rPr>
            </w:pPr>
            <w:r>
              <w:rPr>
                <w:rFonts w:hint="eastAsia"/>
                <w:szCs w:val="21"/>
                <w:lang w:eastAsia="zh-CN"/>
              </w:rPr>
              <w:t>能够</w:t>
            </w:r>
            <w:r>
              <w:rPr>
                <w:rFonts w:hint="eastAsia"/>
                <w:szCs w:val="21"/>
              </w:rPr>
              <w:t>理解液液萃取原理，了解微分接触和级式接触两种两相接触方式</w:t>
            </w:r>
            <w:r>
              <w:rPr>
                <w:rFonts w:hint="eastAsia"/>
                <w:szCs w:val="21"/>
                <w:lang w:eastAsia="zh-CN"/>
              </w:rPr>
              <w:t>；</w:t>
            </w:r>
            <w:r>
              <w:rPr>
                <w:rFonts w:hint="eastAsia"/>
                <w:szCs w:val="21"/>
              </w:rPr>
              <w:t>了解通过三角形相图表示溶液组成，掌握部分互溶物系的相平衡关系，理解相平衡与萃取操作的关系</w:t>
            </w:r>
            <w:r>
              <w:rPr>
                <w:rFonts w:hint="eastAsia"/>
                <w:szCs w:val="21"/>
                <w:lang w:eastAsia="zh-CN"/>
              </w:rPr>
              <w:t>；</w:t>
            </w:r>
            <w:r>
              <w:rPr>
                <w:rFonts w:hint="eastAsia"/>
                <w:szCs w:val="21"/>
              </w:rPr>
              <w:t>熟练掌握不同萃取类型的过程计算，了解完全不互溶物系萃取过程的计算</w:t>
            </w:r>
            <w:r>
              <w:rPr>
                <w:rFonts w:hint="eastAsia"/>
                <w:szCs w:val="21"/>
                <w:lang w:eastAsia="zh-CN"/>
              </w:rPr>
              <w:t>；</w:t>
            </w:r>
            <w:r>
              <w:rPr>
                <w:rFonts w:hint="eastAsia"/>
                <w:szCs w:val="21"/>
              </w:rPr>
              <w:t>理解萃取设备的类型及选择，了解液泛现象和传质速率的计算。</w:t>
            </w:r>
          </w:p>
          <w:p>
            <w:pPr>
              <w:rPr>
                <w:szCs w:val="21"/>
              </w:rPr>
            </w:pPr>
          </w:p>
        </w:tc>
        <w:tc>
          <w:tcPr>
            <w:tcW w:w="705" w:type="dxa"/>
            <w:noWrap w:val="0"/>
            <w:vAlign w:val="center"/>
          </w:tcPr>
          <w:p>
            <w:pPr>
              <w:spacing w:line="360" w:lineRule="exact"/>
              <w:jc w:val="center"/>
              <w:rPr>
                <w:rFonts w:hint="default"/>
                <w:szCs w:val="21"/>
                <w:lang w:val="en-US"/>
              </w:rPr>
            </w:pPr>
            <w:r>
              <w:rPr>
                <w:rFonts w:hint="eastAsia"/>
                <w:sz w:val="24"/>
                <w:szCs w:val="24"/>
                <w:lang w:val="en-US" w:eastAsia="zh-CN"/>
              </w:rPr>
              <w:t>10</w:t>
            </w:r>
          </w:p>
        </w:tc>
        <w:tc>
          <w:tcPr>
            <w:tcW w:w="817" w:type="dxa"/>
            <w:noWrap w:val="0"/>
            <w:vAlign w:val="center"/>
          </w:tcPr>
          <w:p>
            <w:pPr>
              <w:rPr>
                <w:szCs w:val="21"/>
              </w:rPr>
            </w:pPr>
            <w:r>
              <w:rPr>
                <w:szCs w:val="21"/>
              </w:rPr>
              <w:t>讲授/讨论/实例教学等</w:t>
            </w:r>
          </w:p>
        </w:tc>
        <w:tc>
          <w:tcPr>
            <w:tcW w:w="925" w:type="dxa"/>
            <w:noWrap w:val="0"/>
            <w:vAlign w:val="center"/>
          </w:tcPr>
          <w:p>
            <w:pPr>
              <w:jc w:val="center"/>
              <w:rPr>
                <w:b w:val="0"/>
                <w:bCs/>
                <w:kern w:val="0"/>
                <w:szCs w:val="21"/>
              </w:rPr>
            </w:pPr>
            <w:r>
              <w:rPr>
                <w:b w:val="0"/>
                <w:bCs/>
                <w:kern w:val="0"/>
                <w:szCs w:val="21"/>
              </w:rPr>
              <w:t>目标1</w:t>
            </w:r>
          </w:p>
          <w:p>
            <w:pPr>
              <w:jc w:val="center"/>
              <w:rPr>
                <w:b w:val="0"/>
                <w:bCs/>
                <w:szCs w:val="21"/>
              </w:rPr>
            </w:pPr>
            <w:r>
              <w:rPr>
                <w:b w:val="0"/>
                <w:bCs/>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9" w:type="dxa"/>
            <w:noWrap w:val="0"/>
            <w:vAlign w:val="center"/>
          </w:tcPr>
          <w:p>
            <w:pPr>
              <w:jc w:val="center"/>
              <w:rPr>
                <w:szCs w:val="21"/>
              </w:rPr>
            </w:pPr>
            <w:r>
              <w:rPr>
                <w:szCs w:val="21"/>
              </w:rPr>
              <w:t>4</w:t>
            </w:r>
          </w:p>
        </w:tc>
        <w:tc>
          <w:tcPr>
            <w:tcW w:w="2355" w:type="dxa"/>
            <w:noWrap w:val="0"/>
            <w:vAlign w:val="center"/>
          </w:tcPr>
          <w:p>
            <w:pPr>
              <w:rPr>
                <w:rFonts w:hint="eastAsia"/>
                <w:kern w:val="0"/>
                <w:szCs w:val="21"/>
                <w:lang w:val="en-US" w:eastAsia="zh-CN"/>
              </w:rPr>
            </w:pPr>
            <w:r>
              <w:rPr>
                <w:rFonts w:hint="eastAsia"/>
                <w:b/>
                <w:kern w:val="0"/>
                <w:szCs w:val="21"/>
                <w:lang w:eastAsia="zh-CN"/>
              </w:rPr>
              <w:t>干燥</w:t>
            </w:r>
            <w:r>
              <w:rPr>
                <w:rFonts w:hint="eastAsia"/>
                <w:b/>
                <w:kern w:val="0"/>
                <w:szCs w:val="21"/>
              </w:rPr>
              <w:t>：</w:t>
            </w:r>
            <w:r>
              <w:rPr>
                <w:rFonts w:hint="eastAsia"/>
                <w:kern w:val="0"/>
                <w:szCs w:val="21"/>
                <w:lang w:val="en-US" w:eastAsia="zh-CN"/>
              </w:rPr>
              <w:t>概述：去湿方法、对流干燥过程；干燥静力学：湿空气的状态参数、状态的变化过程、水分在气-固两相间的平衡；干燥速率与干燥过程计算：间歇干燥过程速率计算、干燥过程的物料衡算与热量衡算；干燥器：基本要求、对流和非对流式干燥器</w:t>
            </w:r>
          </w:p>
          <w:p>
            <w:pPr>
              <w:rPr>
                <w:rFonts w:hint="default" w:eastAsia="宋体"/>
                <w:kern w:val="0"/>
                <w:szCs w:val="21"/>
                <w:lang w:val="en-US" w:eastAsia="zh-CN"/>
              </w:rPr>
            </w:pPr>
            <w:r>
              <w:rPr>
                <w:b/>
                <w:kern w:val="0"/>
                <w:szCs w:val="21"/>
              </w:rPr>
              <w:t>重点和难点：</w:t>
            </w:r>
            <w:r>
              <w:rPr>
                <w:rFonts w:hint="eastAsia"/>
                <w:b w:val="0"/>
                <w:bCs/>
                <w:kern w:val="0"/>
                <w:szCs w:val="21"/>
                <w:lang w:eastAsia="zh-CN"/>
              </w:rPr>
              <w:t>湿空气的性质、湿度图的应用、干燥过程的物料衡算和热量衡算、干燥速率及干燥时间的计算。</w:t>
            </w:r>
          </w:p>
        </w:tc>
        <w:tc>
          <w:tcPr>
            <w:tcW w:w="1800" w:type="dxa"/>
            <w:noWrap w:val="0"/>
            <w:vAlign w:val="center"/>
          </w:tcPr>
          <w:p>
            <w:pPr>
              <w:keepNext w:val="0"/>
              <w:keepLines w:val="0"/>
              <w:widowControl/>
              <w:suppressLineNumbers w:val="0"/>
              <w:jc w:val="left"/>
            </w:pPr>
            <w:r>
              <w:rPr>
                <w:rFonts w:hint="eastAsia" w:ascii="宋体" w:hAnsi="宋体" w:eastAsia="宋体" w:cs="宋体"/>
                <w:color w:val="000000"/>
                <w:kern w:val="0"/>
                <w:sz w:val="21"/>
                <w:szCs w:val="21"/>
                <w:lang w:val="en-US" w:eastAsia="zh-CN" w:bidi="ar"/>
              </w:rPr>
              <w:t>干燥过程是耗能过程，能量有效合理利用是关系到每个公民的切身利益，节能成为企业追求效益的目标。籍此在教学过程中，对学生加强新型能源和资源利用观点和意识教育。</w:t>
            </w:r>
          </w:p>
          <w:p>
            <w:pPr>
              <w:keepNext w:val="0"/>
              <w:keepLines w:val="0"/>
              <w:widowControl/>
              <w:suppressLineNumbers w:val="0"/>
              <w:jc w:val="left"/>
            </w:pPr>
          </w:p>
          <w:p>
            <w:pPr>
              <w:autoSpaceDE w:val="0"/>
              <w:autoSpaceDN w:val="0"/>
              <w:adjustRightInd w:val="0"/>
              <w:rPr>
                <w:szCs w:val="21"/>
              </w:rPr>
            </w:pPr>
          </w:p>
        </w:tc>
        <w:tc>
          <w:tcPr>
            <w:tcW w:w="2040" w:type="dxa"/>
            <w:noWrap w:val="0"/>
            <w:vAlign w:val="center"/>
          </w:tcPr>
          <w:p>
            <w:pPr>
              <w:rPr>
                <w:rFonts w:hint="eastAsia"/>
                <w:szCs w:val="21"/>
              </w:rPr>
            </w:pPr>
            <w:r>
              <w:rPr>
                <w:rFonts w:hint="eastAsia"/>
                <w:szCs w:val="21"/>
              </w:rPr>
              <w:t>了解基本的去湿方法，理解对流干燥过程</w:t>
            </w:r>
            <w:r>
              <w:rPr>
                <w:rFonts w:hint="eastAsia"/>
                <w:szCs w:val="21"/>
                <w:lang w:eastAsia="zh-CN"/>
              </w:rPr>
              <w:t>；</w:t>
            </w:r>
            <w:r>
              <w:rPr>
                <w:rFonts w:hint="eastAsia"/>
                <w:szCs w:val="21"/>
              </w:rPr>
              <w:t>掌握湿空气的性质，如状态参数、状态的变化过程和水分在气固两相间的平衡机理</w:t>
            </w:r>
            <w:r>
              <w:rPr>
                <w:rFonts w:hint="eastAsia"/>
                <w:szCs w:val="21"/>
                <w:lang w:eastAsia="zh-CN"/>
              </w:rPr>
              <w:t>；</w:t>
            </w:r>
            <w:r>
              <w:rPr>
                <w:rFonts w:hint="eastAsia"/>
                <w:szCs w:val="21"/>
              </w:rPr>
              <w:t>熟练掌握间歇干燥过程速率计算和干燥过程的物料衡算与热量衡算</w:t>
            </w:r>
            <w:r>
              <w:rPr>
                <w:rFonts w:hint="eastAsia"/>
                <w:szCs w:val="21"/>
                <w:lang w:eastAsia="zh-CN"/>
              </w:rPr>
              <w:t>；</w:t>
            </w:r>
            <w:r>
              <w:rPr>
                <w:rFonts w:hint="eastAsia"/>
                <w:szCs w:val="21"/>
              </w:rPr>
              <w:t>了解常用对流和非对流式干燥器的性能及应用范围。</w:t>
            </w:r>
          </w:p>
          <w:p>
            <w:pPr>
              <w:autoSpaceDE w:val="0"/>
              <w:autoSpaceDN w:val="0"/>
              <w:adjustRightInd w:val="0"/>
              <w:rPr>
                <w:szCs w:val="21"/>
              </w:rPr>
            </w:pPr>
          </w:p>
        </w:tc>
        <w:tc>
          <w:tcPr>
            <w:tcW w:w="705" w:type="dxa"/>
            <w:noWrap w:val="0"/>
            <w:vAlign w:val="center"/>
          </w:tcPr>
          <w:p>
            <w:pPr>
              <w:spacing w:line="360" w:lineRule="exact"/>
              <w:jc w:val="center"/>
              <w:rPr>
                <w:rFonts w:hint="default" w:eastAsia="宋体"/>
                <w:szCs w:val="21"/>
                <w:lang w:val="en-US" w:eastAsia="zh-CN"/>
              </w:rPr>
            </w:pPr>
            <w:r>
              <w:rPr>
                <w:rFonts w:hint="eastAsia"/>
                <w:szCs w:val="21"/>
                <w:lang w:val="en-US" w:eastAsia="zh-CN"/>
              </w:rPr>
              <w:t>10</w:t>
            </w:r>
          </w:p>
        </w:tc>
        <w:tc>
          <w:tcPr>
            <w:tcW w:w="817" w:type="dxa"/>
            <w:noWrap w:val="0"/>
            <w:vAlign w:val="center"/>
          </w:tcPr>
          <w:p>
            <w:pPr>
              <w:rPr>
                <w:szCs w:val="21"/>
              </w:rPr>
            </w:pPr>
            <w:r>
              <w:rPr>
                <w:szCs w:val="21"/>
              </w:rPr>
              <w:t>讲授/讨论/实例教学等</w:t>
            </w:r>
          </w:p>
        </w:tc>
        <w:tc>
          <w:tcPr>
            <w:tcW w:w="925" w:type="dxa"/>
            <w:noWrap w:val="0"/>
            <w:vAlign w:val="center"/>
          </w:tcPr>
          <w:p>
            <w:pPr>
              <w:jc w:val="center"/>
              <w:rPr>
                <w:b w:val="0"/>
                <w:bCs/>
                <w:kern w:val="0"/>
                <w:szCs w:val="21"/>
              </w:rPr>
            </w:pPr>
            <w:r>
              <w:rPr>
                <w:b w:val="0"/>
                <w:bCs/>
                <w:kern w:val="0"/>
                <w:szCs w:val="21"/>
              </w:rPr>
              <w:t>目标1</w:t>
            </w:r>
          </w:p>
          <w:p>
            <w:pPr>
              <w:jc w:val="center"/>
              <w:rPr>
                <w:b w:val="0"/>
                <w:bCs/>
                <w:szCs w:val="21"/>
              </w:rPr>
            </w:pPr>
            <w:r>
              <w:rPr>
                <w:b w:val="0"/>
                <w:bCs/>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9" w:type="dxa"/>
            <w:noWrap w:val="0"/>
            <w:vAlign w:val="center"/>
          </w:tcPr>
          <w:p>
            <w:pPr>
              <w:jc w:val="center"/>
              <w:rPr>
                <w:szCs w:val="21"/>
              </w:rPr>
            </w:pPr>
            <w:r>
              <w:rPr>
                <w:szCs w:val="21"/>
              </w:rPr>
              <w:t>5</w:t>
            </w:r>
          </w:p>
        </w:tc>
        <w:tc>
          <w:tcPr>
            <w:tcW w:w="2355" w:type="dxa"/>
            <w:noWrap w:val="0"/>
            <w:vAlign w:val="center"/>
          </w:tcPr>
          <w:p>
            <w:pPr>
              <w:rPr>
                <w:rFonts w:hint="eastAsia" w:eastAsia="宋体"/>
                <w:kern w:val="0"/>
                <w:szCs w:val="21"/>
                <w:lang w:eastAsia="zh-CN"/>
              </w:rPr>
            </w:pPr>
            <w:r>
              <w:rPr>
                <w:rFonts w:hint="eastAsia"/>
                <w:b/>
                <w:kern w:val="0"/>
                <w:szCs w:val="21"/>
                <w:lang w:eastAsia="zh-CN"/>
              </w:rPr>
              <w:t>其它分离方法</w:t>
            </w:r>
            <w:r>
              <w:rPr>
                <w:rFonts w:hint="eastAsia"/>
                <w:b/>
                <w:kern w:val="0"/>
                <w:szCs w:val="21"/>
              </w:rPr>
              <w:t>：</w:t>
            </w:r>
            <w:r>
              <w:rPr>
                <w:rFonts w:hint="eastAsia"/>
                <w:kern w:val="0"/>
                <w:szCs w:val="21"/>
                <w:lang w:eastAsia="zh-CN"/>
              </w:rPr>
              <w:t>结晶、膜分离、吸附、离子交换</w:t>
            </w:r>
          </w:p>
          <w:p>
            <w:pPr>
              <w:rPr>
                <w:rFonts w:hint="default" w:eastAsia="宋体"/>
                <w:kern w:val="0"/>
                <w:szCs w:val="21"/>
                <w:lang w:val="en-US" w:eastAsia="zh-CN"/>
              </w:rPr>
            </w:pPr>
            <w:r>
              <w:rPr>
                <w:b/>
                <w:kern w:val="0"/>
                <w:szCs w:val="21"/>
              </w:rPr>
              <w:t>重点和难点：</w:t>
            </w:r>
            <w:r>
              <w:rPr>
                <w:rFonts w:hint="eastAsia"/>
                <w:b w:val="0"/>
                <w:bCs/>
                <w:kern w:val="0"/>
                <w:szCs w:val="21"/>
                <w:lang w:eastAsia="zh-CN"/>
              </w:rPr>
              <w:t>各</w:t>
            </w:r>
            <w:r>
              <w:rPr>
                <w:rFonts w:hint="eastAsia"/>
                <w:kern w:val="0"/>
                <w:szCs w:val="21"/>
                <w:lang w:eastAsia="zh-CN"/>
              </w:rPr>
              <w:t>种分离方法的基本原理、特点；对于特定的分离物系，能够正确选择合适的分离</w:t>
            </w:r>
            <w:r>
              <w:rPr>
                <w:rFonts w:hint="eastAsia"/>
                <w:kern w:val="0"/>
                <w:szCs w:val="21"/>
                <w:lang w:val="en-US" w:eastAsia="zh-CN"/>
              </w:rPr>
              <w:t xml:space="preserve"> 方法。</w:t>
            </w:r>
          </w:p>
        </w:tc>
        <w:tc>
          <w:tcPr>
            <w:tcW w:w="1800" w:type="dxa"/>
            <w:noWrap w:val="0"/>
            <w:vAlign w:val="center"/>
          </w:tcPr>
          <w:p>
            <w:pPr>
              <w:keepNext w:val="0"/>
              <w:keepLines w:val="0"/>
              <w:widowControl/>
              <w:suppressLineNumbers w:val="0"/>
              <w:jc w:val="left"/>
              <w:rPr>
                <w:szCs w:val="21"/>
              </w:rPr>
            </w:pPr>
          </w:p>
        </w:tc>
        <w:tc>
          <w:tcPr>
            <w:tcW w:w="2040" w:type="dxa"/>
            <w:noWrap w:val="0"/>
            <w:vAlign w:val="center"/>
          </w:tcPr>
          <w:p>
            <w:pPr>
              <w:rPr>
                <w:rFonts w:hint="eastAsia" w:eastAsia="宋体"/>
                <w:szCs w:val="21"/>
                <w:lang w:eastAsia="zh-CN"/>
              </w:rPr>
            </w:pPr>
            <w:r>
              <w:rPr>
                <w:kern w:val="0"/>
                <w:szCs w:val="21"/>
              </w:rPr>
              <w:t>能够</w:t>
            </w:r>
            <w:r>
              <w:rPr>
                <w:rFonts w:hint="eastAsia"/>
                <w:kern w:val="0"/>
                <w:szCs w:val="21"/>
                <w:lang w:eastAsia="zh-CN"/>
              </w:rPr>
              <w:t>熟悉和了解其他分离方法（结晶、膜分离）的、吸附、离子交换）基本原理、工艺过程及其在工业上的应用。</w:t>
            </w:r>
          </w:p>
        </w:tc>
        <w:tc>
          <w:tcPr>
            <w:tcW w:w="705" w:type="dxa"/>
            <w:noWrap w:val="0"/>
            <w:vAlign w:val="center"/>
          </w:tcPr>
          <w:p>
            <w:pPr>
              <w:spacing w:line="360" w:lineRule="exact"/>
              <w:jc w:val="center"/>
              <w:rPr>
                <w:rFonts w:hint="eastAsia" w:eastAsia="宋体"/>
                <w:szCs w:val="21"/>
                <w:lang w:eastAsia="zh-CN"/>
              </w:rPr>
            </w:pPr>
            <w:r>
              <w:rPr>
                <w:rFonts w:hint="eastAsia"/>
                <w:sz w:val="24"/>
                <w:szCs w:val="24"/>
                <w:lang w:val="en-US" w:eastAsia="zh-CN"/>
              </w:rPr>
              <w:t>2</w:t>
            </w:r>
          </w:p>
        </w:tc>
        <w:tc>
          <w:tcPr>
            <w:tcW w:w="817" w:type="dxa"/>
            <w:noWrap w:val="0"/>
            <w:vAlign w:val="center"/>
          </w:tcPr>
          <w:p>
            <w:pPr>
              <w:rPr>
                <w:szCs w:val="21"/>
              </w:rPr>
            </w:pPr>
            <w:r>
              <w:rPr>
                <w:szCs w:val="21"/>
              </w:rPr>
              <w:t>讲授/讨论/实例教学等</w:t>
            </w:r>
          </w:p>
        </w:tc>
        <w:tc>
          <w:tcPr>
            <w:tcW w:w="925" w:type="dxa"/>
            <w:noWrap w:val="0"/>
            <w:vAlign w:val="center"/>
          </w:tcPr>
          <w:p>
            <w:pPr>
              <w:jc w:val="center"/>
              <w:rPr>
                <w:b w:val="0"/>
                <w:bCs/>
                <w:kern w:val="0"/>
                <w:szCs w:val="21"/>
              </w:rPr>
            </w:pPr>
            <w:r>
              <w:rPr>
                <w:b w:val="0"/>
                <w:bCs/>
                <w:kern w:val="0"/>
                <w:szCs w:val="21"/>
              </w:rPr>
              <w:t>目标1</w:t>
            </w:r>
          </w:p>
          <w:p>
            <w:pPr>
              <w:jc w:val="center"/>
              <w:rPr>
                <w:b w:val="0"/>
                <w:bCs/>
                <w:szCs w:val="21"/>
              </w:rPr>
            </w:pPr>
            <w:r>
              <w:rPr>
                <w:b w:val="0"/>
                <w:bCs/>
                <w:kern w:val="0"/>
                <w:szCs w:val="21"/>
              </w:rPr>
              <w:t>目标2</w:t>
            </w:r>
          </w:p>
        </w:tc>
      </w:tr>
    </w:tbl>
    <w:p>
      <w:pPr>
        <w:spacing w:line="360" w:lineRule="auto"/>
        <w:rPr>
          <w:rFonts w:hint="eastAsia"/>
          <w:sz w:val="24"/>
        </w:rPr>
      </w:pPr>
    </w:p>
    <w:p>
      <w:pPr>
        <w:spacing w:line="360" w:lineRule="auto"/>
        <w:ind w:firstLine="562" w:firstLineChars="200"/>
        <w:rPr>
          <w:rFonts w:hint="eastAsia"/>
          <w:b/>
          <w:sz w:val="28"/>
          <w:szCs w:val="28"/>
        </w:rPr>
      </w:pPr>
      <w:r>
        <w:rPr>
          <w:rFonts w:hint="eastAsia"/>
          <w:b/>
          <w:sz w:val="28"/>
          <w:szCs w:val="28"/>
        </w:rPr>
        <w:t>四、课程实施</w:t>
      </w:r>
    </w:p>
    <w:p>
      <w:pPr>
        <w:spacing w:line="360" w:lineRule="auto"/>
        <w:ind w:firstLine="482" w:firstLineChars="200"/>
        <w:rPr>
          <w:sz w:val="24"/>
        </w:rPr>
      </w:pPr>
      <w:r>
        <w:rPr>
          <w:rFonts w:hint="eastAsia"/>
          <w:b/>
          <w:sz w:val="24"/>
        </w:rPr>
        <w:t>（一）教学方法与教学手段</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lang w:val="en-US" w:eastAsia="zh-CN"/>
        </w:rPr>
        <w:t>1.</w:t>
      </w:r>
      <w:r>
        <w:rPr>
          <w:rFonts w:hint="default" w:ascii="Times New Roman" w:hAnsi="Times New Roman" w:cs="Times New Roman"/>
          <w:sz w:val="24"/>
        </w:rPr>
        <w:t>把握主线，引导学生掌握重要的化工原理概念、基本定律和基本公式，熟悉处理各种化工工程问题的方法，并学会灵活运用所学知识处理实际化工生产过程中所遇到问题及实验数据的归纳和分析方法，教学内容的选取，包括流体流动、流体输送机械</w:t>
      </w:r>
    </w:p>
    <w:p>
      <w:pPr>
        <w:spacing w:line="360" w:lineRule="auto"/>
        <w:rPr>
          <w:rFonts w:hint="default" w:ascii="Times New Roman" w:hAnsi="Times New Roman" w:cs="Times New Roman"/>
          <w:sz w:val="24"/>
        </w:rPr>
      </w:pPr>
      <w:r>
        <w:rPr>
          <w:rFonts w:hint="default" w:ascii="Times New Roman" w:hAnsi="Times New Roman" w:cs="Times New Roman"/>
          <w:sz w:val="24"/>
        </w:rPr>
        <w:t>沉降与过滤和传热，使学生了解化工单元操作概貌。</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lang w:val="en-US" w:eastAsia="zh-CN"/>
        </w:rPr>
        <w:t>2.</w:t>
      </w:r>
      <w:r>
        <w:rPr>
          <w:rFonts w:hint="default" w:ascii="Times New Roman" w:hAnsi="Times New Roman" w:cs="Times New Roman"/>
          <w:sz w:val="24"/>
        </w:rPr>
        <w:t>采用多媒体教学手段，配合例题的讲解及适当的思考题，保证讲课进度的同时，注意学生的掌握程度和课堂的气氛。</w:t>
      </w:r>
    </w:p>
    <w:p>
      <w:pPr>
        <w:spacing w:line="360" w:lineRule="auto"/>
        <w:ind w:firstLine="480" w:firstLineChars="200"/>
        <w:rPr>
          <w:rFonts w:hint="eastAsia"/>
          <w:sz w:val="24"/>
        </w:rPr>
      </w:pPr>
      <w:r>
        <w:rPr>
          <w:rFonts w:hint="default" w:ascii="Times New Roman" w:hAnsi="Times New Roman" w:cs="Times New Roman"/>
          <w:sz w:val="24"/>
          <w:lang w:val="en-US" w:eastAsia="zh-CN"/>
        </w:rPr>
        <w:t>3.</w:t>
      </w:r>
      <w:r>
        <w:rPr>
          <w:rFonts w:hint="default" w:ascii="Times New Roman" w:hAnsi="Times New Roman" w:cs="Times New Roman"/>
          <w:sz w:val="24"/>
        </w:rPr>
        <w:t>采用案例式教学，引</w:t>
      </w:r>
      <w:r>
        <w:rPr>
          <w:sz w:val="24"/>
        </w:rPr>
        <w:t>进</w:t>
      </w:r>
      <w:r>
        <w:rPr>
          <w:rFonts w:hint="eastAsia"/>
          <w:sz w:val="24"/>
        </w:rPr>
        <w:t>化工生产和设计</w:t>
      </w:r>
      <w:r>
        <w:rPr>
          <w:sz w:val="24"/>
        </w:rPr>
        <w:t>过程中的实际案例，</w:t>
      </w:r>
      <w:r>
        <w:rPr>
          <w:rFonts w:hint="eastAsia"/>
          <w:sz w:val="24"/>
        </w:rPr>
        <w:t>使学生不但解决课本上的问题而且能够通过在实际操作训练的基础上，能对化工原理知识有较为系统的概括了解。</w:t>
      </w:r>
    </w:p>
    <w:p>
      <w:pPr>
        <w:spacing w:line="360" w:lineRule="auto"/>
        <w:ind w:firstLine="482" w:firstLineChars="200"/>
        <w:rPr>
          <w:b/>
          <w:sz w:val="24"/>
        </w:rPr>
      </w:pPr>
      <w:r>
        <w:rPr>
          <w:rFonts w:hint="eastAsia"/>
          <w:b/>
          <w:sz w:val="24"/>
        </w:rPr>
        <w:t>（二）课程实施与保障</w:t>
      </w:r>
    </w:p>
    <w:tbl>
      <w:tblPr>
        <w:tblStyle w:val="10"/>
        <w:tblW w:w="9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2"/>
        <w:gridCol w:w="1701"/>
        <w:gridCol w:w="6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3" w:type="dxa"/>
            <w:gridSpan w:val="2"/>
            <w:tcBorders>
              <w:top w:val="single" w:color="auto" w:sz="8" w:space="0"/>
              <w:left w:val="single" w:color="auto" w:sz="8" w:space="0"/>
              <w:right w:val="single" w:color="auto" w:sz="8" w:space="0"/>
            </w:tcBorders>
            <w:noWrap w:val="0"/>
            <w:tcMar>
              <w:left w:w="28" w:type="dxa"/>
              <w:right w:w="28" w:type="dxa"/>
            </w:tcMar>
            <w:vAlign w:val="center"/>
          </w:tcPr>
          <w:p>
            <w:pPr>
              <w:spacing w:line="276" w:lineRule="auto"/>
              <w:jc w:val="center"/>
              <w:rPr>
                <w:szCs w:val="21"/>
              </w:rPr>
            </w:pPr>
            <w:r>
              <w:rPr>
                <w:bCs/>
                <w:szCs w:val="21"/>
              </w:rPr>
              <w:t>主要教学环节</w:t>
            </w:r>
          </w:p>
        </w:tc>
        <w:tc>
          <w:tcPr>
            <w:tcW w:w="6817" w:type="dxa"/>
            <w:tcBorders>
              <w:top w:val="single" w:color="auto" w:sz="8" w:space="0"/>
              <w:left w:val="single" w:color="auto" w:sz="8" w:space="0"/>
              <w:right w:val="single" w:color="auto" w:sz="8" w:space="0"/>
            </w:tcBorders>
            <w:noWrap w:val="0"/>
            <w:vAlign w:val="center"/>
          </w:tcPr>
          <w:p>
            <w:pPr>
              <w:spacing w:line="276" w:lineRule="auto"/>
              <w:jc w:val="center"/>
              <w:rPr>
                <w:szCs w:val="21"/>
              </w:rPr>
            </w:pPr>
            <w:r>
              <w:rPr>
                <w:bCs/>
                <w:szCs w:val="21"/>
              </w:rPr>
              <w:t>质量</w:t>
            </w:r>
            <w:r>
              <w:rPr>
                <w:rFonts w:hint="eastAsia"/>
                <w:bCs/>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6" w:hRule="atLeast"/>
          <w:jc w:val="center"/>
        </w:trPr>
        <w:tc>
          <w:tcPr>
            <w:tcW w:w="582" w:type="dxa"/>
            <w:tcBorders>
              <w:left w:val="single" w:color="auto" w:sz="8" w:space="0"/>
            </w:tcBorders>
            <w:noWrap w:val="0"/>
            <w:vAlign w:val="center"/>
          </w:tcPr>
          <w:p>
            <w:pPr>
              <w:spacing w:line="276" w:lineRule="auto"/>
              <w:jc w:val="center"/>
              <w:rPr>
                <w:szCs w:val="21"/>
              </w:rPr>
            </w:pPr>
            <w:r>
              <w:rPr>
                <w:szCs w:val="21"/>
              </w:rPr>
              <w:t>1</w:t>
            </w:r>
          </w:p>
        </w:tc>
        <w:tc>
          <w:tcPr>
            <w:tcW w:w="1701" w:type="dxa"/>
            <w:noWrap w:val="0"/>
            <w:tcMar>
              <w:left w:w="28" w:type="dxa"/>
              <w:right w:w="28" w:type="dxa"/>
            </w:tcMar>
            <w:vAlign w:val="center"/>
          </w:tcPr>
          <w:p>
            <w:pPr>
              <w:spacing w:line="276" w:lineRule="auto"/>
              <w:jc w:val="center"/>
              <w:rPr>
                <w:szCs w:val="21"/>
              </w:rPr>
            </w:pPr>
            <w:r>
              <w:rPr>
                <w:szCs w:val="21"/>
              </w:rPr>
              <w:t>备课</w:t>
            </w:r>
          </w:p>
        </w:tc>
        <w:tc>
          <w:tcPr>
            <w:tcW w:w="6817" w:type="dxa"/>
            <w:tcBorders>
              <w:right w:val="single" w:color="auto" w:sz="8" w:space="0"/>
            </w:tcBorders>
            <w:noWrap w:val="0"/>
            <w:vAlign w:val="center"/>
          </w:tcPr>
          <w:p>
            <w:pPr>
              <w:spacing w:line="276" w:lineRule="auto"/>
              <w:rPr>
                <w:szCs w:val="21"/>
              </w:rPr>
            </w:pPr>
            <w:r>
              <w:rPr>
                <w:szCs w:val="21"/>
              </w:rPr>
              <w:t>（1）掌握本课程教学大纲内容，严格按照教学大纲要求进行课程教学内容的组织。</w:t>
            </w:r>
          </w:p>
          <w:p>
            <w:pPr>
              <w:spacing w:line="276" w:lineRule="auto"/>
              <w:rPr>
                <w:szCs w:val="21"/>
              </w:rPr>
            </w:pPr>
            <w:r>
              <w:rPr>
                <w:szCs w:val="21"/>
              </w:rPr>
              <w:t>（2）熟悉教材各章节，借助专业书籍资料，并依据教学大纲编写授课计划，编写每次授课的教案。教案内容包括章节标题、教学目的、教法设计、课堂类型、时间分配、授课内容、课后作业、教学效果分析等方面。</w:t>
            </w:r>
          </w:p>
          <w:p>
            <w:pPr>
              <w:spacing w:line="276" w:lineRule="auto"/>
              <w:rPr>
                <w:szCs w:val="21"/>
              </w:rPr>
            </w:pPr>
            <w:r>
              <w:rPr>
                <w:szCs w:val="21"/>
              </w:rPr>
              <w:t>（3）</w:t>
            </w:r>
            <w:r>
              <w:rPr>
                <w:rFonts w:hint="eastAsia"/>
                <w:szCs w:val="21"/>
              </w:rPr>
              <w:t>根据</w:t>
            </w:r>
            <w:r>
              <w:rPr>
                <w:szCs w:val="21"/>
              </w:rPr>
              <w:t>各部分</w:t>
            </w:r>
            <w:r>
              <w:rPr>
                <w:rFonts w:hint="eastAsia"/>
                <w:szCs w:val="21"/>
              </w:rPr>
              <w:t>教学</w:t>
            </w:r>
            <w:r>
              <w:rPr>
                <w:szCs w:val="21"/>
              </w:rPr>
              <w:t>内容</w:t>
            </w:r>
            <w:r>
              <w:rPr>
                <w:rFonts w:hint="eastAsia"/>
                <w:szCs w:val="21"/>
              </w:rPr>
              <w:t>，</w:t>
            </w:r>
            <w:r>
              <w:rPr>
                <w:szCs w:val="21"/>
              </w:rPr>
              <w:t>构思授课思路、技巧</w:t>
            </w:r>
            <w:r>
              <w:rPr>
                <w:rFonts w:hint="eastAsia"/>
                <w:szCs w:val="21"/>
              </w:rPr>
              <w:t>，选择合适的</w:t>
            </w:r>
            <w:r>
              <w:rPr>
                <w:szCs w:val="21"/>
              </w:rPr>
              <w:t>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tcBorders>
              <w:left w:val="single" w:color="auto" w:sz="8" w:space="0"/>
            </w:tcBorders>
            <w:noWrap w:val="0"/>
            <w:vAlign w:val="center"/>
          </w:tcPr>
          <w:p>
            <w:pPr>
              <w:spacing w:line="276" w:lineRule="auto"/>
              <w:jc w:val="center"/>
              <w:rPr>
                <w:szCs w:val="21"/>
              </w:rPr>
            </w:pPr>
            <w:r>
              <w:rPr>
                <w:szCs w:val="21"/>
              </w:rPr>
              <w:t>2</w:t>
            </w:r>
          </w:p>
        </w:tc>
        <w:tc>
          <w:tcPr>
            <w:tcW w:w="1701" w:type="dxa"/>
            <w:noWrap w:val="0"/>
            <w:tcMar>
              <w:left w:w="28" w:type="dxa"/>
              <w:right w:w="28" w:type="dxa"/>
            </w:tcMar>
            <w:vAlign w:val="center"/>
          </w:tcPr>
          <w:p>
            <w:pPr>
              <w:spacing w:line="276" w:lineRule="auto"/>
              <w:jc w:val="center"/>
              <w:rPr>
                <w:szCs w:val="21"/>
              </w:rPr>
            </w:pPr>
            <w:r>
              <w:rPr>
                <w:szCs w:val="21"/>
              </w:rPr>
              <w:t>讲授</w:t>
            </w:r>
          </w:p>
        </w:tc>
        <w:tc>
          <w:tcPr>
            <w:tcW w:w="6817" w:type="dxa"/>
            <w:tcBorders>
              <w:right w:val="single" w:color="auto" w:sz="8" w:space="0"/>
            </w:tcBorders>
            <w:noWrap w:val="0"/>
            <w:vAlign w:val="center"/>
          </w:tcPr>
          <w:p>
            <w:pPr>
              <w:spacing w:line="276" w:lineRule="auto"/>
              <w:rPr>
                <w:szCs w:val="21"/>
              </w:rPr>
            </w:pPr>
            <w:r>
              <w:rPr>
                <w:rFonts w:hint="eastAsia"/>
                <w:szCs w:val="21"/>
              </w:rPr>
              <w:t>（1）</w:t>
            </w:r>
            <w:r>
              <w:rPr>
                <w:szCs w:val="21"/>
              </w:rPr>
              <w:t>要点准确</w:t>
            </w:r>
            <w:r>
              <w:rPr>
                <w:rFonts w:hint="eastAsia"/>
                <w:szCs w:val="21"/>
              </w:rPr>
              <w:t>、</w:t>
            </w:r>
            <w:r>
              <w:rPr>
                <w:szCs w:val="21"/>
              </w:rPr>
              <w:t>推理正确</w:t>
            </w:r>
            <w:r>
              <w:rPr>
                <w:rFonts w:hint="eastAsia"/>
                <w:szCs w:val="21"/>
              </w:rPr>
              <w:t>、</w:t>
            </w:r>
            <w:r>
              <w:rPr>
                <w:szCs w:val="21"/>
              </w:rPr>
              <w:t>条理清晰</w:t>
            </w:r>
            <w:r>
              <w:rPr>
                <w:rFonts w:hint="eastAsia"/>
                <w:szCs w:val="21"/>
              </w:rPr>
              <w:t>、</w:t>
            </w:r>
            <w:r>
              <w:rPr>
                <w:szCs w:val="21"/>
              </w:rPr>
              <w:t>重点突出，</w:t>
            </w:r>
            <w:r>
              <w:rPr>
                <w:rFonts w:hint="eastAsia"/>
                <w:szCs w:val="21"/>
              </w:rPr>
              <w:t>能够</w:t>
            </w:r>
            <w:r>
              <w:rPr>
                <w:szCs w:val="21"/>
              </w:rPr>
              <w:t>理论联系实际，熟练地解答和讲解例题。</w:t>
            </w:r>
          </w:p>
          <w:p>
            <w:pPr>
              <w:spacing w:line="276" w:lineRule="auto"/>
              <w:rPr>
                <w:szCs w:val="21"/>
              </w:rPr>
            </w:pPr>
            <w:r>
              <w:rPr>
                <w:rFonts w:hint="eastAsia"/>
                <w:szCs w:val="21"/>
              </w:rPr>
              <w:t>（2）</w:t>
            </w:r>
            <w:r>
              <w:rPr>
                <w:szCs w:val="21"/>
              </w:rPr>
              <w:t>采用多种教学方式（如启发式教学、案例分析教学、讨论式教学、多媒体示范教学等），注重培养学生发现、分析和解决问题的能力。</w:t>
            </w:r>
          </w:p>
          <w:p>
            <w:pPr>
              <w:spacing w:line="276" w:lineRule="auto"/>
              <w:rPr>
                <w:szCs w:val="21"/>
              </w:rPr>
            </w:pPr>
            <w:r>
              <w:rPr>
                <w:rFonts w:hint="eastAsia"/>
                <w:szCs w:val="21"/>
              </w:rPr>
              <w:t>（3）能够采用现代信息技术辅助</w:t>
            </w:r>
            <w:r>
              <w:rPr>
                <w:szCs w:val="21"/>
              </w:rPr>
              <w:t>教学。</w:t>
            </w:r>
          </w:p>
          <w:p>
            <w:pPr>
              <w:spacing w:line="276" w:lineRule="auto"/>
              <w:rPr>
                <w:szCs w:val="21"/>
              </w:rPr>
            </w:pPr>
            <w:r>
              <w:rPr>
                <w:rFonts w:hint="eastAsia"/>
                <w:szCs w:val="21"/>
              </w:rPr>
              <w:t>（4）</w:t>
            </w:r>
            <w:r>
              <w:rPr>
                <w:szCs w:val="21"/>
              </w:rPr>
              <w:t>表达方式</w:t>
            </w:r>
            <w:r>
              <w:rPr>
                <w:rFonts w:hint="eastAsia"/>
                <w:szCs w:val="21"/>
              </w:rPr>
              <w:t>应能</w:t>
            </w:r>
            <w:r>
              <w:rPr>
                <w:szCs w:val="21"/>
              </w:rPr>
              <w:t>便于学生理解、接受，力求形象生动，使学生在掌握知识的过程中，保持较为浓厚的</w:t>
            </w:r>
            <w:r>
              <w:rPr>
                <w:rFonts w:hint="eastAsia"/>
                <w:szCs w:val="21"/>
              </w:rPr>
              <w:t>学习</w:t>
            </w:r>
            <w:r>
              <w:rPr>
                <w:szCs w:val="21"/>
              </w:rPr>
              <w:t>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jc w:val="center"/>
        </w:trPr>
        <w:tc>
          <w:tcPr>
            <w:tcW w:w="582" w:type="dxa"/>
            <w:tcBorders>
              <w:left w:val="single" w:color="auto" w:sz="8" w:space="0"/>
            </w:tcBorders>
            <w:noWrap w:val="0"/>
            <w:vAlign w:val="center"/>
          </w:tcPr>
          <w:p>
            <w:pPr>
              <w:spacing w:line="276" w:lineRule="auto"/>
              <w:jc w:val="center"/>
              <w:rPr>
                <w:szCs w:val="21"/>
              </w:rPr>
            </w:pPr>
            <w:r>
              <w:rPr>
                <w:szCs w:val="21"/>
              </w:rPr>
              <w:t>3</w:t>
            </w:r>
          </w:p>
        </w:tc>
        <w:tc>
          <w:tcPr>
            <w:tcW w:w="1701" w:type="dxa"/>
            <w:noWrap w:val="0"/>
            <w:tcMar>
              <w:left w:w="28" w:type="dxa"/>
              <w:right w:w="28" w:type="dxa"/>
            </w:tcMar>
            <w:vAlign w:val="center"/>
          </w:tcPr>
          <w:p>
            <w:pPr>
              <w:spacing w:line="276" w:lineRule="auto"/>
              <w:jc w:val="center"/>
              <w:rPr>
                <w:szCs w:val="21"/>
              </w:rPr>
            </w:pPr>
            <w:r>
              <w:rPr>
                <w:szCs w:val="21"/>
              </w:rPr>
              <w:t>作业布置与批改</w:t>
            </w:r>
          </w:p>
        </w:tc>
        <w:tc>
          <w:tcPr>
            <w:tcW w:w="6817" w:type="dxa"/>
            <w:tcBorders>
              <w:right w:val="single" w:color="auto" w:sz="8" w:space="0"/>
            </w:tcBorders>
            <w:noWrap w:val="0"/>
            <w:vAlign w:val="center"/>
          </w:tcPr>
          <w:p>
            <w:pPr>
              <w:spacing w:line="276" w:lineRule="auto"/>
              <w:rPr>
                <w:szCs w:val="21"/>
              </w:rPr>
            </w:pPr>
            <w:r>
              <w:rPr>
                <w:szCs w:val="21"/>
              </w:rPr>
              <w:t>学生必须完成</w:t>
            </w:r>
            <w:r>
              <w:rPr>
                <w:rFonts w:hint="eastAsia"/>
                <w:szCs w:val="21"/>
              </w:rPr>
              <w:t>规定</w:t>
            </w:r>
            <w:r>
              <w:rPr>
                <w:szCs w:val="21"/>
              </w:rPr>
              <w:t>数量的作业</w:t>
            </w:r>
            <w:r>
              <w:rPr>
                <w:rFonts w:hint="eastAsia"/>
                <w:szCs w:val="21"/>
              </w:rPr>
              <w:t>，</w:t>
            </w:r>
            <w:r>
              <w:rPr>
                <w:szCs w:val="21"/>
              </w:rPr>
              <w:t>作业必须达到以下基本要求：</w:t>
            </w:r>
          </w:p>
          <w:p>
            <w:pPr>
              <w:spacing w:line="276" w:lineRule="auto"/>
              <w:rPr>
                <w:szCs w:val="21"/>
              </w:rPr>
            </w:pPr>
            <w:r>
              <w:rPr>
                <w:rFonts w:hint="eastAsia"/>
                <w:szCs w:val="21"/>
              </w:rPr>
              <w:t>（1）</w:t>
            </w:r>
            <w:r>
              <w:rPr>
                <w:szCs w:val="21"/>
              </w:rPr>
              <w:t>按时按量完成作业，不缺交，不抄袭</w:t>
            </w:r>
            <w:r>
              <w:rPr>
                <w:rFonts w:hint="eastAsia"/>
                <w:szCs w:val="21"/>
              </w:rPr>
              <w:t>。</w:t>
            </w:r>
          </w:p>
          <w:p>
            <w:pPr>
              <w:spacing w:line="276" w:lineRule="auto"/>
              <w:rPr>
                <w:szCs w:val="21"/>
              </w:rPr>
            </w:pPr>
            <w:r>
              <w:rPr>
                <w:rFonts w:hint="eastAsia"/>
                <w:szCs w:val="21"/>
              </w:rPr>
              <w:t>（2）书写</w:t>
            </w:r>
            <w:r>
              <w:rPr>
                <w:szCs w:val="21"/>
              </w:rPr>
              <w:t>规范</w:t>
            </w:r>
            <w:r>
              <w:rPr>
                <w:rFonts w:hint="eastAsia"/>
                <w:szCs w:val="21"/>
              </w:rPr>
              <w:t>、</w:t>
            </w:r>
            <w:r>
              <w:rPr>
                <w:szCs w:val="21"/>
              </w:rPr>
              <w:t>清晰</w:t>
            </w:r>
            <w:r>
              <w:rPr>
                <w:rFonts w:hint="eastAsia"/>
                <w:szCs w:val="21"/>
              </w:rPr>
              <w:t>。</w:t>
            </w:r>
          </w:p>
          <w:p>
            <w:pPr>
              <w:spacing w:line="276" w:lineRule="auto"/>
              <w:rPr>
                <w:szCs w:val="21"/>
              </w:rPr>
            </w:pPr>
            <w:r>
              <w:rPr>
                <w:rFonts w:hint="eastAsia"/>
                <w:szCs w:val="21"/>
              </w:rPr>
              <w:t>（3）</w:t>
            </w:r>
            <w:r>
              <w:rPr>
                <w:szCs w:val="21"/>
              </w:rPr>
              <w:t>解题方法和步骤正确。</w:t>
            </w:r>
          </w:p>
          <w:p>
            <w:pPr>
              <w:spacing w:line="276" w:lineRule="auto"/>
              <w:rPr>
                <w:szCs w:val="21"/>
              </w:rPr>
            </w:pPr>
            <w:r>
              <w:rPr>
                <w:szCs w:val="21"/>
              </w:rPr>
              <w:t>教师批改</w:t>
            </w:r>
            <w:r>
              <w:rPr>
                <w:rFonts w:hint="eastAsia"/>
                <w:szCs w:val="21"/>
              </w:rPr>
              <w:t>和</w:t>
            </w:r>
            <w:r>
              <w:rPr>
                <w:szCs w:val="21"/>
              </w:rPr>
              <w:t>讲评作业要求如下：</w:t>
            </w:r>
          </w:p>
          <w:p>
            <w:pPr>
              <w:spacing w:line="276" w:lineRule="auto"/>
              <w:rPr>
                <w:szCs w:val="21"/>
              </w:rPr>
            </w:pPr>
            <w:r>
              <w:rPr>
                <w:rFonts w:hint="eastAsia"/>
                <w:szCs w:val="21"/>
              </w:rPr>
              <w:t>（1）</w:t>
            </w:r>
            <w:r>
              <w:rPr>
                <w:szCs w:val="21"/>
              </w:rPr>
              <w:t>学生的作业要</w:t>
            </w:r>
            <w:r>
              <w:rPr>
                <w:rFonts w:hint="eastAsia"/>
                <w:szCs w:val="21"/>
              </w:rPr>
              <w:t>按时</w:t>
            </w:r>
            <w:r>
              <w:rPr>
                <w:szCs w:val="21"/>
              </w:rPr>
              <w:t>全</w:t>
            </w:r>
            <w:r>
              <w:rPr>
                <w:rFonts w:hint="eastAsia"/>
                <w:szCs w:val="21"/>
              </w:rPr>
              <w:t>部</w:t>
            </w:r>
            <w:r>
              <w:rPr>
                <w:szCs w:val="21"/>
              </w:rPr>
              <w:t>批改，并</w:t>
            </w:r>
            <w:r>
              <w:rPr>
                <w:rFonts w:hint="eastAsia"/>
                <w:szCs w:val="21"/>
              </w:rPr>
              <w:t>及时进行</w:t>
            </w:r>
            <w:r>
              <w:rPr>
                <w:szCs w:val="21"/>
              </w:rPr>
              <w:t>讲评</w:t>
            </w:r>
            <w:r>
              <w:rPr>
                <w:rFonts w:hint="eastAsia"/>
                <w:szCs w:val="21"/>
              </w:rPr>
              <w:t>。</w:t>
            </w:r>
          </w:p>
          <w:p>
            <w:pPr>
              <w:spacing w:line="276" w:lineRule="auto"/>
              <w:rPr>
                <w:szCs w:val="21"/>
              </w:rPr>
            </w:pPr>
            <w:r>
              <w:rPr>
                <w:rFonts w:hint="eastAsia"/>
                <w:szCs w:val="21"/>
              </w:rPr>
              <w:t>（2）</w:t>
            </w:r>
            <w:r>
              <w:rPr>
                <w:szCs w:val="21"/>
              </w:rPr>
              <w:t>教师批改</w:t>
            </w:r>
            <w:r>
              <w:rPr>
                <w:rFonts w:hint="eastAsia"/>
                <w:szCs w:val="21"/>
              </w:rPr>
              <w:t>和</w:t>
            </w:r>
            <w:r>
              <w:rPr>
                <w:szCs w:val="21"/>
              </w:rPr>
              <w:t>讲评作业要认真、细致，按百分制评定成绩并写明日期</w:t>
            </w:r>
            <w:r>
              <w:rPr>
                <w:rFonts w:hint="eastAsia"/>
                <w:szCs w:val="21"/>
              </w:rPr>
              <w:t>。</w:t>
            </w:r>
          </w:p>
          <w:p>
            <w:pPr>
              <w:spacing w:line="276" w:lineRule="auto"/>
              <w:rPr>
                <w:szCs w:val="21"/>
              </w:rPr>
            </w:pPr>
            <w:r>
              <w:rPr>
                <w:rFonts w:hint="eastAsia"/>
                <w:szCs w:val="21"/>
              </w:rPr>
              <w:t>（3）</w:t>
            </w:r>
            <w:r>
              <w:rPr>
                <w:szCs w:val="21"/>
              </w:rPr>
              <w:t>学生作业的平均成绩</w:t>
            </w:r>
            <w:r>
              <w:rPr>
                <w:rFonts w:hint="eastAsia"/>
                <w:szCs w:val="21"/>
              </w:rPr>
              <w:t>应</w:t>
            </w:r>
            <w:r>
              <w:rPr>
                <w:szCs w:val="21"/>
              </w:rPr>
              <w:t>作为本课程总评成绩中平时成绩的重要组成部分。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582" w:type="dxa"/>
            <w:tcBorders>
              <w:left w:val="single" w:color="auto" w:sz="8" w:space="0"/>
            </w:tcBorders>
            <w:noWrap w:val="0"/>
            <w:vAlign w:val="center"/>
          </w:tcPr>
          <w:p>
            <w:pPr>
              <w:spacing w:line="276" w:lineRule="auto"/>
              <w:jc w:val="center"/>
              <w:rPr>
                <w:szCs w:val="21"/>
              </w:rPr>
            </w:pPr>
            <w:r>
              <w:rPr>
                <w:szCs w:val="21"/>
              </w:rPr>
              <w:t>4</w:t>
            </w:r>
          </w:p>
        </w:tc>
        <w:tc>
          <w:tcPr>
            <w:tcW w:w="1701" w:type="dxa"/>
            <w:noWrap w:val="0"/>
            <w:tcMar>
              <w:left w:w="28" w:type="dxa"/>
              <w:right w:w="28" w:type="dxa"/>
            </w:tcMar>
            <w:vAlign w:val="center"/>
          </w:tcPr>
          <w:p>
            <w:pPr>
              <w:spacing w:line="276" w:lineRule="auto"/>
              <w:jc w:val="center"/>
              <w:rPr>
                <w:szCs w:val="21"/>
              </w:rPr>
            </w:pPr>
            <w:r>
              <w:rPr>
                <w:szCs w:val="21"/>
              </w:rPr>
              <w:t>课外答疑</w:t>
            </w:r>
          </w:p>
        </w:tc>
        <w:tc>
          <w:tcPr>
            <w:tcW w:w="6817" w:type="dxa"/>
            <w:tcBorders>
              <w:right w:val="single" w:color="auto" w:sz="8" w:space="0"/>
            </w:tcBorders>
            <w:noWrap w:val="0"/>
            <w:vAlign w:val="center"/>
          </w:tcPr>
          <w:p>
            <w:pPr>
              <w:spacing w:line="276" w:lineRule="auto"/>
              <w:rPr>
                <w:szCs w:val="21"/>
              </w:rPr>
            </w:pPr>
            <w:r>
              <w:rPr>
                <w:szCs w:val="21"/>
              </w:rPr>
              <w:t>为了解学生的学习情况，帮助学生</w:t>
            </w:r>
            <w:r>
              <w:rPr>
                <w:rFonts w:hint="eastAsia"/>
                <w:szCs w:val="21"/>
              </w:rPr>
              <w:t>更好地</w:t>
            </w:r>
            <w:r>
              <w:rPr>
                <w:szCs w:val="21"/>
              </w:rPr>
              <w:t>理解和消化所学知识、改进学习方法和思维方式，培养其独立思考问题的能力，任课教师</w:t>
            </w:r>
            <w:r>
              <w:rPr>
                <w:rFonts w:hint="eastAsia"/>
                <w:szCs w:val="21"/>
              </w:rPr>
              <w:t>需</w:t>
            </w:r>
            <w:r>
              <w:rPr>
                <w:szCs w:val="21"/>
              </w:rPr>
              <w:t>每周安排</w:t>
            </w:r>
            <w:r>
              <w:rPr>
                <w:rFonts w:hint="eastAsia"/>
                <w:szCs w:val="21"/>
              </w:rPr>
              <w:t>一定</w:t>
            </w:r>
            <w:r>
              <w:rPr>
                <w:szCs w:val="21"/>
              </w:rPr>
              <w:t>时间进行课外答疑与辅导。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582" w:type="dxa"/>
            <w:tcBorders>
              <w:left w:val="single" w:color="auto" w:sz="8" w:space="0"/>
            </w:tcBorders>
            <w:noWrap w:val="0"/>
            <w:vAlign w:val="center"/>
          </w:tcPr>
          <w:p>
            <w:pPr>
              <w:spacing w:line="276" w:lineRule="auto"/>
              <w:jc w:val="center"/>
              <w:rPr>
                <w:szCs w:val="21"/>
              </w:rPr>
            </w:pPr>
            <w:r>
              <w:rPr>
                <w:szCs w:val="21"/>
              </w:rPr>
              <w:t>5</w:t>
            </w:r>
          </w:p>
        </w:tc>
        <w:tc>
          <w:tcPr>
            <w:tcW w:w="1701" w:type="dxa"/>
            <w:noWrap w:val="0"/>
            <w:tcMar>
              <w:left w:w="28" w:type="dxa"/>
              <w:right w:w="28" w:type="dxa"/>
            </w:tcMar>
            <w:vAlign w:val="center"/>
          </w:tcPr>
          <w:p>
            <w:pPr>
              <w:spacing w:line="276" w:lineRule="auto"/>
              <w:jc w:val="center"/>
              <w:rPr>
                <w:szCs w:val="21"/>
              </w:rPr>
            </w:pPr>
            <w:r>
              <w:rPr>
                <w:szCs w:val="21"/>
              </w:rPr>
              <w:t>成绩考核</w:t>
            </w:r>
          </w:p>
        </w:tc>
        <w:tc>
          <w:tcPr>
            <w:tcW w:w="6817" w:type="dxa"/>
            <w:tcBorders>
              <w:right w:val="single" w:color="auto" w:sz="8" w:space="0"/>
            </w:tcBorders>
            <w:noWrap w:val="0"/>
            <w:vAlign w:val="center"/>
          </w:tcPr>
          <w:p>
            <w:pPr>
              <w:spacing w:line="276" w:lineRule="auto"/>
              <w:rPr>
                <w:szCs w:val="21"/>
              </w:rPr>
            </w:pPr>
            <w:r>
              <w:rPr>
                <w:szCs w:val="21"/>
              </w:rPr>
              <w:t>本课程考核的方式</w:t>
            </w:r>
            <w:r>
              <w:rPr>
                <w:rFonts w:hint="eastAsia"/>
                <w:szCs w:val="21"/>
              </w:rPr>
              <w:t>为闭卷笔试</w:t>
            </w:r>
            <w:r>
              <w:rPr>
                <w:szCs w:val="21"/>
              </w:rPr>
              <w:t>。考试采取教考分离，监考</w:t>
            </w:r>
            <w:r>
              <w:rPr>
                <w:rFonts w:hint="eastAsia"/>
                <w:szCs w:val="21"/>
              </w:rPr>
              <w:t>由学院</w:t>
            </w:r>
            <w:r>
              <w:rPr>
                <w:szCs w:val="21"/>
              </w:rPr>
              <w:t>统一安排。有下列情况之一者，总评成绩为不及格：</w:t>
            </w:r>
          </w:p>
          <w:p>
            <w:pPr>
              <w:spacing w:line="276" w:lineRule="auto"/>
              <w:rPr>
                <w:szCs w:val="21"/>
              </w:rPr>
            </w:pPr>
            <w:r>
              <w:rPr>
                <w:rFonts w:hint="eastAsia"/>
                <w:szCs w:val="21"/>
              </w:rPr>
              <w:t>（1）</w:t>
            </w:r>
            <w:r>
              <w:rPr>
                <w:szCs w:val="21"/>
              </w:rPr>
              <w:t>缺交作业次数达1/3以上者</w:t>
            </w:r>
            <w:r>
              <w:rPr>
                <w:rFonts w:hint="eastAsia"/>
                <w:szCs w:val="21"/>
              </w:rPr>
              <w:t>。</w:t>
            </w:r>
          </w:p>
          <w:p>
            <w:pPr>
              <w:spacing w:line="276" w:lineRule="auto"/>
              <w:rPr>
                <w:szCs w:val="21"/>
              </w:rPr>
            </w:pPr>
            <w:r>
              <w:rPr>
                <w:rFonts w:hint="eastAsia"/>
                <w:szCs w:val="21"/>
              </w:rPr>
              <w:t>（2）</w:t>
            </w:r>
            <w:r>
              <w:rPr>
                <w:szCs w:val="21"/>
              </w:rPr>
              <w:t>缺课次数达本学期总授课学时的1/3以上者</w:t>
            </w:r>
            <w:r>
              <w:rPr>
                <w:rFonts w:hint="eastAsia"/>
                <w:szCs w:val="21"/>
              </w:rPr>
              <w:t>。</w:t>
            </w:r>
          </w:p>
          <w:p>
            <w:pPr>
              <w:spacing w:line="276" w:lineRule="auto"/>
              <w:rPr>
                <w:szCs w:val="21"/>
              </w:rPr>
            </w:pPr>
            <w:r>
              <w:rPr>
                <w:rFonts w:hint="eastAsia"/>
                <w:szCs w:val="21"/>
              </w:rPr>
              <w:t>（3）</w:t>
            </w:r>
            <w:r>
              <w:rPr>
                <w:szCs w:val="21"/>
              </w:rPr>
              <w:t>课程目标小于0.6。</w:t>
            </w:r>
          </w:p>
        </w:tc>
      </w:tr>
    </w:tbl>
    <w:p>
      <w:pPr>
        <w:spacing w:line="360" w:lineRule="auto"/>
        <w:ind w:firstLine="562" w:firstLineChars="200"/>
        <w:rPr>
          <w:rFonts w:hint="eastAsia"/>
          <w:b/>
          <w:sz w:val="28"/>
          <w:szCs w:val="28"/>
        </w:rPr>
      </w:pPr>
      <w:r>
        <w:rPr>
          <w:rFonts w:hint="eastAsia"/>
          <w:b/>
          <w:sz w:val="28"/>
          <w:szCs w:val="28"/>
        </w:rPr>
        <w:t>五、考核方式</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（一）课程考核包括期末考试、平时及作业情况考核，期末考试采用闭卷笔试。</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（二）课程成绩=</w:t>
      </w:r>
      <w:r>
        <w:rPr>
          <w:rFonts w:hint="eastAsia" w:ascii="Times New Roman" w:hAnsi="Times New Roman" w:cs="Times New Roman"/>
          <w:sz w:val="24"/>
          <w:lang w:eastAsia="zh-CN"/>
        </w:rPr>
        <w:t>笔记</w:t>
      </w:r>
      <w:r>
        <w:rPr>
          <w:rFonts w:hint="default" w:ascii="Times New Roman" w:hAnsi="Times New Roman" w:cs="Times New Roman"/>
          <w:sz w:val="24"/>
        </w:rPr>
        <w:t>×</w:t>
      </w:r>
      <w:r>
        <w:rPr>
          <w:rFonts w:hint="default" w:ascii="Times New Roman" w:hAnsi="Times New Roman" w:cs="Times New Roman"/>
          <w:sz w:val="24"/>
          <w:lang w:val="en-US" w:eastAsia="zh-CN"/>
        </w:rPr>
        <w:t>1</w:t>
      </w:r>
      <w:r>
        <w:rPr>
          <w:rFonts w:hint="default" w:ascii="Times New Roman" w:hAnsi="Times New Roman" w:cs="Times New Roman"/>
          <w:sz w:val="24"/>
        </w:rPr>
        <w:t>0%+</w:t>
      </w:r>
      <w:r>
        <w:rPr>
          <w:rFonts w:hint="default" w:ascii="Times New Roman" w:hAnsi="Times New Roman" w:cs="Times New Roman"/>
          <w:sz w:val="24"/>
          <w:lang w:eastAsia="zh-CN"/>
        </w:rPr>
        <w:t>作业成绩</w:t>
      </w:r>
      <w:r>
        <w:rPr>
          <w:rFonts w:hint="default" w:ascii="Times New Roman" w:hAnsi="Times New Roman" w:cs="Times New Roman"/>
          <w:sz w:val="24"/>
        </w:rPr>
        <w:t>×</w:t>
      </w:r>
      <w:r>
        <w:rPr>
          <w:rFonts w:hint="default" w:ascii="Times New Roman" w:hAnsi="Times New Roman" w:cs="Times New Roman"/>
          <w:sz w:val="24"/>
          <w:lang w:val="en-US" w:eastAsia="zh-CN"/>
        </w:rPr>
        <w:t>2</w:t>
      </w:r>
      <w:r>
        <w:rPr>
          <w:rFonts w:hint="default" w:ascii="Times New Roman" w:hAnsi="Times New Roman" w:cs="Times New Roman"/>
          <w:sz w:val="24"/>
        </w:rPr>
        <w:t>0%</w:t>
      </w:r>
      <w:r>
        <w:rPr>
          <w:rFonts w:hint="default" w:ascii="Times New Roman" w:hAnsi="Times New Roman" w:cs="Times New Roman"/>
          <w:sz w:val="24"/>
          <w:lang w:val="en-US" w:eastAsia="zh-CN"/>
        </w:rPr>
        <w:t>+单元测试</w:t>
      </w:r>
      <w:r>
        <w:rPr>
          <w:rFonts w:hint="default" w:ascii="Times New Roman" w:hAnsi="Times New Roman" w:cs="Times New Roman"/>
          <w:sz w:val="24"/>
        </w:rPr>
        <w:t>×</w:t>
      </w:r>
      <w:r>
        <w:rPr>
          <w:rFonts w:hint="default" w:ascii="Times New Roman" w:hAnsi="Times New Roman" w:cs="Times New Roman"/>
          <w:sz w:val="24"/>
          <w:lang w:val="en-US" w:eastAsia="zh-CN"/>
        </w:rPr>
        <w:t>2</w:t>
      </w:r>
      <w:r>
        <w:rPr>
          <w:rFonts w:hint="default" w:ascii="Times New Roman" w:hAnsi="Times New Roman" w:cs="Times New Roman"/>
          <w:sz w:val="24"/>
        </w:rPr>
        <w:t>0%</w:t>
      </w:r>
      <w:r>
        <w:rPr>
          <w:rFonts w:hint="eastAsia" w:ascii="Times New Roman" w:hAnsi="Times New Roman" w:cs="Times New Roman"/>
          <w:sz w:val="24"/>
          <w:lang w:val="en-US" w:eastAsia="zh-CN"/>
        </w:rPr>
        <w:t>+</w:t>
      </w:r>
      <w:r>
        <w:rPr>
          <w:rFonts w:hint="default" w:ascii="Times New Roman" w:hAnsi="Times New Roman" w:cs="Times New Roman"/>
          <w:sz w:val="24"/>
        </w:rPr>
        <w:t>期末考试成绩×</w:t>
      </w:r>
      <w:r>
        <w:rPr>
          <w:rFonts w:hint="default" w:ascii="Times New Roman" w:hAnsi="Times New Roman" w:cs="Times New Roman"/>
          <w:sz w:val="24"/>
          <w:lang w:val="en-US" w:eastAsia="zh-CN"/>
        </w:rPr>
        <w:t>5</w:t>
      </w:r>
      <w:r>
        <w:rPr>
          <w:rFonts w:hint="default" w:ascii="Times New Roman" w:hAnsi="Times New Roman" w:cs="Times New Roman"/>
          <w:sz w:val="24"/>
        </w:rPr>
        <w:t>0%。具体内容和比例如表所示。</w:t>
      </w:r>
    </w:p>
    <w:tbl>
      <w:tblPr>
        <w:tblStyle w:val="10"/>
        <w:tblpPr w:leftFromText="180" w:rightFromText="180" w:vertAnchor="text" w:horzAnchor="margin" w:tblpXSpec="center" w:tblpY="244"/>
        <w:tblW w:w="91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715"/>
        <w:gridCol w:w="1560"/>
        <w:gridCol w:w="3260"/>
        <w:gridCol w:w="638"/>
        <w:gridCol w:w="638"/>
        <w:gridCol w:w="638"/>
        <w:gridCol w:w="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vMerge w:val="restart"/>
            <w:shd w:val="clear" w:color="auto" w:fill="FFFFFF"/>
            <w:noWrap w:val="0"/>
            <w:tcMar>
              <w:left w:w="57" w:type="dxa"/>
              <w:right w:w="57" w:type="dxa"/>
            </w:tcMar>
            <w:vAlign w:val="center"/>
          </w:tcPr>
          <w:p>
            <w:pPr>
              <w:pStyle w:val="14"/>
              <w:jc w:val="center"/>
              <w:rPr>
                <w:rFonts w:eastAsia="宋体"/>
              </w:rPr>
            </w:pPr>
            <w:r>
              <w:rPr>
                <w:rFonts w:hint="eastAsia" w:eastAsia="宋体"/>
              </w:rPr>
              <w:t>考核环节</w:t>
            </w:r>
          </w:p>
        </w:tc>
        <w:tc>
          <w:tcPr>
            <w:tcW w:w="715" w:type="dxa"/>
            <w:vMerge w:val="restart"/>
            <w:shd w:val="clear" w:color="auto" w:fill="FFFFFF"/>
            <w:noWrap w:val="0"/>
            <w:vAlign w:val="center"/>
          </w:tcPr>
          <w:p>
            <w:pPr>
              <w:pStyle w:val="14"/>
              <w:jc w:val="center"/>
              <w:rPr>
                <w:rFonts w:eastAsia="宋体"/>
              </w:rPr>
            </w:pPr>
            <w:r>
              <w:rPr>
                <w:rFonts w:hint="eastAsia" w:eastAsia="宋体"/>
              </w:rPr>
              <w:t>成绩比例</w:t>
            </w:r>
          </w:p>
        </w:tc>
        <w:tc>
          <w:tcPr>
            <w:tcW w:w="4820" w:type="dxa"/>
            <w:gridSpan w:val="2"/>
            <w:vMerge w:val="restart"/>
            <w:shd w:val="clear" w:color="auto" w:fill="FFFFFF"/>
            <w:noWrap w:val="0"/>
            <w:vAlign w:val="center"/>
          </w:tcPr>
          <w:p>
            <w:pPr>
              <w:pStyle w:val="14"/>
              <w:jc w:val="center"/>
              <w:rPr>
                <w:rFonts w:eastAsia="宋体"/>
              </w:rPr>
            </w:pPr>
            <w:r>
              <w:rPr>
                <w:rFonts w:eastAsia="宋体"/>
              </w:rPr>
              <w:t>考核</w:t>
            </w:r>
            <w:r>
              <w:rPr>
                <w:rFonts w:hint="eastAsia" w:eastAsia="宋体"/>
              </w:rPr>
              <w:t>内容与</w:t>
            </w:r>
            <w:r>
              <w:rPr>
                <w:rFonts w:eastAsia="宋体"/>
              </w:rPr>
              <w:t>评价细则</w:t>
            </w:r>
          </w:p>
        </w:tc>
        <w:tc>
          <w:tcPr>
            <w:tcW w:w="2552" w:type="dxa"/>
            <w:gridSpan w:val="4"/>
            <w:shd w:val="clear" w:color="auto" w:fill="FFFFFF"/>
            <w:noWrap w:val="0"/>
            <w:vAlign w:val="center"/>
          </w:tcPr>
          <w:p>
            <w:pPr>
              <w:pStyle w:val="14"/>
              <w:jc w:val="center"/>
              <w:rPr>
                <w:rFonts w:eastAsia="宋体"/>
              </w:rPr>
            </w:pPr>
            <w:r>
              <w:rPr>
                <w:rFonts w:hint="eastAsia" w:eastAsia="宋体"/>
              </w:rPr>
              <w:t>支撑目标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vMerge w:val="continue"/>
            <w:shd w:val="clear" w:color="auto" w:fill="FFFFFF"/>
            <w:noWrap w:val="0"/>
            <w:tcMar>
              <w:left w:w="57" w:type="dxa"/>
              <w:right w:w="57" w:type="dxa"/>
            </w:tcMar>
            <w:vAlign w:val="center"/>
          </w:tcPr>
          <w:p>
            <w:pPr>
              <w:pStyle w:val="14"/>
              <w:jc w:val="center"/>
              <w:rPr>
                <w:rFonts w:eastAsia="宋体"/>
              </w:rPr>
            </w:pPr>
          </w:p>
        </w:tc>
        <w:tc>
          <w:tcPr>
            <w:tcW w:w="715" w:type="dxa"/>
            <w:vMerge w:val="continue"/>
            <w:shd w:val="clear" w:color="auto" w:fill="FFFFFF"/>
            <w:noWrap w:val="0"/>
            <w:vAlign w:val="center"/>
          </w:tcPr>
          <w:p>
            <w:pPr>
              <w:pStyle w:val="14"/>
              <w:jc w:val="center"/>
              <w:rPr>
                <w:rFonts w:eastAsia="宋体"/>
              </w:rPr>
            </w:pPr>
          </w:p>
        </w:tc>
        <w:tc>
          <w:tcPr>
            <w:tcW w:w="4820" w:type="dxa"/>
            <w:gridSpan w:val="2"/>
            <w:vMerge w:val="continue"/>
            <w:shd w:val="clear" w:color="auto" w:fill="FFFFFF"/>
            <w:noWrap w:val="0"/>
            <w:vAlign w:val="center"/>
          </w:tcPr>
          <w:p>
            <w:pPr>
              <w:pStyle w:val="14"/>
              <w:jc w:val="center"/>
              <w:rPr>
                <w:rFonts w:eastAsia="宋体"/>
              </w:rPr>
            </w:pPr>
          </w:p>
        </w:tc>
        <w:tc>
          <w:tcPr>
            <w:tcW w:w="638" w:type="dxa"/>
            <w:shd w:val="clear" w:color="auto" w:fill="FFFFFF"/>
            <w:noWrap w:val="0"/>
            <w:vAlign w:val="center"/>
          </w:tcPr>
          <w:p>
            <w:pPr>
              <w:pStyle w:val="14"/>
              <w:jc w:val="center"/>
              <w:rPr>
                <w:rFonts w:eastAsia="宋体"/>
              </w:rPr>
            </w:pPr>
            <w:r>
              <w:rPr>
                <w:rFonts w:hint="eastAsia" w:eastAsia="宋体"/>
              </w:rPr>
              <w:t>目标1</w:t>
            </w:r>
          </w:p>
        </w:tc>
        <w:tc>
          <w:tcPr>
            <w:tcW w:w="638" w:type="dxa"/>
            <w:shd w:val="clear" w:color="auto" w:fill="FFFFFF"/>
            <w:noWrap w:val="0"/>
            <w:vAlign w:val="center"/>
          </w:tcPr>
          <w:p>
            <w:pPr>
              <w:pStyle w:val="14"/>
              <w:jc w:val="center"/>
              <w:rPr>
                <w:rFonts w:eastAsia="宋体"/>
              </w:rPr>
            </w:pPr>
            <w:r>
              <w:rPr>
                <w:rFonts w:hint="eastAsia" w:eastAsia="宋体"/>
              </w:rPr>
              <w:t>目标2</w:t>
            </w:r>
          </w:p>
        </w:tc>
        <w:tc>
          <w:tcPr>
            <w:tcW w:w="638" w:type="dxa"/>
            <w:shd w:val="clear" w:color="auto" w:fill="FFFFFF"/>
            <w:noWrap w:val="0"/>
            <w:vAlign w:val="center"/>
          </w:tcPr>
          <w:p>
            <w:pPr>
              <w:pStyle w:val="14"/>
              <w:jc w:val="center"/>
              <w:rPr>
                <w:rFonts w:eastAsia="宋体"/>
              </w:rPr>
            </w:pPr>
          </w:p>
        </w:tc>
        <w:tc>
          <w:tcPr>
            <w:tcW w:w="638" w:type="dxa"/>
            <w:shd w:val="clear" w:color="auto" w:fill="FFFFFF"/>
            <w:noWrap w:val="0"/>
            <w:vAlign w:val="center"/>
          </w:tcPr>
          <w:p>
            <w:pPr>
              <w:pStyle w:val="14"/>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shd w:val="clear" w:color="auto" w:fill="FFFFFF"/>
            <w:noWrap w:val="0"/>
            <w:tcMar>
              <w:left w:w="57" w:type="dxa"/>
              <w:right w:w="57" w:type="dxa"/>
            </w:tcMar>
            <w:vAlign w:val="center"/>
          </w:tcPr>
          <w:p>
            <w:pPr>
              <w:pStyle w:val="14"/>
              <w:jc w:val="center"/>
              <w:rPr>
                <w:rFonts w:hint="eastAsia" w:eastAsia="宋体"/>
                <w:lang w:eastAsia="zh-CN"/>
              </w:rPr>
            </w:pPr>
            <w:r>
              <w:rPr>
                <w:rFonts w:hint="eastAsia" w:eastAsia="宋体"/>
                <w:lang w:eastAsia="zh-CN"/>
              </w:rPr>
              <w:t>笔</w:t>
            </w:r>
            <w:r>
              <w:rPr>
                <w:rFonts w:hint="eastAsia" w:eastAsia="宋体"/>
                <w:lang w:val="en-US" w:eastAsia="zh-CN"/>
              </w:rPr>
              <w:t xml:space="preserve">   </w:t>
            </w:r>
            <w:r>
              <w:rPr>
                <w:rFonts w:hint="eastAsia" w:eastAsia="宋体"/>
                <w:lang w:eastAsia="zh-CN"/>
              </w:rPr>
              <w:t>记</w:t>
            </w:r>
          </w:p>
        </w:tc>
        <w:tc>
          <w:tcPr>
            <w:tcW w:w="715" w:type="dxa"/>
            <w:shd w:val="clear" w:color="auto" w:fill="FFFFFF"/>
            <w:noWrap w:val="0"/>
            <w:vAlign w:val="center"/>
          </w:tcPr>
          <w:p>
            <w:pPr>
              <w:pStyle w:val="14"/>
              <w:jc w:val="center"/>
              <w:rPr>
                <w:rFonts w:eastAsia="宋体"/>
              </w:rPr>
            </w:pPr>
            <w:r>
              <w:rPr>
                <w:rFonts w:hint="eastAsia" w:eastAsia="宋体"/>
              </w:rPr>
              <w:t>10%</w:t>
            </w:r>
          </w:p>
        </w:tc>
        <w:tc>
          <w:tcPr>
            <w:tcW w:w="4820" w:type="dxa"/>
            <w:gridSpan w:val="2"/>
            <w:shd w:val="clear" w:color="auto" w:fill="FFFFFF"/>
            <w:noWrap w:val="0"/>
            <w:vAlign w:val="center"/>
          </w:tcPr>
          <w:p>
            <w:pPr>
              <w:pStyle w:val="14"/>
              <w:rPr>
                <w:rFonts w:eastAsia="宋体"/>
              </w:rPr>
            </w:pPr>
            <w:r>
              <w:rPr>
                <w:rFonts w:hint="default" w:ascii="Times New Roman" w:hAnsi="Times New Roman" w:eastAsia="宋体" w:cs="Times New Roman"/>
                <w:color w:val="000000"/>
                <w:szCs w:val="21"/>
              </w:rPr>
              <w:t>按时完成网络课堂教学视频观看，</w:t>
            </w:r>
            <w:r>
              <w:rPr>
                <w:rFonts w:hint="eastAsia" w:ascii="Times New Roman" w:hAnsi="Times New Roman" w:eastAsia="宋体" w:cs="Times New Roman"/>
                <w:color w:val="000000"/>
                <w:szCs w:val="21"/>
                <w:lang w:eastAsia="zh-CN"/>
              </w:rPr>
              <w:t>并完成学习笔记，通过学习笔记的工整、全面、重点是否突出等情况并百分制打分。</w:t>
            </w:r>
          </w:p>
        </w:tc>
        <w:tc>
          <w:tcPr>
            <w:tcW w:w="638" w:type="dxa"/>
            <w:shd w:val="clear" w:color="auto" w:fill="FFFFFF"/>
            <w:noWrap w:val="0"/>
            <w:vAlign w:val="center"/>
          </w:tcPr>
          <w:p>
            <w:pPr>
              <w:pStyle w:val="14"/>
              <w:jc w:val="center"/>
              <w:rPr>
                <w:rFonts w:eastAsia="宋体"/>
                <w:highlight w:val="yellow"/>
              </w:rPr>
            </w:pPr>
            <w:r>
              <w:rPr>
                <w:rFonts w:hint="eastAsia" w:eastAsia="宋体"/>
                <w:lang w:val="en-US" w:eastAsia="zh-CN"/>
              </w:rPr>
              <w:t>5</w:t>
            </w:r>
            <w:r>
              <w:rPr>
                <w:rFonts w:hint="eastAsia" w:eastAsia="宋体"/>
              </w:rPr>
              <w:t>%</w:t>
            </w:r>
          </w:p>
        </w:tc>
        <w:tc>
          <w:tcPr>
            <w:tcW w:w="638" w:type="dxa"/>
            <w:shd w:val="clear" w:color="auto" w:fill="FFFFFF"/>
            <w:noWrap w:val="0"/>
            <w:vAlign w:val="center"/>
          </w:tcPr>
          <w:p>
            <w:pPr>
              <w:pStyle w:val="14"/>
              <w:jc w:val="center"/>
              <w:rPr>
                <w:rFonts w:eastAsia="宋体"/>
                <w:highlight w:val="yellow"/>
              </w:rPr>
            </w:pPr>
            <w:r>
              <w:rPr>
                <w:rFonts w:hint="eastAsia" w:eastAsia="宋体"/>
              </w:rPr>
              <w:t>5%</w:t>
            </w:r>
          </w:p>
        </w:tc>
        <w:tc>
          <w:tcPr>
            <w:tcW w:w="638" w:type="dxa"/>
            <w:shd w:val="clear" w:color="auto" w:fill="FFFFFF"/>
            <w:noWrap w:val="0"/>
            <w:vAlign w:val="center"/>
          </w:tcPr>
          <w:p>
            <w:pPr>
              <w:pStyle w:val="14"/>
              <w:jc w:val="center"/>
              <w:rPr>
                <w:rFonts w:eastAsia="宋体"/>
              </w:rPr>
            </w:pPr>
          </w:p>
        </w:tc>
        <w:tc>
          <w:tcPr>
            <w:tcW w:w="638" w:type="dxa"/>
            <w:shd w:val="clear" w:color="auto" w:fill="FFFFFF"/>
            <w:noWrap w:val="0"/>
            <w:vAlign w:val="center"/>
          </w:tcPr>
          <w:p>
            <w:pPr>
              <w:pStyle w:val="14"/>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trPr>
        <w:tc>
          <w:tcPr>
            <w:tcW w:w="1043" w:type="dxa"/>
            <w:shd w:val="clear" w:color="auto" w:fill="auto"/>
            <w:noWrap w:val="0"/>
            <w:tcMar>
              <w:left w:w="57" w:type="dxa"/>
              <w:right w:w="57" w:type="dxa"/>
            </w:tcMar>
            <w:vAlign w:val="center"/>
          </w:tcPr>
          <w:p>
            <w:pPr>
              <w:pStyle w:val="14"/>
              <w:jc w:val="center"/>
              <w:rPr>
                <w:rFonts w:eastAsia="宋体"/>
              </w:rPr>
            </w:pPr>
            <w:r>
              <w:rPr>
                <w:rFonts w:eastAsia="宋体"/>
              </w:rPr>
              <w:t>作</w:t>
            </w:r>
            <w:r>
              <w:rPr>
                <w:rFonts w:hint="eastAsia" w:eastAsia="宋体"/>
              </w:rPr>
              <w:t xml:space="preserve">    </w:t>
            </w:r>
            <w:r>
              <w:rPr>
                <w:rFonts w:eastAsia="宋体"/>
              </w:rPr>
              <w:t>业</w:t>
            </w:r>
          </w:p>
        </w:tc>
        <w:tc>
          <w:tcPr>
            <w:tcW w:w="715" w:type="dxa"/>
            <w:shd w:val="clear" w:color="auto" w:fill="auto"/>
            <w:noWrap w:val="0"/>
            <w:vAlign w:val="center"/>
          </w:tcPr>
          <w:p>
            <w:pPr>
              <w:pStyle w:val="14"/>
              <w:jc w:val="center"/>
              <w:rPr>
                <w:rFonts w:eastAsia="宋体"/>
              </w:rPr>
            </w:pPr>
            <w:r>
              <w:rPr>
                <w:rFonts w:hint="eastAsia" w:eastAsia="宋体"/>
                <w:lang w:val="en-US" w:eastAsia="zh-CN"/>
              </w:rPr>
              <w:t>2</w:t>
            </w:r>
            <w:r>
              <w:rPr>
                <w:rFonts w:hint="eastAsia" w:eastAsia="宋体"/>
              </w:rPr>
              <w:t>0</w:t>
            </w:r>
            <w:r>
              <w:rPr>
                <w:rFonts w:eastAsia="宋体"/>
              </w:rPr>
              <w:t>%</w:t>
            </w:r>
          </w:p>
        </w:tc>
        <w:tc>
          <w:tcPr>
            <w:tcW w:w="4820" w:type="dxa"/>
            <w:gridSpan w:val="2"/>
            <w:shd w:val="clear" w:color="auto" w:fill="auto"/>
            <w:noWrap w:val="0"/>
            <w:vAlign w:val="center"/>
          </w:tcPr>
          <w:p>
            <w:pPr>
              <w:pStyle w:val="14"/>
              <w:rPr>
                <w:rFonts w:eastAsia="宋体"/>
                <w:szCs w:val="21"/>
              </w:rPr>
            </w:pPr>
            <w:r>
              <w:rPr>
                <w:rFonts w:hint="eastAsia" w:eastAsia="宋体"/>
                <w:szCs w:val="21"/>
              </w:rPr>
              <w:t>每章节对应有思考题和习题，考核学生对每节课知识点的复习、理解和掌握度。对每次作业完成情况做记录并百分制打分。</w:t>
            </w:r>
          </w:p>
        </w:tc>
        <w:tc>
          <w:tcPr>
            <w:tcW w:w="638" w:type="dxa"/>
            <w:shd w:val="clear" w:color="auto" w:fill="FFFFFF"/>
            <w:noWrap w:val="0"/>
            <w:vAlign w:val="center"/>
          </w:tcPr>
          <w:p>
            <w:pPr>
              <w:pStyle w:val="14"/>
              <w:jc w:val="center"/>
              <w:rPr>
                <w:rFonts w:eastAsia="宋体"/>
                <w:color w:val="000000"/>
                <w:szCs w:val="21"/>
              </w:rPr>
            </w:pPr>
            <w:r>
              <w:rPr>
                <w:rFonts w:hint="eastAsia" w:eastAsia="宋体"/>
                <w:color w:val="000000"/>
                <w:szCs w:val="21"/>
                <w:lang w:val="en-US" w:eastAsia="zh-CN"/>
              </w:rPr>
              <w:t>10</w:t>
            </w:r>
            <w:r>
              <w:rPr>
                <w:rFonts w:hint="eastAsia" w:eastAsia="宋体"/>
                <w:color w:val="000000"/>
                <w:szCs w:val="21"/>
              </w:rPr>
              <w:t>%</w:t>
            </w:r>
          </w:p>
        </w:tc>
        <w:tc>
          <w:tcPr>
            <w:tcW w:w="638" w:type="dxa"/>
            <w:shd w:val="clear" w:color="auto" w:fill="FFFFFF"/>
            <w:noWrap w:val="0"/>
            <w:vAlign w:val="center"/>
          </w:tcPr>
          <w:p>
            <w:pPr>
              <w:pStyle w:val="14"/>
              <w:jc w:val="center"/>
              <w:rPr>
                <w:rFonts w:eastAsia="宋体"/>
                <w:color w:val="000000"/>
                <w:szCs w:val="21"/>
              </w:rPr>
            </w:pPr>
            <w:r>
              <w:rPr>
                <w:rFonts w:hint="eastAsia" w:eastAsia="宋体"/>
                <w:color w:val="000000"/>
                <w:szCs w:val="21"/>
                <w:lang w:val="en-US" w:eastAsia="zh-CN"/>
              </w:rPr>
              <w:t>10</w:t>
            </w:r>
            <w:r>
              <w:rPr>
                <w:rFonts w:hint="eastAsia" w:eastAsia="宋体"/>
                <w:color w:val="000000"/>
                <w:szCs w:val="21"/>
              </w:rPr>
              <w:t>%</w:t>
            </w:r>
          </w:p>
        </w:tc>
        <w:tc>
          <w:tcPr>
            <w:tcW w:w="638"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 w:type="dxa"/>
            <w:shd w:val="clear" w:color="auto" w:fill="auto"/>
            <w:noWrap w:val="0"/>
            <w:tcMar>
              <w:left w:w="57" w:type="dxa"/>
              <w:right w:w="57" w:type="dxa"/>
            </w:tcMar>
            <w:vAlign w:val="center"/>
          </w:tcPr>
          <w:p>
            <w:pPr>
              <w:pStyle w:val="14"/>
              <w:jc w:val="center"/>
              <w:rPr>
                <w:rFonts w:hint="eastAsia" w:eastAsia="宋体"/>
                <w:lang w:eastAsia="zh-CN"/>
              </w:rPr>
            </w:pPr>
            <w:r>
              <w:rPr>
                <w:rFonts w:hint="eastAsia" w:eastAsia="宋体"/>
                <w:lang w:eastAsia="zh-CN"/>
              </w:rPr>
              <w:t>单元测试</w:t>
            </w:r>
          </w:p>
        </w:tc>
        <w:tc>
          <w:tcPr>
            <w:tcW w:w="715" w:type="dxa"/>
            <w:shd w:val="clear" w:color="auto" w:fill="auto"/>
            <w:noWrap w:val="0"/>
            <w:vAlign w:val="center"/>
          </w:tcPr>
          <w:p>
            <w:pPr>
              <w:pStyle w:val="14"/>
              <w:jc w:val="center"/>
              <w:rPr>
                <w:rFonts w:eastAsia="宋体"/>
              </w:rPr>
            </w:pPr>
            <w:r>
              <w:rPr>
                <w:rFonts w:hint="eastAsia" w:eastAsia="宋体"/>
                <w:lang w:val="en-US" w:eastAsia="zh-CN"/>
              </w:rPr>
              <w:t>2</w:t>
            </w:r>
            <w:r>
              <w:rPr>
                <w:rFonts w:hint="eastAsia" w:eastAsia="宋体"/>
              </w:rPr>
              <w:t>0</w:t>
            </w:r>
            <w:r>
              <w:rPr>
                <w:rFonts w:eastAsia="宋体"/>
              </w:rPr>
              <w:t>%</w:t>
            </w:r>
            <w:r>
              <w:rPr>
                <w:rFonts w:hint="eastAsia" w:eastAsia="宋体"/>
              </w:rPr>
              <w:t xml:space="preserve"> </w:t>
            </w:r>
          </w:p>
        </w:tc>
        <w:tc>
          <w:tcPr>
            <w:tcW w:w="4820" w:type="dxa"/>
            <w:gridSpan w:val="2"/>
            <w:shd w:val="clear" w:color="auto" w:fill="auto"/>
            <w:noWrap w:val="0"/>
            <w:vAlign w:val="center"/>
          </w:tcPr>
          <w:p>
            <w:pPr>
              <w:pStyle w:val="14"/>
              <w:rPr>
                <w:rFonts w:eastAsia="宋体"/>
                <w:color w:val="000000"/>
                <w:szCs w:val="21"/>
              </w:rPr>
            </w:pPr>
            <w:r>
              <w:rPr>
                <w:rFonts w:hint="eastAsia" w:eastAsia="宋体"/>
                <w:color w:val="000000"/>
                <w:szCs w:val="21"/>
                <w:lang w:val="en-US" w:eastAsia="zh-CN"/>
              </w:rPr>
              <w:t>Bb平台在每章结束之后进行</w:t>
            </w:r>
            <w:r>
              <w:rPr>
                <w:rFonts w:hint="eastAsia" w:eastAsia="宋体"/>
                <w:color w:val="000000"/>
                <w:szCs w:val="21"/>
              </w:rPr>
              <w:t>测验，</w:t>
            </w:r>
            <w:r>
              <w:rPr>
                <w:rFonts w:hint="default" w:ascii="Times New Roman" w:hAnsi="Times New Roman" w:eastAsia="宋体" w:cs="Times New Roman"/>
                <w:color w:val="000000"/>
                <w:szCs w:val="21"/>
              </w:rPr>
              <w:t>考察学生对</w:t>
            </w:r>
            <w:r>
              <w:rPr>
                <w:rFonts w:hint="eastAsia" w:ascii="Times New Roman" w:hAnsi="Times New Roman" w:eastAsia="宋体" w:cs="Times New Roman"/>
                <w:color w:val="000000"/>
                <w:szCs w:val="21"/>
                <w:lang w:eastAsia="zh-CN"/>
              </w:rPr>
              <w:t>每个</w:t>
            </w:r>
            <w:r>
              <w:rPr>
                <w:rFonts w:hint="default" w:ascii="Times New Roman" w:hAnsi="Times New Roman" w:eastAsia="宋体" w:cs="Times New Roman"/>
                <w:color w:val="000000"/>
                <w:szCs w:val="21"/>
              </w:rPr>
              <w:t>教学</w:t>
            </w:r>
            <w:r>
              <w:rPr>
                <w:rFonts w:hint="eastAsia" w:ascii="Times New Roman" w:hAnsi="Times New Roman" w:eastAsia="宋体" w:cs="Times New Roman"/>
                <w:color w:val="000000"/>
                <w:szCs w:val="21"/>
                <w:lang w:eastAsia="zh-CN"/>
              </w:rPr>
              <w:t>单元</w:t>
            </w:r>
            <w:r>
              <w:rPr>
                <w:rFonts w:hint="default" w:ascii="Times New Roman" w:hAnsi="Times New Roman" w:eastAsia="宋体" w:cs="Times New Roman"/>
                <w:color w:val="000000"/>
                <w:szCs w:val="21"/>
              </w:rPr>
              <w:t>的掌握情况，以</w:t>
            </w:r>
            <w:r>
              <w:rPr>
                <w:rFonts w:hint="eastAsia" w:ascii="Times New Roman" w:hAnsi="Times New Roman" w:eastAsia="宋体" w:cs="Times New Roman"/>
                <w:color w:val="000000"/>
                <w:szCs w:val="21"/>
                <w:lang w:eastAsia="zh-CN"/>
              </w:rPr>
              <w:t>百分制打分</w:t>
            </w:r>
            <w:r>
              <w:rPr>
                <w:rFonts w:hint="default" w:ascii="Times New Roman" w:hAnsi="Times New Roman" w:eastAsia="宋体" w:cs="Times New Roman"/>
                <w:color w:val="000000"/>
                <w:szCs w:val="21"/>
              </w:rPr>
              <w:t>。</w:t>
            </w:r>
          </w:p>
        </w:tc>
        <w:tc>
          <w:tcPr>
            <w:tcW w:w="638" w:type="dxa"/>
            <w:shd w:val="clear" w:color="auto" w:fill="FFFFFF"/>
            <w:noWrap w:val="0"/>
            <w:vAlign w:val="center"/>
          </w:tcPr>
          <w:p>
            <w:pPr>
              <w:pStyle w:val="14"/>
              <w:jc w:val="center"/>
              <w:rPr>
                <w:rFonts w:eastAsia="宋体"/>
                <w:color w:val="000000"/>
                <w:szCs w:val="21"/>
              </w:rPr>
            </w:pPr>
            <w:r>
              <w:rPr>
                <w:rFonts w:hint="eastAsia" w:eastAsia="宋体"/>
                <w:color w:val="000000"/>
                <w:szCs w:val="21"/>
              </w:rPr>
              <w:t>10%</w:t>
            </w:r>
          </w:p>
        </w:tc>
        <w:tc>
          <w:tcPr>
            <w:tcW w:w="638" w:type="dxa"/>
            <w:shd w:val="clear" w:color="auto" w:fill="FFFFFF"/>
            <w:noWrap w:val="0"/>
            <w:vAlign w:val="center"/>
          </w:tcPr>
          <w:p>
            <w:pPr>
              <w:pStyle w:val="14"/>
              <w:jc w:val="center"/>
              <w:rPr>
                <w:rFonts w:eastAsia="宋体"/>
                <w:color w:val="000000"/>
                <w:szCs w:val="21"/>
              </w:rPr>
            </w:pPr>
            <w:r>
              <w:rPr>
                <w:rFonts w:hint="eastAsia" w:eastAsia="宋体"/>
                <w:color w:val="000000"/>
                <w:szCs w:val="21"/>
              </w:rPr>
              <w:t>10%</w:t>
            </w:r>
          </w:p>
        </w:tc>
        <w:tc>
          <w:tcPr>
            <w:tcW w:w="638"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043" w:type="dxa"/>
            <w:vMerge w:val="restart"/>
            <w:shd w:val="clear" w:color="auto" w:fill="auto"/>
            <w:noWrap w:val="0"/>
            <w:tcMar>
              <w:left w:w="57" w:type="dxa"/>
              <w:right w:w="57" w:type="dxa"/>
            </w:tcMar>
            <w:vAlign w:val="center"/>
          </w:tcPr>
          <w:p>
            <w:pPr>
              <w:pStyle w:val="14"/>
              <w:jc w:val="center"/>
              <w:rPr>
                <w:rFonts w:eastAsia="宋体"/>
              </w:rPr>
            </w:pPr>
            <w:r>
              <w:rPr>
                <w:rFonts w:eastAsia="宋体"/>
              </w:rPr>
              <w:t>期末</w:t>
            </w:r>
            <w:r>
              <w:rPr>
                <w:rFonts w:hint="eastAsia" w:eastAsia="宋体"/>
              </w:rPr>
              <w:t>试卷</w:t>
            </w:r>
          </w:p>
        </w:tc>
        <w:tc>
          <w:tcPr>
            <w:tcW w:w="715" w:type="dxa"/>
            <w:vMerge w:val="restart"/>
            <w:shd w:val="clear" w:color="auto" w:fill="auto"/>
            <w:noWrap w:val="0"/>
            <w:vAlign w:val="center"/>
          </w:tcPr>
          <w:p>
            <w:pPr>
              <w:pStyle w:val="14"/>
              <w:jc w:val="center"/>
              <w:rPr>
                <w:rFonts w:eastAsia="宋体"/>
              </w:rPr>
            </w:pPr>
            <w:r>
              <w:rPr>
                <w:rFonts w:hint="eastAsia" w:eastAsia="宋体"/>
              </w:rPr>
              <w:t>50</w:t>
            </w:r>
            <w:r>
              <w:rPr>
                <w:rFonts w:eastAsia="宋体"/>
              </w:rPr>
              <w:t>%</w:t>
            </w:r>
            <w:r>
              <w:rPr>
                <w:rFonts w:hint="eastAsia" w:eastAsia="宋体"/>
              </w:rPr>
              <w:t xml:space="preserve"> </w:t>
            </w:r>
          </w:p>
        </w:tc>
        <w:tc>
          <w:tcPr>
            <w:tcW w:w="1560" w:type="dxa"/>
            <w:tcBorders>
              <w:left w:val="single" w:color="auto" w:sz="4" w:space="0"/>
            </w:tcBorders>
            <w:shd w:val="clear" w:color="auto" w:fill="auto"/>
            <w:noWrap w:val="0"/>
            <w:vAlign w:val="center"/>
          </w:tcPr>
          <w:p>
            <w:pPr>
              <w:pStyle w:val="14"/>
              <w:jc w:val="center"/>
              <w:rPr>
                <w:rFonts w:eastAsia="宋体"/>
                <w:color w:val="000000"/>
                <w:szCs w:val="21"/>
              </w:rPr>
            </w:pPr>
            <w:r>
              <w:rPr>
                <w:rFonts w:hint="eastAsia" w:eastAsia="宋体"/>
                <w:color w:val="000000"/>
                <w:szCs w:val="21"/>
              </w:rPr>
              <w:t>题型</w:t>
            </w:r>
          </w:p>
        </w:tc>
        <w:tc>
          <w:tcPr>
            <w:tcW w:w="3260" w:type="dxa"/>
            <w:tcBorders>
              <w:left w:val="single" w:color="auto" w:sz="4" w:space="0"/>
            </w:tcBorders>
            <w:shd w:val="clear" w:color="auto" w:fill="auto"/>
            <w:noWrap w:val="0"/>
            <w:vAlign w:val="center"/>
          </w:tcPr>
          <w:p>
            <w:pPr>
              <w:widowControl/>
              <w:jc w:val="center"/>
            </w:pPr>
            <w:r>
              <w:rPr>
                <w:rFonts w:hint="eastAsia"/>
                <w:color w:val="000000"/>
                <w:szCs w:val="21"/>
              </w:rPr>
              <w:t>考核内容及相应试题</w:t>
            </w:r>
          </w:p>
        </w:tc>
        <w:tc>
          <w:tcPr>
            <w:tcW w:w="2552" w:type="dxa"/>
            <w:gridSpan w:val="4"/>
            <w:tcBorders>
              <w:tl2br w:val="single" w:color="auto" w:sz="4" w:space="0"/>
            </w:tcBorders>
            <w:shd w:val="clear" w:color="auto" w:fill="FFFFFF"/>
            <w:noWrap w:val="0"/>
            <w:vAlign w:val="top"/>
          </w:tcPr>
          <w:p>
            <w:pPr>
              <w:pStyle w:val="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noWrap w:val="0"/>
            <w:tcMar>
              <w:left w:w="57" w:type="dxa"/>
              <w:right w:w="57" w:type="dxa"/>
            </w:tcMar>
            <w:vAlign w:val="center"/>
          </w:tcPr>
          <w:p>
            <w:pPr>
              <w:pStyle w:val="14"/>
              <w:jc w:val="center"/>
              <w:rPr>
                <w:rFonts w:eastAsia="宋体"/>
              </w:rPr>
            </w:pPr>
          </w:p>
        </w:tc>
        <w:tc>
          <w:tcPr>
            <w:tcW w:w="715" w:type="dxa"/>
            <w:vMerge w:val="continue"/>
            <w:shd w:val="clear" w:color="auto" w:fill="auto"/>
            <w:noWrap w:val="0"/>
            <w:vAlign w:val="center"/>
          </w:tcPr>
          <w:p>
            <w:pPr>
              <w:pStyle w:val="14"/>
              <w:jc w:val="center"/>
              <w:rPr>
                <w:rFonts w:eastAsia="宋体"/>
              </w:rPr>
            </w:pPr>
          </w:p>
        </w:tc>
        <w:tc>
          <w:tcPr>
            <w:tcW w:w="1560" w:type="dxa"/>
            <w:tcBorders>
              <w:left w:val="single" w:color="auto" w:sz="4" w:space="0"/>
            </w:tcBorders>
            <w:shd w:val="clear" w:color="auto" w:fill="auto"/>
            <w:noWrap w:val="0"/>
            <w:vAlign w:val="center"/>
          </w:tcPr>
          <w:p>
            <w:pPr>
              <w:pStyle w:val="14"/>
              <w:jc w:val="center"/>
              <w:rPr>
                <w:rFonts w:eastAsia="宋体"/>
                <w:color w:val="000000"/>
                <w:szCs w:val="21"/>
              </w:rPr>
            </w:pPr>
            <w:r>
              <w:rPr>
                <w:rFonts w:hint="eastAsia" w:eastAsia="宋体"/>
                <w:color w:val="000000"/>
                <w:szCs w:val="21"/>
              </w:rPr>
              <w:t>选择题</w:t>
            </w:r>
          </w:p>
        </w:tc>
        <w:tc>
          <w:tcPr>
            <w:tcW w:w="3260" w:type="dxa"/>
            <w:tcBorders>
              <w:left w:val="single" w:color="auto" w:sz="4" w:space="0"/>
            </w:tcBorders>
            <w:shd w:val="clear" w:color="auto" w:fill="auto"/>
            <w:noWrap w:val="0"/>
            <w:vAlign w:val="center"/>
          </w:tcPr>
          <w:p>
            <w:pPr>
              <w:pStyle w:val="14"/>
              <w:rPr>
                <w:rFonts w:hint="eastAsia" w:eastAsia="宋体"/>
                <w:color w:val="000000"/>
                <w:szCs w:val="21"/>
                <w:lang w:eastAsia="zh-CN"/>
              </w:rPr>
            </w:pPr>
            <w:r>
              <w:rPr>
                <w:rFonts w:hint="eastAsia" w:eastAsia="宋体"/>
                <w:color w:val="000000"/>
                <w:szCs w:val="21"/>
              </w:rPr>
              <w:t>主要考核</w:t>
            </w:r>
            <w:r>
              <w:rPr>
                <w:rFonts w:hint="eastAsia" w:eastAsia="宋体"/>
                <w:color w:val="000000"/>
                <w:szCs w:val="21"/>
                <w:lang w:eastAsia="zh-CN"/>
              </w:rPr>
              <w:t>吸收、精馏、干燥和萃取</w:t>
            </w:r>
            <w:r>
              <w:rPr>
                <w:rFonts w:hint="eastAsia" w:eastAsia="宋体"/>
                <w:color w:val="000000"/>
                <w:szCs w:val="21"/>
              </w:rPr>
              <w:t>的基本概念和定律</w:t>
            </w:r>
            <w:r>
              <w:rPr>
                <w:rFonts w:hint="eastAsia" w:eastAsia="宋体"/>
                <w:color w:val="000000"/>
                <w:szCs w:val="21"/>
                <w:lang w:eastAsia="zh-CN"/>
              </w:rPr>
              <w:t>。</w:t>
            </w:r>
          </w:p>
        </w:tc>
        <w:tc>
          <w:tcPr>
            <w:tcW w:w="638" w:type="dxa"/>
            <w:shd w:val="clear" w:color="auto" w:fill="FFFFFF"/>
            <w:noWrap w:val="0"/>
            <w:vAlign w:val="center"/>
          </w:tcPr>
          <w:p>
            <w:pPr>
              <w:widowControl/>
              <w:jc w:val="center"/>
            </w:pPr>
            <w:r>
              <w:rPr>
                <w:rFonts w:hint="eastAsia"/>
              </w:rPr>
              <w:t>1</w:t>
            </w:r>
            <w:r>
              <w:rPr>
                <w:rFonts w:hint="eastAsia"/>
                <w:lang w:val="en-US" w:eastAsia="zh-CN"/>
              </w:rPr>
              <w:t>5</w:t>
            </w:r>
            <w:r>
              <w:rPr>
                <w:rFonts w:hint="eastAsia"/>
              </w:rPr>
              <w:t>%</w:t>
            </w:r>
          </w:p>
        </w:tc>
        <w:tc>
          <w:tcPr>
            <w:tcW w:w="638" w:type="dxa"/>
            <w:shd w:val="clear" w:color="auto" w:fill="FFFFFF"/>
            <w:noWrap w:val="0"/>
            <w:vAlign w:val="center"/>
          </w:tcPr>
          <w:p>
            <w:pPr>
              <w:widowControl/>
              <w:jc w:val="center"/>
            </w:pPr>
          </w:p>
        </w:tc>
        <w:tc>
          <w:tcPr>
            <w:tcW w:w="638" w:type="dxa"/>
            <w:shd w:val="clear" w:color="auto" w:fill="FFFFFF"/>
            <w:noWrap w:val="0"/>
            <w:vAlign w:val="center"/>
          </w:tcPr>
          <w:p>
            <w:pPr>
              <w:widowControl/>
              <w:jc w:val="center"/>
            </w:pPr>
          </w:p>
        </w:tc>
        <w:tc>
          <w:tcPr>
            <w:tcW w:w="638" w:type="dxa"/>
            <w:shd w:val="clear" w:color="auto" w:fill="FFFFFF"/>
            <w:noWrap w:val="0"/>
            <w:vAlign w:val="center"/>
          </w:tcPr>
          <w:p>
            <w:pPr>
              <w:widowControl/>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noWrap w:val="0"/>
            <w:tcMar>
              <w:left w:w="57" w:type="dxa"/>
              <w:right w:w="57" w:type="dxa"/>
            </w:tcMar>
            <w:vAlign w:val="center"/>
          </w:tcPr>
          <w:p>
            <w:pPr>
              <w:pStyle w:val="14"/>
              <w:jc w:val="center"/>
              <w:rPr>
                <w:rFonts w:eastAsia="宋体"/>
              </w:rPr>
            </w:pPr>
          </w:p>
        </w:tc>
        <w:tc>
          <w:tcPr>
            <w:tcW w:w="715" w:type="dxa"/>
            <w:vMerge w:val="continue"/>
            <w:shd w:val="clear" w:color="auto" w:fill="auto"/>
            <w:noWrap w:val="0"/>
            <w:vAlign w:val="center"/>
          </w:tcPr>
          <w:p>
            <w:pPr>
              <w:pStyle w:val="14"/>
              <w:jc w:val="center"/>
              <w:rPr>
                <w:rFonts w:eastAsia="宋体"/>
              </w:rPr>
            </w:pPr>
          </w:p>
        </w:tc>
        <w:tc>
          <w:tcPr>
            <w:tcW w:w="1560" w:type="dxa"/>
            <w:tcBorders>
              <w:left w:val="single" w:color="auto" w:sz="4" w:space="0"/>
            </w:tcBorders>
            <w:shd w:val="clear" w:color="auto" w:fill="auto"/>
            <w:noWrap w:val="0"/>
            <w:vAlign w:val="center"/>
          </w:tcPr>
          <w:p>
            <w:pPr>
              <w:pStyle w:val="14"/>
              <w:jc w:val="center"/>
              <w:rPr>
                <w:rFonts w:eastAsia="宋体"/>
                <w:color w:val="000000"/>
                <w:szCs w:val="21"/>
              </w:rPr>
            </w:pPr>
            <w:r>
              <w:rPr>
                <w:rFonts w:hint="eastAsia" w:eastAsia="宋体"/>
                <w:color w:val="000000"/>
                <w:szCs w:val="21"/>
              </w:rPr>
              <w:t>填空</w:t>
            </w:r>
            <w:r>
              <w:rPr>
                <w:rFonts w:eastAsia="宋体"/>
                <w:color w:val="000000"/>
                <w:szCs w:val="21"/>
              </w:rPr>
              <w:t>题</w:t>
            </w:r>
          </w:p>
        </w:tc>
        <w:tc>
          <w:tcPr>
            <w:tcW w:w="3260" w:type="dxa"/>
            <w:tcBorders>
              <w:left w:val="single" w:color="auto" w:sz="4" w:space="0"/>
            </w:tcBorders>
            <w:shd w:val="clear" w:color="auto" w:fill="auto"/>
            <w:noWrap w:val="0"/>
            <w:vAlign w:val="center"/>
          </w:tcPr>
          <w:p>
            <w:pPr>
              <w:pStyle w:val="14"/>
              <w:rPr>
                <w:rFonts w:eastAsia="宋体"/>
                <w:color w:val="000000"/>
                <w:szCs w:val="21"/>
              </w:rPr>
            </w:pPr>
            <w:r>
              <w:rPr>
                <w:rFonts w:hint="eastAsia" w:eastAsia="宋体"/>
                <w:color w:val="000000"/>
                <w:szCs w:val="21"/>
              </w:rPr>
              <w:t>主要考核</w:t>
            </w:r>
            <w:r>
              <w:rPr>
                <w:rFonts w:hint="eastAsia" w:eastAsia="宋体"/>
                <w:color w:val="000000"/>
                <w:szCs w:val="21"/>
                <w:lang w:eastAsia="zh-CN"/>
              </w:rPr>
              <w:t>吸收、精馏、干燥和萃取</w:t>
            </w:r>
            <w:r>
              <w:rPr>
                <w:rFonts w:hint="eastAsia" w:eastAsia="宋体"/>
                <w:color w:val="000000"/>
                <w:szCs w:val="21"/>
              </w:rPr>
              <w:t>的基本概念和定律</w:t>
            </w:r>
            <w:r>
              <w:rPr>
                <w:rFonts w:hint="eastAsia" w:eastAsia="宋体"/>
                <w:color w:val="000000"/>
                <w:szCs w:val="21"/>
                <w:lang w:eastAsia="zh-CN"/>
              </w:rPr>
              <w:t>。</w:t>
            </w:r>
          </w:p>
        </w:tc>
        <w:tc>
          <w:tcPr>
            <w:tcW w:w="638" w:type="dxa"/>
            <w:shd w:val="clear" w:color="auto" w:fill="FFFFFF"/>
            <w:noWrap w:val="0"/>
            <w:vAlign w:val="center"/>
          </w:tcPr>
          <w:p>
            <w:pPr>
              <w:pStyle w:val="14"/>
              <w:jc w:val="center"/>
              <w:rPr>
                <w:rFonts w:eastAsia="宋体"/>
                <w:color w:val="000000"/>
                <w:szCs w:val="21"/>
              </w:rPr>
            </w:pPr>
            <w:r>
              <w:rPr>
                <w:rFonts w:hint="eastAsia" w:eastAsia="宋体"/>
                <w:color w:val="000000"/>
                <w:szCs w:val="21"/>
                <w:lang w:val="en-US" w:eastAsia="zh-CN"/>
              </w:rPr>
              <w:t>10</w:t>
            </w:r>
            <w:r>
              <w:rPr>
                <w:rFonts w:hint="eastAsia" w:eastAsia="宋体"/>
                <w:color w:val="000000"/>
                <w:szCs w:val="21"/>
              </w:rPr>
              <w:t>%</w:t>
            </w:r>
          </w:p>
        </w:tc>
        <w:tc>
          <w:tcPr>
            <w:tcW w:w="638"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noWrap w:val="0"/>
            <w:tcMar>
              <w:left w:w="57" w:type="dxa"/>
              <w:right w:w="57" w:type="dxa"/>
            </w:tcMar>
            <w:vAlign w:val="center"/>
          </w:tcPr>
          <w:p>
            <w:pPr>
              <w:pStyle w:val="14"/>
              <w:jc w:val="center"/>
              <w:rPr>
                <w:rFonts w:eastAsia="宋体"/>
              </w:rPr>
            </w:pPr>
          </w:p>
        </w:tc>
        <w:tc>
          <w:tcPr>
            <w:tcW w:w="715" w:type="dxa"/>
            <w:vMerge w:val="continue"/>
            <w:shd w:val="clear" w:color="auto" w:fill="auto"/>
            <w:noWrap w:val="0"/>
            <w:vAlign w:val="center"/>
          </w:tcPr>
          <w:p>
            <w:pPr>
              <w:pStyle w:val="14"/>
              <w:jc w:val="center"/>
              <w:rPr>
                <w:rFonts w:eastAsia="宋体"/>
              </w:rPr>
            </w:pPr>
          </w:p>
        </w:tc>
        <w:tc>
          <w:tcPr>
            <w:tcW w:w="1560" w:type="dxa"/>
            <w:tcBorders>
              <w:left w:val="single" w:color="auto" w:sz="4" w:space="0"/>
            </w:tcBorders>
            <w:shd w:val="clear" w:color="auto" w:fill="auto"/>
            <w:noWrap w:val="0"/>
            <w:vAlign w:val="center"/>
          </w:tcPr>
          <w:p>
            <w:pPr>
              <w:pStyle w:val="14"/>
              <w:jc w:val="center"/>
              <w:rPr>
                <w:rFonts w:eastAsia="宋体"/>
                <w:color w:val="000000"/>
                <w:szCs w:val="21"/>
              </w:rPr>
            </w:pPr>
            <w:r>
              <w:rPr>
                <w:rFonts w:hint="eastAsia" w:eastAsia="宋体"/>
                <w:color w:val="000000"/>
                <w:szCs w:val="21"/>
              </w:rPr>
              <w:t>计算</w:t>
            </w:r>
            <w:r>
              <w:rPr>
                <w:rFonts w:eastAsia="宋体"/>
                <w:color w:val="000000"/>
                <w:szCs w:val="21"/>
              </w:rPr>
              <w:t>题</w:t>
            </w:r>
          </w:p>
        </w:tc>
        <w:tc>
          <w:tcPr>
            <w:tcW w:w="3260" w:type="dxa"/>
            <w:tcBorders>
              <w:left w:val="single" w:color="auto" w:sz="4" w:space="0"/>
              <w:bottom w:val="single" w:color="auto" w:sz="4" w:space="0"/>
            </w:tcBorders>
            <w:shd w:val="clear" w:color="auto" w:fill="auto"/>
            <w:noWrap w:val="0"/>
            <w:vAlign w:val="center"/>
          </w:tcPr>
          <w:p>
            <w:pPr>
              <w:pStyle w:val="14"/>
              <w:rPr>
                <w:rFonts w:eastAsia="宋体"/>
                <w:color w:val="000000"/>
                <w:szCs w:val="21"/>
              </w:rPr>
            </w:pPr>
            <w:r>
              <w:rPr>
                <w:rFonts w:hint="eastAsia" w:eastAsia="宋体"/>
                <w:color w:val="000000"/>
                <w:szCs w:val="21"/>
              </w:rPr>
              <w:t>主要考核</w:t>
            </w:r>
            <w:r>
              <w:rPr>
                <w:rFonts w:hint="eastAsia" w:eastAsia="宋体"/>
                <w:color w:val="000000"/>
                <w:szCs w:val="21"/>
                <w:lang w:eastAsia="zh-CN"/>
              </w:rPr>
              <w:t>吸收、精馏、干燥和萃取的应用计算。</w:t>
            </w:r>
          </w:p>
        </w:tc>
        <w:tc>
          <w:tcPr>
            <w:tcW w:w="638"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r>
              <w:rPr>
                <w:rFonts w:hint="eastAsia" w:eastAsia="宋体"/>
                <w:color w:val="000000"/>
                <w:szCs w:val="21"/>
              </w:rPr>
              <w:t>25%</w:t>
            </w:r>
          </w:p>
        </w:tc>
        <w:tc>
          <w:tcPr>
            <w:tcW w:w="638"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043" w:type="dxa"/>
            <w:shd w:val="clear" w:color="auto" w:fill="auto"/>
            <w:noWrap w:val="0"/>
            <w:tcMar>
              <w:left w:w="57" w:type="dxa"/>
              <w:right w:w="57" w:type="dxa"/>
            </w:tcMar>
            <w:vAlign w:val="center"/>
          </w:tcPr>
          <w:p>
            <w:pPr>
              <w:pStyle w:val="14"/>
              <w:jc w:val="center"/>
              <w:rPr>
                <w:rFonts w:eastAsia="宋体"/>
              </w:rPr>
            </w:pPr>
            <w:r>
              <w:rPr>
                <w:rFonts w:hint="eastAsia" w:eastAsia="宋体"/>
              </w:rPr>
              <w:t>合    计</w:t>
            </w:r>
          </w:p>
        </w:tc>
        <w:tc>
          <w:tcPr>
            <w:tcW w:w="715" w:type="dxa"/>
            <w:shd w:val="clear" w:color="auto" w:fill="auto"/>
            <w:noWrap w:val="0"/>
            <w:vAlign w:val="center"/>
          </w:tcPr>
          <w:p>
            <w:pPr>
              <w:pStyle w:val="14"/>
              <w:jc w:val="center"/>
              <w:rPr>
                <w:rFonts w:eastAsia="宋体"/>
              </w:rPr>
            </w:pPr>
            <w:r>
              <w:rPr>
                <w:rFonts w:hint="eastAsia" w:eastAsia="宋体"/>
              </w:rPr>
              <w:t>100%</w:t>
            </w:r>
          </w:p>
        </w:tc>
        <w:tc>
          <w:tcPr>
            <w:tcW w:w="4820" w:type="dxa"/>
            <w:gridSpan w:val="2"/>
            <w:tcBorders>
              <w:left w:val="single" w:color="auto" w:sz="4" w:space="0"/>
            </w:tcBorders>
            <w:shd w:val="clear" w:color="auto" w:fill="auto"/>
            <w:noWrap w:val="0"/>
            <w:vAlign w:val="center"/>
          </w:tcPr>
          <w:p>
            <w:pPr>
              <w:pStyle w:val="14"/>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r>
              <w:rPr>
                <w:rFonts w:hint="eastAsia" w:eastAsia="宋体"/>
                <w:color w:val="000000"/>
                <w:szCs w:val="21"/>
                <w:lang w:val="en-US" w:eastAsia="zh-CN"/>
              </w:rPr>
              <w:t>50</w:t>
            </w:r>
            <w:r>
              <w:rPr>
                <w:rFonts w:hint="eastAsia" w:eastAsia="宋体"/>
                <w:color w:val="000000"/>
                <w:szCs w:val="21"/>
              </w:rPr>
              <w:t>%</w:t>
            </w:r>
          </w:p>
        </w:tc>
        <w:tc>
          <w:tcPr>
            <w:tcW w:w="638" w:type="dxa"/>
            <w:shd w:val="clear" w:color="auto" w:fill="FFFFFF"/>
            <w:noWrap w:val="0"/>
            <w:vAlign w:val="center"/>
          </w:tcPr>
          <w:p>
            <w:pPr>
              <w:pStyle w:val="14"/>
              <w:jc w:val="center"/>
              <w:rPr>
                <w:rFonts w:eastAsia="宋体"/>
                <w:color w:val="000000"/>
                <w:szCs w:val="21"/>
              </w:rPr>
            </w:pPr>
            <w:r>
              <w:rPr>
                <w:rFonts w:hint="eastAsia" w:eastAsia="宋体"/>
                <w:color w:val="000000"/>
                <w:szCs w:val="21"/>
              </w:rPr>
              <w:t>5</w:t>
            </w:r>
            <w:r>
              <w:rPr>
                <w:rFonts w:hint="eastAsia" w:eastAsia="宋体"/>
                <w:color w:val="000000"/>
                <w:szCs w:val="21"/>
                <w:lang w:val="en-US" w:eastAsia="zh-CN"/>
              </w:rPr>
              <w:t>0</w:t>
            </w:r>
            <w:r>
              <w:rPr>
                <w:rFonts w:hint="eastAsia" w:eastAsia="宋体"/>
                <w:color w:val="000000"/>
                <w:szCs w:val="21"/>
              </w:rPr>
              <w:t>%</w:t>
            </w:r>
          </w:p>
        </w:tc>
        <w:tc>
          <w:tcPr>
            <w:tcW w:w="638" w:type="dxa"/>
            <w:shd w:val="clear" w:color="auto" w:fill="FFFFFF"/>
            <w:noWrap w:val="0"/>
            <w:vAlign w:val="center"/>
          </w:tcPr>
          <w:p>
            <w:pPr>
              <w:pStyle w:val="14"/>
              <w:jc w:val="center"/>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p>
        </w:tc>
      </w:tr>
    </w:tbl>
    <w:p>
      <w:pPr>
        <w:spacing w:line="360" w:lineRule="auto"/>
        <w:rPr>
          <w:sz w:val="24"/>
          <w:szCs w:val="22"/>
        </w:rPr>
      </w:pPr>
      <w:r>
        <w:rPr>
          <w:rFonts w:hint="eastAsia"/>
          <w:sz w:val="24"/>
          <w:szCs w:val="22"/>
        </w:rPr>
        <w:t xml:space="preserve">备注：1. </w:t>
      </w:r>
      <w:r>
        <w:rPr>
          <w:sz w:val="24"/>
          <w:szCs w:val="22"/>
        </w:rPr>
        <w:t>课程目标达成度计算方法如下：</w:t>
      </w:r>
    </w:p>
    <w:p>
      <w:pPr>
        <w:spacing w:line="360" w:lineRule="auto"/>
        <w:jc w:val="center"/>
        <w:rPr>
          <w:sz w:val="24"/>
          <w:szCs w:val="22"/>
        </w:rPr>
      </w:pPr>
      <w:r>
        <w:rPr>
          <w:position w:val="-26"/>
          <w:sz w:val="24"/>
          <w:szCs w:val="22"/>
        </w:rPr>
        <w:object>
          <v:shape id="_x0000_i1029" o:spt="75" type="#_x0000_t75" style="height:32.4pt;width:336.8pt;" o:ole="t" filled="f" o:preferrelative="t" stroked="f" coordsize="21600,21600">
            <v:path/>
            <v:fill on="f" focussize="0,0"/>
            <v:stroke on="f" joinstyle="miter"/>
            <v:imagedata r:id="rId20" o:title=""/>
            <o:lock v:ext="edit" aspectratio="t"/>
            <w10:wrap type="none"/>
            <w10:anchorlock/>
          </v:shape>
          <o:OLEObject Type="Embed" ProgID="Equation.DSMT4" ShapeID="_x0000_i1029" DrawAspect="Content" ObjectID="_1468075729" r:id="rId24">
            <o:LockedField>false</o:LockedField>
          </o:OLEObject>
        </w:object>
      </w:r>
    </w:p>
    <w:p>
      <w:pPr>
        <w:spacing w:line="360" w:lineRule="auto"/>
        <w:ind w:firstLine="720" w:firstLineChars="300"/>
        <w:rPr>
          <w:sz w:val="24"/>
          <w:szCs w:val="22"/>
        </w:rPr>
      </w:pPr>
      <w:r>
        <w:rPr>
          <w:rFonts w:hint="eastAsia"/>
          <w:sz w:val="24"/>
          <w:szCs w:val="22"/>
        </w:rPr>
        <w:t>2. 作业包括课后习题、</w:t>
      </w:r>
      <w:r>
        <w:rPr>
          <w:rFonts w:hint="eastAsia"/>
          <w:sz w:val="24"/>
          <w:szCs w:val="22"/>
          <w:lang w:eastAsia="zh-CN"/>
        </w:rPr>
        <w:t>思考题、</w:t>
      </w:r>
      <w:r>
        <w:rPr>
          <w:rFonts w:hint="eastAsia"/>
          <w:sz w:val="24"/>
          <w:szCs w:val="22"/>
        </w:rPr>
        <w:t>单元测试、</w:t>
      </w:r>
      <w:r>
        <w:rPr>
          <w:rFonts w:hint="eastAsia"/>
          <w:sz w:val="24"/>
          <w:szCs w:val="22"/>
          <w:lang w:eastAsia="zh-CN"/>
        </w:rPr>
        <w:t>笔记</w:t>
      </w:r>
      <w:r>
        <w:rPr>
          <w:rFonts w:hint="eastAsia"/>
          <w:sz w:val="24"/>
          <w:szCs w:val="22"/>
        </w:rPr>
        <w:t>、网络课堂学习等等。</w:t>
      </w:r>
    </w:p>
    <w:p>
      <w:pPr>
        <w:spacing w:line="360" w:lineRule="auto"/>
        <w:ind w:firstLine="562" w:firstLineChars="200"/>
        <w:rPr>
          <w:rFonts w:hint="eastAsia"/>
          <w:b/>
          <w:sz w:val="28"/>
          <w:szCs w:val="28"/>
        </w:rPr>
      </w:pPr>
      <w:r>
        <w:rPr>
          <w:rFonts w:hint="eastAsia"/>
          <w:b/>
          <w:sz w:val="28"/>
          <w:szCs w:val="28"/>
        </w:rPr>
        <w:t>六</w:t>
      </w:r>
      <w:r>
        <w:rPr>
          <w:b/>
          <w:sz w:val="28"/>
          <w:szCs w:val="28"/>
        </w:rPr>
        <w:t>、</w:t>
      </w:r>
      <w:r>
        <w:rPr>
          <w:rFonts w:hint="eastAsia"/>
          <w:b/>
          <w:sz w:val="28"/>
          <w:szCs w:val="28"/>
        </w:rPr>
        <w:t>有关说明</w:t>
      </w:r>
    </w:p>
    <w:p>
      <w:pPr>
        <w:spacing w:line="360" w:lineRule="auto"/>
        <w:ind w:firstLine="482" w:firstLineChars="200"/>
        <w:rPr>
          <w:rFonts w:hint="eastAsia"/>
          <w:b/>
          <w:color w:val="000000"/>
          <w:sz w:val="24"/>
        </w:rPr>
      </w:pPr>
      <w:r>
        <w:rPr>
          <w:rFonts w:hint="eastAsia"/>
          <w:b/>
          <w:color w:val="000000"/>
          <w:sz w:val="24"/>
        </w:rPr>
        <w:t>（一）持续改进</w:t>
      </w:r>
    </w:p>
    <w:p>
      <w:pPr>
        <w:autoSpaceDE w:val="0"/>
        <w:autoSpaceDN w:val="0"/>
        <w:adjustRightInd w:val="0"/>
        <w:spacing w:line="360" w:lineRule="auto"/>
        <w:ind w:firstLine="480" w:firstLineChars="200"/>
        <w:jc w:val="left"/>
        <w:rPr>
          <w:kern w:val="0"/>
          <w:sz w:val="24"/>
          <w:szCs w:val="21"/>
        </w:rPr>
      </w:pPr>
      <w:r>
        <w:rPr>
          <w:rFonts w:hint="eastAsia"/>
          <w:kern w:val="0"/>
          <w:sz w:val="24"/>
          <w:szCs w:val="21"/>
        </w:rPr>
        <w:t>本课程根据课后作业、考勤、期末考试等考核情况，以及学生、教学督导的反馈意见，及时对教学中不足之处进行改进，并在下一轮课程教学中改进提高。针对课程目标设计出课程考核的方式、内容和评分标准，确保课程内容与教学方式能有效实现课程目标，使得考核结果能够证明课程目标达成。</w:t>
      </w:r>
    </w:p>
    <w:p>
      <w:pPr>
        <w:spacing w:line="360" w:lineRule="auto"/>
        <w:ind w:firstLine="482" w:firstLineChars="200"/>
        <w:rPr>
          <w:rFonts w:hint="eastAsia"/>
          <w:b/>
          <w:color w:val="000000"/>
          <w:sz w:val="24"/>
        </w:rPr>
      </w:pPr>
      <w:r>
        <w:rPr>
          <w:rFonts w:hint="eastAsia"/>
          <w:b/>
          <w:color w:val="000000"/>
          <w:sz w:val="24"/>
        </w:rPr>
        <w:t>（二）</w:t>
      </w:r>
      <w:r>
        <w:rPr>
          <w:b/>
          <w:color w:val="000000"/>
          <w:sz w:val="24"/>
        </w:rPr>
        <w:t>参考书目及学习资料</w:t>
      </w:r>
    </w:p>
    <w:p>
      <w:pPr>
        <w:autoSpaceDE w:val="0"/>
        <w:autoSpaceDN w:val="0"/>
        <w:adjustRightInd w:val="0"/>
        <w:spacing w:line="360" w:lineRule="auto"/>
        <w:ind w:firstLine="480" w:firstLineChars="200"/>
        <w:jc w:val="left"/>
        <w:rPr>
          <w:rFonts w:hint="eastAsia"/>
          <w:kern w:val="0"/>
          <w:sz w:val="24"/>
          <w:szCs w:val="21"/>
        </w:rPr>
      </w:pPr>
      <w:r>
        <w:rPr>
          <w:rFonts w:hint="eastAsia"/>
          <w:kern w:val="0"/>
          <w:sz w:val="24"/>
          <w:szCs w:val="21"/>
        </w:rPr>
        <w:t>《化工原理》（第</w:t>
      </w:r>
      <w:r>
        <w:rPr>
          <w:rFonts w:hint="eastAsia"/>
          <w:kern w:val="0"/>
          <w:sz w:val="24"/>
          <w:szCs w:val="21"/>
          <w:lang w:eastAsia="zh-CN"/>
        </w:rPr>
        <w:t>四</w:t>
      </w:r>
      <w:r>
        <w:rPr>
          <w:rFonts w:hint="eastAsia"/>
          <w:kern w:val="0"/>
          <w:sz w:val="24"/>
          <w:szCs w:val="21"/>
        </w:rPr>
        <w:t>版），</w:t>
      </w:r>
      <w:r>
        <w:rPr>
          <w:rFonts w:hint="eastAsia"/>
          <w:kern w:val="0"/>
          <w:sz w:val="24"/>
          <w:szCs w:val="21"/>
          <w:lang w:eastAsia="zh-CN"/>
        </w:rPr>
        <w:t>柴诚敬，贾绍义</w:t>
      </w:r>
      <w:r>
        <w:rPr>
          <w:rFonts w:hint="eastAsia"/>
          <w:kern w:val="0"/>
          <w:sz w:val="24"/>
          <w:szCs w:val="21"/>
        </w:rPr>
        <w:t>主编，</w:t>
      </w:r>
      <w:r>
        <w:rPr>
          <w:rFonts w:hint="eastAsia"/>
          <w:kern w:val="0"/>
          <w:sz w:val="24"/>
          <w:szCs w:val="21"/>
          <w:lang w:eastAsia="zh-CN"/>
        </w:rPr>
        <w:t>高等教育</w:t>
      </w:r>
      <w:r>
        <w:rPr>
          <w:rFonts w:hint="eastAsia"/>
          <w:kern w:val="0"/>
          <w:sz w:val="24"/>
          <w:szCs w:val="21"/>
        </w:rPr>
        <w:t>出版社，201</w:t>
      </w:r>
      <w:r>
        <w:rPr>
          <w:rFonts w:hint="eastAsia"/>
          <w:kern w:val="0"/>
          <w:sz w:val="24"/>
          <w:szCs w:val="21"/>
          <w:lang w:val="en-US" w:eastAsia="zh-CN"/>
        </w:rPr>
        <w:t>6</w:t>
      </w:r>
    </w:p>
    <w:p>
      <w:pPr>
        <w:autoSpaceDE w:val="0"/>
        <w:autoSpaceDN w:val="0"/>
        <w:adjustRightInd w:val="0"/>
        <w:spacing w:line="360" w:lineRule="auto"/>
        <w:ind w:firstLine="480" w:firstLineChars="200"/>
        <w:jc w:val="left"/>
        <w:rPr>
          <w:rFonts w:hint="eastAsia"/>
          <w:kern w:val="0"/>
          <w:sz w:val="24"/>
          <w:szCs w:val="21"/>
        </w:rPr>
      </w:pPr>
      <w:r>
        <w:rPr>
          <w:rFonts w:hint="eastAsia"/>
          <w:kern w:val="0"/>
          <w:sz w:val="24"/>
          <w:szCs w:val="21"/>
        </w:rPr>
        <w:t>《化工原理》（第三版），杨祖荣主编，化学工业出版社，2014</w:t>
      </w:r>
    </w:p>
    <w:p>
      <w:pPr>
        <w:autoSpaceDE w:val="0"/>
        <w:autoSpaceDN w:val="0"/>
        <w:adjustRightInd w:val="0"/>
        <w:spacing w:line="360" w:lineRule="auto"/>
        <w:ind w:firstLine="480" w:firstLineChars="200"/>
        <w:jc w:val="left"/>
        <w:rPr>
          <w:rFonts w:hint="eastAsia"/>
          <w:kern w:val="0"/>
          <w:sz w:val="24"/>
          <w:szCs w:val="21"/>
        </w:rPr>
      </w:pPr>
      <w:r>
        <w:rPr>
          <w:rFonts w:hint="eastAsia"/>
          <w:kern w:val="0"/>
          <w:sz w:val="24"/>
          <w:szCs w:val="21"/>
        </w:rPr>
        <w:t>《化工原理》（第四版），管国峰，赵汝博主编，化学工业出版社，2015</w:t>
      </w:r>
    </w:p>
    <w:p>
      <w:pPr>
        <w:autoSpaceDE w:val="0"/>
        <w:autoSpaceDN w:val="0"/>
        <w:adjustRightInd w:val="0"/>
        <w:spacing w:line="360" w:lineRule="auto"/>
        <w:ind w:firstLine="480" w:firstLineChars="200"/>
        <w:jc w:val="left"/>
        <w:rPr>
          <w:rFonts w:hint="eastAsia"/>
          <w:kern w:val="0"/>
          <w:sz w:val="24"/>
          <w:szCs w:val="21"/>
        </w:rPr>
      </w:pPr>
      <w:r>
        <w:rPr>
          <w:rFonts w:hint="eastAsia"/>
          <w:kern w:val="0"/>
          <w:sz w:val="24"/>
          <w:szCs w:val="21"/>
        </w:rPr>
        <w:t>《化工原理课程学习指导》（第二版），丁忠伟主编，化学工业出版社， 2014</w:t>
      </w:r>
    </w:p>
    <w:p>
      <w:pPr>
        <w:spacing w:line="400" w:lineRule="exact"/>
        <w:ind w:right="240" w:firstLine="5964" w:firstLineChars="2485"/>
        <w:jc w:val="right"/>
        <w:rPr>
          <w:rFonts w:hint="eastAsia" w:eastAsia="宋体"/>
          <w:sz w:val="24"/>
          <w:lang w:eastAsia="zh-CN"/>
        </w:rPr>
      </w:pPr>
      <w:r>
        <w:rPr>
          <w:sz w:val="24"/>
        </w:rPr>
        <w:t>执笔人：</w:t>
      </w:r>
      <w:r>
        <w:rPr>
          <w:rFonts w:hint="eastAsia"/>
          <w:sz w:val="24"/>
          <w:lang w:eastAsia="zh-CN"/>
        </w:rPr>
        <w:t>刘宝亮</w:t>
      </w:r>
    </w:p>
    <w:p>
      <w:pPr>
        <w:wordWrap w:val="0"/>
        <w:spacing w:line="400" w:lineRule="exact"/>
        <w:ind w:firstLine="5964" w:firstLineChars="2485"/>
        <w:jc w:val="right"/>
        <w:rPr>
          <w:rFonts w:hint="default" w:eastAsia="宋体"/>
          <w:sz w:val="24"/>
          <w:lang w:val="en-US" w:eastAsia="zh-CN"/>
        </w:rPr>
      </w:pPr>
      <w:r>
        <w:rPr>
          <w:rFonts w:hint="eastAsia"/>
          <w:sz w:val="24"/>
        </w:rPr>
        <w:t>审定</w:t>
      </w:r>
      <w:r>
        <w:rPr>
          <w:sz w:val="24"/>
        </w:rPr>
        <w:t>人：</w:t>
      </w:r>
      <w:r>
        <w:rPr>
          <w:rFonts w:hint="eastAsia"/>
          <w:sz w:val="24"/>
          <w:lang w:eastAsia="zh-CN"/>
        </w:rPr>
        <w:t>魏雪姣</w:t>
      </w:r>
      <w:r>
        <w:rPr>
          <w:rFonts w:hint="eastAsia"/>
          <w:sz w:val="24"/>
          <w:lang w:val="en-US" w:eastAsia="zh-CN"/>
        </w:rPr>
        <w:t xml:space="preserve">  </w:t>
      </w:r>
    </w:p>
    <w:p>
      <w:pPr>
        <w:wordWrap w:val="0"/>
        <w:spacing w:line="400" w:lineRule="exact"/>
        <w:ind w:firstLine="5964" w:firstLineChars="2485"/>
        <w:jc w:val="center"/>
        <w:rPr>
          <w:rFonts w:hint="eastAsia"/>
          <w:sz w:val="24"/>
          <w:lang w:val="en-US" w:eastAsia="zh-CN"/>
        </w:rPr>
      </w:pPr>
      <w:r>
        <w:rPr>
          <w:rFonts w:hint="eastAsia"/>
          <w:sz w:val="24"/>
          <w:lang w:val="en-US" w:eastAsia="zh-CN"/>
        </w:rPr>
        <w:t xml:space="preserve">   </w:t>
      </w:r>
      <w:r>
        <w:rPr>
          <w:sz w:val="24"/>
        </w:rPr>
        <w:t>批准人：</w:t>
      </w:r>
      <w:r>
        <w:rPr>
          <w:rFonts w:hint="eastAsia"/>
          <w:sz w:val="24"/>
          <w:lang w:eastAsia="zh-CN"/>
        </w:rPr>
        <w:t>吴泽颖</w:t>
      </w:r>
      <w:r>
        <w:rPr>
          <w:rFonts w:hint="eastAsia"/>
          <w:sz w:val="24"/>
          <w:lang w:val="en-US" w:eastAsia="zh-CN"/>
        </w:rPr>
        <w:t xml:space="preserve"> </w:t>
      </w:r>
    </w:p>
    <w:p>
      <w:pPr>
        <w:wordWrap w:val="0"/>
        <w:spacing w:line="400" w:lineRule="exact"/>
        <w:ind w:firstLine="5964" w:firstLineChars="2485"/>
        <w:jc w:val="right"/>
        <w:rPr>
          <w:rFonts w:hint="default" w:eastAsia="宋体"/>
          <w:sz w:val="24"/>
          <w:lang w:val="en-US" w:eastAsia="zh-CN"/>
        </w:rPr>
      </w:pPr>
      <w:r>
        <w:rPr>
          <w:rFonts w:hint="eastAsia"/>
          <w:sz w:val="24"/>
        </w:rPr>
        <w:t>批准时间</w:t>
      </w:r>
      <w:r>
        <w:rPr>
          <w:rFonts w:hint="eastAsia"/>
          <w:sz w:val="24"/>
          <w:lang w:eastAsia="zh-CN"/>
        </w:rPr>
        <w:t>：</w:t>
      </w:r>
      <w:r>
        <w:rPr>
          <w:rFonts w:hint="eastAsia"/>
          <w:sz w:val="24"/>
        </w:rPr>
        <w:t>202</w:t>
      </w:r>
      <w:r>
        <w:rPr>
          <w:rFonts w:hint="eastAsia"/>
          <w:sz w:val="24"/>
          <w:lang w:val="en-US" w:eastAsia="zh-CN"/>
        </w:rPr>
        <w:t>1</w:t>
      </w:r>
      <w:r>
        <w:rPr>
          <w:rFonts w:hint="eastAsia"/>
          <w:sz w:val="24"/>
        </w:rPr>
        <w:t>.9.1</w:t>
      </w:r>
      <w:r>
        <w:rPr>
          <w:rFonts w:hint="eastAsia"/>
          <w:sz w:val="24"/>
          <w:lang w:val="en-US" w:eastAsia="zh-CN"/>
        </w:rPr>
        <w:t xml:space="preserve"> </w:t>
      </w:r>
    </w:p>
    <w:p>
      <w:pPr>
        <w:autoSpaceDE w:val="0"/>
        <w:autoSpaceDN w:val="0"/>
        <w:adjustRightInd w:val="0"/>
        <w:spacing w:line="360" w:lineRule="auto"/>
        <w:jc w:val="left"/>
        <w:rPr>
          <w:kern w:val="0"/>
          <w:sz w:val="24"/>
          <w:szCs w:val="21"/>
        </w:rPr>
      </w:pPr>
    </w:p>
    <w:p>
      <w:pPr>
        <w:spacing w:line="360" w:lineRule="auto"/>
        <w:rPr>
          <w:rFonts w:hint="eastAsia"/>
          <w:kern w:val="0"/>
          <w:sz w:val="24"/>
          <w:szCs w:val="21"/>
        </w:rPr>
      </w:pPr>
    </w:p>
    <w:p>
      <w:pPr>
        <w:spacing w:line="360" w:lineRule="auto"/>
        <w:rPr>
          <w:rFonts w:hint="eastAsia"/>
          <w:kern w:val="0"/>
          <w:sz w:val="24"/>
          <w:szCs w:val="21"/>
        </w:rPr>
      </w:pPr>
    </w:p>
    <w:p>
      <w:pPr>
        <w:spacing w:line="360" w:lineRule="auto"/>
        <w:rPr>
          <w:rFonts w:hint="eastAsia"/>
          <w:kern w:val="0"/>
          <w:sz w:val="24"/>
          <w:szCs w:val="21"/>
        </w:rPr>
      </w:pPr>
    </w:p>
    <w:p>
      <w:pPr>
        <w:spacing w:line="360" w:lineRule="auto"/>
        <w:rPr>
          <w:rFonts w:hint="eastAsia"/>
          <w:kern w:val="0"/>
          <w:sz w:val="24"/>
          <w:szCs w:val="21"/>
        </w:rPr>
      </w:pPr>
    </w:p>
    <w:p>
      <w:pPr>
        <w:spacing w:line="360" w:lineRule="auto"/>
        <w:rPr>
          <w:rFonts w:hint="eastAsia"/>
          <w:kern w:val="0"/>
          <w:sz w:val="24"/>
          <w:szCs w:val="21"/>
        </w:rPr>
      </w:pPr>
    </w:p>
    <w:p>
      <w:pPr>
        <w:pStyle w:val="3"/>
        <w:bidi w:val="0"/>
        <w:jc w:val="center"/>
        <w:rPr>
          <w:rFonts w:hint="eastAsia"/>
        </w:rPr>
      </w:pPr>
      <w:bookmarkStart w:id="35" w:name="_Toc1103"/>
      <w:bookmarkStart w:id="36" w:name="_Toc13998"/>
      <w:bookmarkStart w:id="37" w:name="_Toc23961"/>
      <w:bookmarkStart w:id="38" w:name="_Toc57364592"/>
      <w:bookmarkStart w:id="39" w:name="_Toc20014"/>
      <w:bookmarkStart w:id="40" w:name="_Toc12620"/>
      <w:bookmarkStart w:id="41" w:name="_Toc2448"/>
      <w:bookmarkStart w:id="42" w:name="_Toc4100"/>
      <w:bookmarkStart w:id="43" w:name="_Toc3101"/>
      <w:bookmarkStart w:id="44" w:name="_Toc15884"/>
      <w:bookmarkStart w:id="45" w:name="_Toc3851"/>
      <w:bookmarkStart w:id="46" w:name="_Toc57384843"/>
      <w:bookmarkStart w:id="47" w:name="_Toc19172"/>
      <w:bookmarkStart w:id="48" w:name="_Toc6769"/>
      <w:bookmarkStart w:id="49" w:name="_Toc5126"/>
      <w:bookmarkStart w:id="50" w:name="_Toc29024"/>
      <w:bookmarkStart w:id="51" w:name="_Toc21466"/>
      <w:bookmarkStart w:id="52" w:name="_Toc13122"/>
      <w:bookmarkStart w:id="53" w:name="_Toc25232"/>
      <w:bookmarkStart w:id="54" w:name="_Toc57385464"/>
      <w:bookmarkStart w:id="55" w:name="_Toc57387665"/>
      <w:bookmarkStart w:id="56" w:name="_Toc1257"/>
      <w:bookmarkStart w:id="57" w:name="_Toc16957"/>
      <w:bookmarkStart w:id="58" w:name="_Toc3856"/>
      <w:bookmarkStart w:id="59" w:name="_Toc57387396"/>
      <w:bookmarkStart w:id="60" w:name="_Toc17502"/>
      <w:bookmarkStart w:id="61" w:name="_Toc32558"/>
      <w:bookmarkStart w:id="62" w:name="_Toc21912"/>
      <w:bookmarkStart w:id="63" w:name="_Toc22019"/>
      <w:bookmarkStart w:id="64" w:name="_Toc27877"/>
      <w:bookmarkStart w:id="65" w:name="_Toc18253"/>
      <w:bookmarkStart w:id="66" w:name="_Toc16116"/>
      <w:bookmarkStart w:id="67" w:name="_Toc29506"/>
      <w:bookmarkStart w:id="68" w:name="_Toc27898"/>
      <w:bookmarkStart w:id="69" w:name="_Toc17693"/>
      <w:bookmarkStart w:id="70" w:name="_Toc19585"/>
      <w:bookmarkStart w:id="71" w:name="_Toc3010"/>
      <w:bookmarkStart w:id="72" w:name="_Toc13999"/>
      <w:bookmarkStart w:id="73" w:name="_Toc9409"/>
      <w:bookmarkStart w:id="74" w:name="_Toc13039"/>
      <w:bookmarkStart w:id="75" w:name="_Toc57384450"/>
      <w:bookmarkStart w:id="76" w:name="_Toc24102"/>
      <w:bookmarkStart w:id="77" w:name="_Toc27897"/>
      <w:bookmarkStart w:id="78" w:name="_Toc25438"/>
      <w:bookmarkStart w:id="79" w:name="_Toc18970"/>
      <w:bookmarkStart w:id="80" w:name="_Toc15467"/>
      <w:bookmarkStart w:id="81" w:name="_Toc57386046"/>
      <w:bookmarkStart w:id="82" w:name="_Toc31270"/>
      <w:bookmarkStart w:id="83" w:name="_Toc30514"/>
      <w:bookmarkStart w:id="84" w:name="_Toc21017"/>
      <w:bookmarkStart w:id="85" w:name="_Toc28786"/>
      <w:bookmarkStart w:id="86" w:name="_Toc27534"/>
      <w:bookmarkStart w:id="87" w:name="_Toc31546"/>
      <w:bookmarkStart w:id="88" w:name="_Toc19920"/>
      <w:bookmarkStart w:id="89" w:name="_Toc22154"/>
      <w:bookmarkStart w:id="90" w:name="_Toc28423"/>
      <w:bookmarkStart w:id="91" w:name="_Toc17385"/>
      <w:bookmarkStart w:id="92" w:name="_Toc3199"/>
      <w:bookmarkStart w:id="93" w:name="_Toc57621323"/>
      <w:bookmarkStart w:id="94" w:name="_Toc7884"/>
      <w:bookmarkStart w:id="95" w:name="_Toc12655"/>
      <w:bookmarkStart w:id="96" w:name="_Toc1123"/>
      <w:bookmarkStart w:id="97" w:name="_Toc30547"/>
      <w:bookmarkStart w:id="98" w:name="_Toc26306"/>
      <w:bookmarkStart w:id="99" w:name="_Toc878"/>
      <w:bookmarkStart w:id="100" w:name="_Toc6135"/>
      <w:r>
        <w:rPr>
          <w:rFonts w:hint="eastAsia"/>
        </w:rPr>
        <w:t>化工原理实验教学大纲</w:t>
      </w:r>
      <w:bookmarkEnd w:id="35"/>
      <w:bookmarkEnd w:id="36"/>
    </w:p>
    <w:p>
      <w:pPr>
        <w:bidi w:val="0"/>
        <w:jc w:val="center"/>
        <w:rPr>
          <w:sz w:val="28"/>
          <w:szCs w:val="28"/>
        </w:rPr>
      </w:pPr>
      <w:bookmarkStart w:id="101" w:name="_Toc31894"/>
      <w:r>
        <w:rPr>
          <w:sz w:val="28"/>
          <w:szCs w:val="28"/>
        </w:rPr>
        <w:t>（Experiment of Chemical Engineering</w:t>
      </w:r>
      <w:r>
        <w:rPr>
          <w:rFonts w:hint="eastAsia"/>
          <w:sz w:val="28"/>
          <w:szCs w:val="28"/>
        </w:rPr>
        <w:t xml:space="preserve"> P</w:t>
      </w:r>
      <w:r>
        <w:rPr>
          <w:sz w:val="28"/>
          <w:szCs w:val="28"/>
        </w:rPr>
        <w:t>rinciple）</w:t>
      </w:r>
      <w:bookmarkEnd w:id="101"/>
    </w:p>
    <w:p>
      <w:pPr>
        <w:spacing w:line="360" w:lineRule="auto"/>
        <w:ind w:firstLine="551" w:firstLineChars="196"/>
        <w:rPr>
          <w:rFonts w:hint="eastAsia"/>
          <w:b/>
          <w:sz w:val="28"/>
          <w:szCs w:val="28"/>
        </w:rPr>
      </w:pPr>
      <w:r>
        <w:rPr>
          <w:b/>
          <w:sz w:val="28"/>
          <w:szCs w:val="28"/>
        </w:rPr>
        <w:t>一、课程概况</w:t>
      </w:r>
    </w:p>
    <w:p>
      <w:pPr>
        <w:spacing w:line="360" w:lineRule="auto"/>
        <w:ind w:firstLine="482" w:firstLineChars="200"/>
        <w:rPr>
          <w:rFonts w:hint="default" w:eastAsia="宋体"/>
          <w:b/>
          <w:sz w:val="24"/>
          <w:szCs w:val="24"/>
          <w:lang w:val="en-US" w:eastAsia="zh-CN"/>
        </w:rPr>
      </w:pPr>
      <w:r>
        <w:rPr>
          <w:b/>
          <w:bCs/>
          <w:kern w:val="0"/>
          <w:sz w:val="24"/>
        </w:rPr>
        <w:t>课程代码</w:t>
      </w:r>
      <w:r>
        <w:rPr>
          <w:b/>
          <w:kern w:val="0"/>
          <w:sz w:val="24"/>
        </w:rPr>
        <w:t>：</w:t>
      </w:r>
      <w:r>
        <w:rPr>
          <w:rFonts w:hint="eastAsia"/>
          <w:b/>
          <w:kern w:val="0"/>
          <w:sz w:val="24"/>
          <w:lang w:val="en-US" w:eastAsia="zh-CN"/>
        </w:rPr>
        <w:t>2501607</w:t>
      </w:r>
    </w:p>
    <w:p>
      <w:pPr>
        <w:spacing w:line="360" w:lineRule="auto"/>
        <w:ind w:firstLine="482" w:firstLineChars="200"/>
        <w:rPr>
          <w:kern w:val="0"/>
          <w:sz w:val="24"/>
        </w:rPr>
      </w:pPr>
      <w:r>
        <w:rPr>
          <w:b/>
          <w:bCs/>
          <w:kern w:val="0"/>
          <w:sz w:val="24"/>
        </w:rPr>
        <w:t>学    分：</w:t>
      </w:r>
      <w:r>
        <w:rPr>
          <w:rFonts w:hint="eastAsia"/>
          <w:b/>
          <w:bCs/>
          <w:kern w:val="0"/>
          <w:sz w:val="24"/>
          <w:lang w:val="en-US" w:eastAsia="zh-CN"/>
        </w:rPr>
        <w:t>1.5</w:t>
      </w:r>
      <w:r>
        <w:rPr>
          <w:kern w:val="0"/>
          <w:sz w:val="24"/>
        </w:rPr>
        <w:t xml:space="preserve"> </w:t>
      </w:r>
    </w:p>
    <w:p>
      <w:pPr>
        <w:spacing w:line="360" w:lineRule="auto"/>
        <w:ind w:firstLine="482" w:firstLineChars="200"/>
        <w:rPr>
          <w:rFonts w:hint="default" w:eastAsia="宋体"/>
          <w:bCs/>
          <w:kern w:val="0"/>
          <w:sz w:val="24"/>
          <w:lang w:val="en-US" w:eastAsia="zh-CN"/>
        </w:rPr>
      </w:pPr>
      <w:r>
        <w:rPr>
          <w:b/>
          <w:bCs/>
          <w:kern w:val="0"/>
          <w:sz w:val="24"/>
        </w:rPr>
        <w:t>学    时：</w:t>
      </w:r>
      <w:r>
        <w:rPr>
          <w:rFonts w:hint="eastAsia"/>
          <w:b/>
          <w:bCs/>
          <w:kern w:val="0"/>
          <w:sz w:val="24"/>
          <w:lang w:val="en-US" w:eastAsia="zh-CN"/>
        </w:rPr>
        <w:t>48</w:t>
      </w:r>
    </w:p>
    <w:p>
      <w:pPr>
        <w:spacing w:line="360" w:lineRule="exact"/>
        <w:ind w:firstLine="482" w:firstLineChars="200"/>
        <w:rPr>
          <w:rFonts w:hint="eastAsia"/>
          <w:sz w:val="24"/>
        </w:rPr>
      </w:pPr>
      <w:r>
        <w:rPr>
          <w:b/>
          <w:bCs/>
          <w:kern w:val="0"/>
          <w:sz w:val="24"/>
        </w:rPr>
        <w:t>先修课程：</w:t>
      </w:r>
      <w:r>
        <w:rPr>
          <w:rFonts w:hint="eastAsia"/>
          <w:color w:val="000000"/>
          <w:sz w:val="24"/>
        </w:rPr>
        <w:t>高等数学、大学物理、</w:t>
      </w:r>
      <w:r>
        <w:rPr>
          <w:rFonts w:hint="eastAsia"/>
          <w:color w:val="000000"/>
          <w:sz w:val="24"/>
          <w:lang w:val="en-US" w:eastAsia="zh-CN"/>
        </w:rPr>
        <w:t>无机化学、有机化学、</w:t>
      </w:r>
      <w:r>
        <w:rPr>
          <w:rFonts w:hint="eastAsia"/>
          <w:color w:val="000000"/>
          <w:sz w:val="24"/>
        </w:rPr>
        <w:t>物理化学、物理化学实验、化工原理</w:t>
      </w:r>
      <w:r>
        <w:rPr>
          <w:rFonts w:hint="eastAsia"/>
          <w:sz w:val="24"/>
        </w:rPr>
        <w:t>等。</w:t>
      </w:r>
    </w:p>
    <w:p>
      <w:pPr>
        <w:spacing w:line="360" w:lineRule="auto"/>
        <w:ind w:firstLine="482" w:firstLineChars="200"/>
        <w:rPr>
          <w:kern w:val="0"/>
          <w:sz w:val="24"/>
        </w:rPr>
      </w:pPr>
      <w:r>
        <w:rPr>
          <w:b/>
          <w:bCs/>
          <w:kern w:val="0"/>
          <w:sz w:val="24"/>
        </w:rPr>
        <w:t>适用专业：</w:t>
      </w:r>
      <w:r>
        <w:rPr>
          <w:rFonts w:hint="eastAsia"/>
          <w:sz w:val="24"/>
          <w:lang w:val="en-US" w:eastAsia="zh-CN"/>
        </w:rPr>
        <w:t>化学工程与工艺</w:t>
      </w:r>
      <w:r>
        <w:rPr>
          <w:kern w:val="0"/>
          <w:sz w:val="24"/>
        </w:rPr>
        <w:t xml:space="preserve">                          </w:t>
      </w:r>
    </w:p>
    <w:p>
      <w:pPr>
        <w:spacing w:line="360" w:lineRule="auto"/>
        <w:ind w:firstLine="482" w:firstLineChars="200"/>
        <w:rPr>
          <w:rFonts w:hint="default" w:eastAsia="宋体"/>
          <w:b/>
          <w:bCs/>
          <w:kern w:val="0"/>
          <w:sz w:val="24"/>
          <w:lang w:val="en-US" w:eastAsia="zh-CN"/>
        </w:rPr>
      </w:pPr>
      <w:r>
        <w:rPr>
          <w:b/>
          <w:bCs/>
          <w:kern w:val="0"/>
          <w:sz w:val="24"/>
        </w:rPr>
        <w:t>教</w:t>
      </w:r>
      <w:r>
        <w:rPr>
          <w:rFonts w:hint="eastAsia"/>
          <w:b/>
          <w:bCs/>
          <w:kern w:val="0"/>
          <w:sz w:val="24"/>
          <w:lang w:val="en-US" w:eastAsia="zh-CN"/>
        </w:rPr>
        <w:t xml:space="preserve">    </w:t>
      </w:r>
      <w:r>
        <w:rPr>
          <w:b/>
          <w:bCs/>
          <w:kern w:val="0"/>
          <w:sz w:val="24"/>
        </w:rPr>
        <w:t>材：</w:t>
      </w:r>
      <w:r>
        <w:rPr>
          <w:kern w:val="0"/>
          <w:sz w:val="24"/>
        </w:rPr>
        <w:t>《</w:t>
      </w:r>
      <w:r>
        <w:rPr>
          <w:rFonts w:hint="eastAsia"/>
          <w:kern w:val="0"/>
          <w:sz w:val="24"/>
          <w:lang w:val="en-US" w:eastAsia="zh-CN"/>
        </w:rPr>
        <w:t>化工原理实验</w:t>
      </w:r>
      <w:r>
        <w:rPr>
          <w:kern w:val="0"/>
          <w:sz w:val="24"/>
        </w:rPr>
        <w:t>》</w:t>
      </w:r>
      <w:r>
        <w:rPr>
          <w:rFonts w:hint="eastAsia"/>
          <w:kern w:val="0"/>
          <w:sz w:val="24"/>
          <w:lang w:eastAsia="zh-CN"/>
        </w:rPr>
        <w:t>，居沈贵等，化学工业出版社，</w:t>
      </w:r>
      <w:r>
        <w:rPr>
          <w:rFonts w:hint="eastAsia"/>
          <w:kern w:val="0"/>
          <w:sz w:val="24"/>
          <w:lang w:val="en-US" w:eastAsia="zh-CN"/>
        </w:rPr>
        <w:t>2020.10</w:t>
      </w:r>
    </w:p>
    <w:p>
      <w:pPr>
        <w:spacing w:line="360" w:lineRule="auto"/>
        <w:ind w:firstLine="1680" w:firstLineChars="700"/>
        <w:rPr>
          <w:rFonts w:hint="eastAsia" w:eastAsia="宋体"/>
          <w:kern w:val="0"/>
          <w:sz w:val="24"/>
          <w:lang w:val="en-US" w:eastAsia="zh-CN"/>
        </w:rPr>
      </w:pPr>
      <w:r>
        <w:rPr>
          <w:kern w:val="0"/>
          <w:sz w:val="24"/>
        </w:rPr>
        <w:t>《</w:t>
      </w:r>
      <w:r>
        <w:rPr>
          <w:rFonts w:hint="eastAsia"/>
          <w:kern w:val="0"/>
          <w:sz w:val="24"/>
          <w:lang w:val="en-US" w:eastAsia="zh-CN"/>
        </w:rPr>
        <w:t>化工原理实验</w:t>
      </w:r>
      <w:r>
        <w:rPr>
          <w:kern w:val="0"/>
          <w:sz w:val="24"/>
        </w:rPr>
        <w:t>指导书》，</w:t>
      </w:r>
      <w:r>
        <w:rPr>
          <w:rFonts w:hint="eastAsia" w:ascii="宋体" w:hAnsi="宋体"/>
          <w:bCs/>
          <w:kern w:val="0"/>
          <w:sz w:val="24"/>
          <w:lang w:val="en-US" w:eastAsia="zh-CN"/>
        </w:rPr>
        <w:t>刘宝亮等</w:t>
      </w:r>
      <w:r>
        <w:rPr>
          <w:kern w:val="0"/>
          <w:sz w:val="24"/>
        </w:rPr>
        <w:t>，自编</w:t>
      </w:r>
    </w:p>
    <w:p>
      <w:pPr>
        <w:spacing w:line="360" w:lineRule="auto"/>
        <w:ind w:firstLine="482" w:firstLineChars="200"/>
        <w:rPr>
          <w:kern w:val="0"/>
          <w:sz w:val="24"/>
        </w:rPr>
      </w:pPr>
      <w:r>
        <w:rPr>
          <w:b/>
          <w:bCs/>
          <w:kern w:val="0"/>
          <w:sz w:val="24"/>
        </w:rPr>
        <w:t>课程归口：</w:t>
      </w:r>
      <w:r>
        <w:rPr>
          <w:rFonts w:hint="eastAsia" w:ascii="宋体" w:hAnsi="宋体"/>
          <w:kern w:val="0"/>
          <w:sz w:val="24"/>
          <w:lang w:val="en-US" w:eastAsia="zh-CN"/>
        </w:rPr>
        <w:t>化工与材料</w:t>
      </w:r>
      <w:r>
        <w:rPr>
          <w:kern w:val="0"/>
          <w:sz w:val="24"/>
        </w:rPr>
        <w:t>学院</w:t>
      </w:r>
    </w:p>
    <w:p>
      <w:pPr>
        <w:spacing w:line="360" w:lineRule="auto"/>
        <w:ind w:firstLine="482" w:firstLineChars="200"/>
        <w:rPr>
          <w:kern w:val="0"/>
          <w:sz w:val="24"/>
        </w:rPr>
      </w:pPr>
      <w:r>
        <w:rPr>
          <w:rFonts w:hint="eastAsia"/>
          <w:b/>
          <w:bCs/>
          <w:sz w:val="24"/>
          <w:lang w:val="en-US" w:eastAsia="zh-CN"/>
        </w:rPr>
        <w:t>课程团队：</w:t>
      </w:r>
      <w:r>
        <w:rPr>
          <w:rFonts w:hint="eastAsia"/>
          <w:b w:val="0"/>
          <w:bCs w:val="0"/>
          <w:sz w:val="24"/>
          <w:lang w:val="en-US" w:eastAsia="zh-CN"/>
        </w:rPr>
        <w:t>刘宝亮、曹桂萍、董爽、蒋夫花</w:t>
      </w:r>
    </w:p>
    <w:p>
      <w:pPr>
        <w:spacing w:line="360" w:lineRule="auto"/>
        <w:ind w:firstLine="482" w:firstLineChars="200"/>
        <w:rPr>
          <w:kern w:val="0"/>
          <w:sz w:val="24"/>
        </w:rPr>
      </w:pPr>
      <w:r>
        <w:rPr>
          <w:b/>
          <w:bCs/>
          <w:kern w:val="0"/>
          <w:sz w:val="24"/>
        </w:rPr>
        <w:t>课程的性质与任务</w:t>
      </w:r>
      <w:r>
        <w:rPr>
          <w:rFonts w:hint="eastAsia"/>
          <w:b/>
          <w:bCs/>
          <w:kern w:val="0"/>
          <w:sz w:val="24"/>
        </w:rPr>
        <w:t>：</w:t>
      </w:r>
      <w:r>
        <w:rPr>
          <w:rFonts w:hint="eastAsia"/>
          <w:kern w:val="0"/>
          <w:sz w:val="24"/>
        </w:rPr>
        <w:t>本</w:t>
      </w:r>
      <w:r>
        <w:rPr>
          <w:kern w:val="0"/>
          <w:sz w:val="24"/>
        </w:rPr>
        <w:t>课程设计是</w:t>
      </w:r>
      <w:r>
        <w:rPr>
          <w:rFonts w:hint="eastAsia"/>
          <w:kern w:val="0"/>
          <w:sz w:val="24"/>
          <w:lang w:val="en-US" w:eastAsia="zh-CN"/>
        </w:rPr>
        <w:t>化学工程与工艺</w:t>
      </w:r>
      <w:r>
        <w:rPr>
          <w:kern w:val="0"/>
          <w:sz w:val="24"/>
        </w:rPr>
        <w:t>专业</w:t>
      </w:r>
      <w:r>
        <w:rPr>
          <w:rFonts w:hint="eastAsia"/>
          <w:kern w:val="0"/>
          <w:sz w:val="24"/>
        </w:rPr>
        <w:t>的</w:t>
      </w:r>
      <w:r>
        <w:rPr>
          <w:rFonts w:hint="eastAsia"/>
          <w:kern w:val="0"/>
          <w:sz w:val="24"/>
          <w:lang w:val="en-US" w:eastAsia="zh-CN"/>
        </w:rPr>
        <w:t>专业基础课程</w:t>
      </w:r>
      <w:r>
        <w:rPr>
          <w:kern w:val="0"/>
          <w:sz w:val="24"/>
        </w:rPr>
        <w:t>，</w:t>
      </w:r>
      <w:r>
        <w:rPr>
          <w:rFonts w:hint="eastAsia"/>
          <w:kern w:val="0"/>
          <w:sz w:val="24"/>
          <w:lang w:val="en-US" w:eastAsia="zh-CN"/>
        </w:rPr>
        <w:t>综合运用化工流体力学、热量传递、质量传递的的基本原理与典型设备构造、操作原理、过程计算及实验研究方法等理论知识，进行典型化工设备的实验研究。</w:t>
      </w:r>
      <w:r>
        <w:rPr>
          <w:rFonts w:hint="eastAsia"/>
          <w:kern w:val="0"/>
          <w:sz w:val="24"/>
        </w:rPr>
        <w:t>通过</w:t>
      </w:r>
      <w:r>
        <w:rPr>
          <w:rFonts w:hint="eastAsia"/>
          <w:kern w:val="0"/>
          <w:sz w:val="24"/>
          <w:lang w:val="en-US" w:eastAsia="zh-CN"/>
        </w:rPr>
        <w:t>实验</w:t>
      </w:r>
      <w:r>
        <w:rPr>
          <w:rFonts w:hint="eastAsia"/>
          <w:kern w:val="0"/>
          <w:sz w:val="24"/>
        </w:rPr>
        <w:t>课程的训练，使</w:t>
      </w:r>
      <w:r>
        <w:rPr>
          <w:kern w:val="0"/>
          <w:sz w:val="24"/>
        </w:rPr>
        <w:t>学生熟悉和掌握</w:t>
      </w:r>
      <w:r>
        <w:rPr>
          <w:rFonts w:hint="eastAsia"/>
          <w:color w:val="000000"/>
          <w:sz w:val="24"/>
          <w:lang w:val="en-US" w:eastAsia="zh-CN"/>
        </w:rPr>
        <w:t>主要</w:t>
      </w:r>
      <w:r>
        <w:rPr>
          <w:rFonts w:hint="eastAsia"/>
          <w:color w:val="000000"/>
          <w:sz w:val="24"/>
        </w:rPr>
        <w:t>化工单元操作的工艺流程、操作条件及参数的测定方法，</w:t>
      </w:r>
      <w:r>
        <w:rPr>
          <w:sz w:val="24"/>
        </w:rPr>
        <w:t>加深对</w:t>
      </w:r>
      <w:r>
        <w:rPr>
          <w:rFonts w:hint="eastAsia"/>
          <w:sz w:val="24"/>
        </w:rPr>
        <w:t>化工原理</w:t>
      </w:r>
      <w:r>
        <w:rPr>
          <w:sz w:val="24"/>
        </w:rPr>
        <w:t>课程中基本概念和理论的理解，</w:t>
      </w:r>
      <w:r>
        <w:rPr>
          <w:kern w:val="0"/>
          <w:sz w:val="24"/>
        </w:rPr>
        <w:t>培养学生</w:t>
      </w:r>
      <w:r>
        <w:rPr>
          <w:rFonts w:hint="eastAsia"/>
          <w:kern w:val="0"/>
          <w:sz w:val="24"/>
        </w:rPr>
        <w:t>在</w:t>
      </w:r>
      <w:r>
        <w:rPr>
          <w:kern w:val="0"/>
          <w:sz w:val="24"/>
        </w:rPr>
        <w:t>解决实际复杂工程问题时应具有的</w:t>
      </w:r>
      <w:r>
        <w:rPr>
          <w:rFonts w:hint="eastAsia"/>
          <w:color w:val="000000"/>
          <w:sz w:val="24"/>
        </w:rPr>
        <w:t>运用工程</w:t>
      </w:r>
      <w:r>
        <w:rPr>
          <w:rFonts w:hint="eastAsia"/>
          <w:color w:val="000000"/>
          <w:sz w:val="24"/>
          <w:lang w:val="en-US" w:eastAsia="zh-CN"/>
        </w:rPr>
        <w:t>理念</w:t>
      </w:r>
      <w:r>
        <w:rPr>
          <w:rFonts w:hint="eastAsia"/>
          <w:color w:val="000000"/>
          <w:sz w:val="24"/>
        </w:rPr>
        <w:t>观察</w:t>
      </w:r>
      <w:r>
        <w:rPr>
          <w:rFonts w:hint="eastAsia"/>
          <w:sz w:val="24"/>
        </w:rPr>
        <w:t>实验现象、</w:t>
      </w:r>
      <w:r>
        <w:rPr>
          <w:rFonts w:hint="eastAsia"/>
          <w:color w:val="000000"/>
          <w:sz w:val="24"/>
        </w:rPr>
        <w:t>处理</w:t>
      </w:r>
      <w:r>
        <w:rPr>
          <w:rFonts w:hint="eastAsia"/>
          <w:color w:val="000000"/>
          <w:sz w:val="24"/>
          <w:lang w:val="en-US" w:eastAsia="zh-CN"/>
        </w:rPr>
        <w:t>与分析</w:t>
      </w:r>
      <w:r>
        <w:rPr>
          <w:rFonts w:hint="eastAsia"/>
          <w:sz w:val="24"/>
        </w:rPr>
        <w:t>实验数据</w:t>
      </w:r>
      <w:r>
        <w:rPr>
          <w:rFonts w:hint="eastAsia"/>
          <w:kern w:val="0"/>
          <w:sz w:val="24"/>
        </w:rPr>
        <w:t>以及</w:t>
      </w:r>
      <w:r>
        <w:rPr>
          <w:kern w:val="0"/>
          <w:sz w:val="24"/>
        </w:rPr>
        <w:t>撰写规范的</w:t>
      </w:r>
      <w:r>
        <w:rPr>
          <w:rFonts w:hint="eastAsia"/>
          <w:kern w:val="0"/>
          <w:sz w:val="24"/>
          <w:lang w:val="en-US" w:eastAsia="zh-CN"/>
        </w:rPr>
        <w:t>实验报告等方面的</w:t>
      </w:r>
      <w:r>
        <w:rPr>
          <w:rFonts w:hint="eastAsia"/>
          <w:sz w:val="24"/>
        </w:rPr>
        <w:t>能力，</w:t>
      </w:r>
      <w:r>
        <w:rPr>
          <w:rFonts w:hint="eastAsia"/>
          <w:bCs/>
          <w:color w:val="000000"/>
          <w:sz w:val="24"/>
        </w:rPr>
        <w:t>培养学生具有辩证思维能力，树立理论联系实际的科学观，</w:t>
      </w:r>
      <w:r>
        <w:rPr>
          <w:kern w:val="0"/>
          <w:sz w:val="24"/>
        </w:rPr>
        <w:t>为后续毕业设计以及从事专业工作</w:t>
      </w:r>
      <w:r>
        <w:rPr>
          <w:rFonts w:hint="eastAsia"/>
          <w:kern w:val="0"/>
          <w:sz w:val="24"/>
        </w:rPr>
        <w:t>奠定</w:t>
      </w:r>
      <w:r>
        <w:rPr>
          <w:kern w:val="0"/>
          <w:sz w:val="24"/>
        </w:rPr>
        <w:t>基础。</w:t>
      </w:r>
    </w:p>
    <w:p>
      <w:pPr>
        <w:spacing w:line="360" w:lineRule="auto"/>
        <w:ind w:firstLine="562" w:firstLineChars="200"/>
        <w:rPr>
          <w:rFonts w:hint="eastAsia"/>
          <w:color w:val="000000"/>
          <w:sz w:val="24"/>
        </w:rPr>
      </w:pPr>
      <w:r>
        <w:rPr>
          <w:rFonts w:hint="eastAsia"/>
          <w:b/>
          <w:sz w:val="28"/>
          <w:szCs w:val="28"/>
        </w:rPr>
        <w:t>二</w:t>
      </w:r>
      <w:r>
        <w:rPr>
          <w:b/>
          <w:sz w:val="28"/>
          <w:szCs w:val="28"/>
        </w:rPr>
        <w:t>、课程目标</w:t>
      </w:r>
      <w:r>
        <w:rPr>
          <w:rFonts w:hint="eastAsia" w:ascii="Times New Roman" w:hAnsi="Times New Roman"/>
          <w:b/>
          <w:sz w:val="28"/>
          <w:szCs w:val="28"/>
        </w:rPr>
        <w:t>及对毕业要求观测点的支撑</w:t>
      </w:r>
    </w:p>
    <w:tbl>
      <w:tblPr>
        <w:tblStyle w:val="1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118"/>
        <w:gridCol w:w="2292"/>
        <w:gridCol w:w="3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38" w:type="dxa"/>
            <w:noWrap/>
            <w:vAlign w:val="center"/>
          </w:tcPr>
          <w:p>
            <w:pPr>
              <w:widowControl/>
              <w:jc w:val="center"/>
              <w:rPr>
                <w:rFonts w:hint="default" w:ascii="Times New Roman" w:hAnsi="Times New Roman" w:cs="Times New Roman"/>
                <w:b/>
                <w:bCs/>
                <w:kern w:val="0"/>
                <w:szCs w:val="21"/>
              </w:rPr>
            </w:pPr>
            <w:r>
              <w:rPr>
                <w:rFonts w:hint="default" w:ascii="Times New Roman" w:hAnsi="Times New Roman" w:cs="Times New Roman"/>
                <w:b/>
                <w:bCs/>
                <w:kern w:val="0"/>
                <w:szCs w:val="21"/>
              </w:rPr>
              <w:t>序号</w:t>
            </w:r>
          </w:p>
        </w:tc>
        <w:tc>
          <w:tcPr>
            <w:tcW w:w="3118" w:type="dxa"/>
            <w:noWrap/>
            <w:vAlign w:val="center"/>
          </w:tcPr>
          <w:p>
            <w:pPr>
              <w:widowControl/>
              <w:jc w:val="center"/>
              <w:rPr>
                <w:rFonts w:hint="default" w:ascii="Times New Roman" w:hAnsi="Times New Roman" w:cs="Times New Roman"/>
                <w:b/>
                <w:bCs/>
                <w:kern w:val="0"/>
                <w:szCs w:val="21"/>
              </w:rPr>
            </w:pPr>
            <w:r>
              <w:rPr>
                <w:rFonts w:hint="default" w:ascii="Times New Roman" w:hAnsi="Times New Roman" w:cs="Times New Roman"/>
                <w:b/>
                <w:bCs/>
                <w:kern w:val="0"/>
                <w:szCs w:val="21"/>
              </w:rPr>
              <w:t>课程目标</w:t>
            </w:r>
          </w:p>
        </w:tc>
        <w:tc>
          <w:tcPr>
            <w:tcW w:w="2292" w:type="dxa"/>
            <w:noWrap/>
            <w:vAlign w:val="center"/>
          </w:tcPr>
          <w:p>
            <w:pPr>
              <w:widowControl/>
              <w:jc w:val="center"/>
              <w:rPr>
                <w:rFonts w:hint="default" w:ascii="Times New Roman" w:hAnsi="Times New Roman" w:cs="Times New Roman"/>
                <w:b/>
                <w:bCs/>
                <w:kern w:val="0"/>
                <w:szCs w:val="21"/>
              </w:rPr>
            </w:pPr>
            <w:r>
              <w:rPr>
                <w:rFonts w:hint="default" w:ascii="Times New Roman" w:hAnsi="Times New Roman" w:cs="Times New Roman"/>
                <w:b/>
                <w:bCs/>
                <w:kern w:val="0"/>
                <w:szCs w:val="21"/>
              </w:rPr>
              <w:t>支撑毕业要求观测点</w:t>
            </w:r>
          </w:p>
        </w:tc>
        <w:tc>
          <w:tcPr>
            <w:tcW w:w="3066" w:type="dxa"/>
            <w:noWrap/>
            <w:vAlign w:val="center"/>
          </w:tcPr>
          <w:p>
            <w:pPr>
              <w:widowControl/>
              <w:jc w:val="center"/>
              <w:rPr>
                <w:rFonts w:hint="default" w:ascii="Times New Roman" w:hAnsi="Times New Roman" w:cs="Times New Roman"/>
                <w:b/>
                <w:bCs/>
                <w:kern w:val="0"/>
                <w:szCs w:val="21"/>
              </w:rPr>
            </w:pPr>
            <w:r>
              <w:rPr>
                <w:rFonts w:hint="default" w:ascii="Times New Roman" w:hAnsi="Times New Roman" w:cs="Times New Roman"/>
                <w:b/>
                <w:bCs/>
                <w:kern w:val="0"/>
                <w:szCs w:val="21"/>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38" w:type="dxa"/>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1</w:t>
            </w:r>
          </w:p>
        </w:tc>
        <w:tc>
          <w:tcPr>
            <w:tcW w:w="3118" w:type="dxa"/>
            <w:noWrap/>
            <w:vAlign w:val="center"/>
          </w:tcPr>
          <w:p>
            <w:pPr>
              <w:rPr>
                <w:rFonts w:hint="default" w:ascii="Times New Roman" w:hAnsi="Times New Roman" w:cs="Times New Roman"/>
                <w:kern w:val="0"/>
                <w:szCs w:val="21"/>
              </w:rPr>
            </w:pPr>
            <w:r>
              <w:rPr>
                <w:rFonts w:hint="default" w:ascii="Times New Roman" w:hAnsi="Times New Roman" w:cs="Times New Roman"/>
                <w:b/>
                <w:kern w:val="0"/>
                <w:szCs w:val="21"/>
              </w:rPr>
              <w:t>目标1：</w:t>
            </w:r>
            <w:r>
              <w:rPr>
                <w:rFonts w:hint="default" w:ascii="Times New Roman" w:hAnsi="Times New Roman" w:cs="Times New Roman"/>
                <w:b w:val="0"/>
                <w:bCs/>
                <w:kern w:val="0"/>
                <w:szCs w:val="21"/>
                <w:lang w:val="en-US" w:eastAsia="zh-CN"/>
              </w:rPr>
              <w:t>理解并掌握流体流动阻力计算原理、流量计校正实验、离心泵特性曲线方程、恒压过滤基本方程、换热器传热速率计算原理、筛板塔精馏原理、填料塔吸收原理、物料干燥特性曲线测定原理等化工原理单元操作的基本原理，使学生能够根据实验要求及目的确定实验方案并开展实验，科学地采集和记录实验数据，并通过对实验数据的处理和对实验过程及结果的合理分析和解释，得到有效的结论。</w:t>
            </w:r>
          </w:p>
        </w:tc>
        <w:tc>
          <w:tcPr>
            <w:tcW w:w="2292" w:type="dxa"/>
            <w:noWrap/>
            <w:vAlign w:val="center"/>
          </w:tcPr>
          <w:p>
            <w:pPr>
              <w:widowControl/>
              <w:rPr>
                <w:rFonts w:hint="default" w:ascii="Times New Roman" w:hAnsi="Times New Roman" w:cs="Times New Roman"/>
                <w:kern w:val="0"/>
                <w:szCs w:val="21"/>
              </w:rPr>
            </w:pPr>
            <w:r>
              <w:rPr>
                <w:rFonts w:hint="default" w:ascii="Times New Roman" w:hAnsi="Times New Roman" w:cs="Times New Roman"/>
                <w:b/>
                <w:szCs w:val="21"/>
              </w:rPr>
              <w:t>观测点</w:t>
            </w:r>
            <w:r>
              <w:rPr>
                <w:rFonts w:hint="eastAsia" w:cs="Times New Roman"/>
                <w:b/>
                <w:szCs w:val="21"/>
                <w:lang w:val="en-US" w:eastAsia="zh-CN"/>
              </w:rPr>
              <w:t>4</w:t>
            </w:r>
            <w:r>
              <w:rPr>
                <w:rFonts w:hint="default" w:ascii="Times New Roman" w:hAnsi="Times New Roman" w:cs="Times New Roman"/>
                <w:b/>
                <w:szCs w:val="21"/>
              </w:rPr>
              <w:t>.</w:t>
            </w:r>
            <w:r>
              <w:rPr>
                <w:rFonts w:hint="eastAsia" w:cs="Times New Roman"/>
                <w:b/>
                <w:szCs w:val="21"/>
                <w:lang w:val="en-US" w:eastAsia="zh-CN"/>
              </w:rPr>
              <w:t>2</w:t>
            </w:r>
            <w:r>
              <w:rPr>
                <w:rFonts w:hint="default" w:ascii="Times New Roman" w:hAnsi="Times New Roman" w:cs="Times New Roman"/>
                <w:szCs w:val="21"/>
              </w:rPr>
              <w:t>：</w:t>
            </w:r>
            <w:r>
              <w:rPr>
                <w:rFonts w:ascii="Times New Roman" w:hAnsi="Times New Roman"/>
                <w:color w:val="000000"/>
                <w:kern w:val="0"/>
              </w:rPr>
              <w:t>能够正确采集、整理实验数据、对实验结果进行关联</w:t>
            </w:r>
          </w:p>
        </w:tc>
        <w:tc>
          <w:tcPr>
            <w:tcW w:w="3066" w:type="dxa"/>
            <w:noWrap/>
            <w:vAlign w:val="center"/>
          </w:tcPr>
          <w:p>
            <w:pPr>
              <w:widowControl/>
              <w:rPr>
                <w:rFonts w:hint="default" w:ascii="Times New Roman" w:hAnsi="Times New Roman" w:cs="Times New Roman"/>
                <w:kern w:val="0"/>
                <w:szCs w:val="21"/>
              </w:rPr>
            </w:pPr>
            <w:r>
              <w:rPr>
                <w:rFonts w:hint="default" w:ascii="Times New Roman" w:hAnsi="Times New Roman" w:cs="Times New Roman"/>
                <w:b/>
                <w:szCs w:val="21"/>
              </w:rPr>
              <w:t>毕业要求</w:t>
            </w:r>
            <w:r>
              <w:rPr>
                <w:rFonts w:hint="eastAsia" w:cs="Times New Roman"/>
                <w:b/>
                <w:szCs w:val="21"/>
                <w:lang w:val="en-US" w:eastAsia="zh-CN"/>
              </w:rPr>
              <w:t>4</w:t>
            </w:r>
            <w:r>
              <w:rPr>
                <w:rFonts w:ascii="Times New Roman" w:hAnsi="Times New Roman" w:eastAsia="宋体"/>
                <w:color w:val="000000"/>
                <w:sz w:val="21"/>
                <w:szCs w:val="22"/>
              </w:rPr>
              <w:t>研究：能够基于科学原理并采用科学方法对</w:t>
            </w:r>
            <w:r>
              <w:rPr>
                <w:rFonts w:ascii="Times New Roman" w:hAnsi="Times New Roman" w:eastAsia="宋体"/>
                <w:sz w:val="21"/>
                <w:szCs w:val="21"/>
              </w:rPr>
              <w:t>化学工程与工艺领域</w:t>
            </w:r>
            <w:r>
              <w:rPr>
                <w:rFonts w:ascii="Times New Roman" w:hAnsi="Times New Roman" w:eastAsia="宋体"/>
                <w:color w:val="000000"/>
                <w:sz w:val="21"/>
                <w:szCs w:val="21"/>
              </w:rPr>
              <w:t>复杂工</w:t>
            </w:r>
            <w:r>
              <w:rPr>
                <w:rFonts w:ascii="Times New Roman" w:hAnsi="Times New Roman" w:eastAsia="宋体"/>
                <w:color w:val="000000"/>
                <w:sz w:val="21"/>
                <w:szCs w:val="22"/>
              </w:rPr>
              <w:t>程问题进行研究，包括设计实验、分析与解释数据，并通过信息综合得到合理有效的结论。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38" w:type="dxa"/>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2</w:t>
            </w:r>
          </w:p>
        </w:tc>
        <w:tc>
          <w:tcPr>
            <w:tcW w:w="3118" w:type="dxa"/>
            <w:noWrap/>
            <w:vAlign w:val="center"/>
          </w:tcPr>
          <w:p>
            <w:pPr>
              <w:widowControl/>
              <w:rPr>
                <w:rFonts w:hint="default" w:ascii="Times New Roman" w:hAnsi="Times New Roman" w:cs="Times New Roman"/>
                <w:kern w:val="0"/>
                <w:szCs w:val="21"/>
              </w:rPr>
            </w:pPr>
            <w:r>
              <w:rPr>
                <w:rFonts w:hint="default" w:ascii="Times New Roman" w:hAnsi="Times New Roman" w:cs="Times New Roman"/>
                <w:b/>
                <w:kern w:val="0"/>
                <w:szCs w:val="21"/>
              </w:rPr>
              <w:t>目标2：</w:t>
            </w:r>
            <w:r>
              <w:rPr>
                <w:rFonts w:hint="default" w:ascii="Times New Roman" w:hAnsi="Times New Roman" w:cs="Times New Roman"/>
                <w:b w:val="0"/>
                <w:bCs/>
                <w:kern w:val="0"/>
                <w:szCs w:val="21"/>
                <w:lang w:val="en-US" w:eastAsia="zh-CN"/>
              </w:rPr>
              <w:t>学生在实验过程中能发挥团队作用，团队成员之间能进行有效的沟通和协作，提高实验的效率。</w:t>
            </w:r>
          </w:p>
        </w:tc>
        <w:tc>
          <w:tcPr>
            <w:tcW w:w="2292" w:type="dxa"/>
            <w:noWrap/>
            <w:vAlign w:val="center"/>
          </w:tcPr>
          <w:p>
            <w:pPr>
              <w:widowControl/>
              <w:rPr>
                <w:rFonts w:hint="default" w:ascii="Times New Roman" w:hAnsi="Times New Roman" w:cs="Times New Roman"/>
                <w:kern w:val="0"/>
                <w:szCs w:val="21"/>
              </w:rPr>
            </w:pPr>
            <w:r>
              <w:rPr>
                <w:rFonts w:hint="default" w:ascii="Times New Roman" w:hAnsi="Times New Roman" w:cs="Times New Roman"/>
                <w:b/>
                <w:color w:val="000000"/>
                <w:kern w:val="0"/>
                <w:szCs w:val="21"/>
              </w:rPr>
              <w:t>观测点</w:t>
            </w:r>
            <w:r>
              <w:rPr>
                <w:rFonts w:hint="eastAsia" w:cs="Times New Roman"/>
                <w:b/>
                <w:color w:val="000000"/>
                <w:kern w:val="0"/>
                <w:szCs w:val="21"/>
                <w:lang w:val="en-US" w:eastAsia="zh-CN"/>
              </w:rPr>
              <w:t>9</w:t>
            </w:r>
            <w:r>
              <w:rPr>
                <w:rFonts w:hint="default" w:ascii="Times New Roman" w:hAnsi="Times New Roman" w:cs="Times New Roman"/>
                <w:b/>
                <w:szCs w:val="21"/>
              </w:rPr>
              <w:t>.</w:t>
            </w:r>
            <w:r>
              <w:rPr>
                <w:rFonts w:hint="eastAsia" w:ascii="Times New Roman" w:hAnsi="Times New Roman" w:cs="Times New Roman"/>
                <w:b/>
                <w:szCs w:val="21"/>
                <w:lang w:val="en-US" w:eastAsia="zh-CN"/>
              </w:rPr>
              <w:t>1</w:t>
            </w:r>
            <w:r>
              <w:rPr>
                <w:rFonts w:hint="default" w:ascii="Times New Roman" w:hAnsi="Times New Roman" w:cs="Times New Roman"/>
                <w:szCs w:val="21"/>
              </w:rPr>
              <w:t>：</w:t>
            </w:r>
            <w:r>
              <w:rPr>
                <w:rFonts w:ascii="Times New Roman" w:hAnsi="Times New Roman"/>
                <w:color w:val="000000"/>
                <w:kern w:val="0"/>
              </w:rPr>
              <w:t>能够主动与其他学科的成员合作开展工作</w:t>
            </w:r>
          </w:p>
        </w:tc>
        <w:tc>
          <w:tcPr>
            <w:tcW w:w="3066" w:type="dxa"/>
            <w:noWrap/>
            <w:vAlign w:val="center"/>
          </w:tcPr>
          <w:p>
            <w:pPr>
              <w:widowControl/>
              <w:rPr>
                <w:rFonts w:hint="default" w:ascii="Times New Roman" w:hAnsi="Times New Roman" w:cs="Times New Roman"/>
                <w:kern w:val="0"/>
                <w:szCs w:val="21"/>
              </w:rPr>
            </w:pPr>
            <w:r>
              <w:rPr>
                <w:rFonts w:hint="default" w:ascii="Times New Roman" w:hAnsi="Times New Roman" w:cs="Times New Roman"/>
                <w:b/>
                <w:color w:val="000000"/>
                <w:kern w:val="0"/>
                <w:szCs w:val="21"/>
              </w:rPr>
              <w:t>毕业要求</w:t>
            </w:r>
            <w:r>
              <w:rPr>
                <w:rFonts w:hint="eastAsia" w:cs="Times New Roman"/>
                <w:b/>
                <w:color w:val="000000"/>
                <w:kern w:val="0"/>
                <w:szCs w:val="21"/>
                <w:lang w:val="en-US" w:eastAsia="zh-CN"/>
              </w:rPr>
              <w:t>9</w:t>
            </w:r>
            <w:r>
              <w:rPr>
                <w:rFonts w:ascii="Times New Roman" w:hAnsi="Times New Roman"/>
                <w:color w:val="000000"/>
                <w:kern w:val="0"/>
              </w:rPr>
              <w:t>个人和团队：能够在多学科背景下的团队中承担个体、团队成员以及负责人的角色。</w:t>
            </w:r>
          </w:p>
        </w:tc>
      </w:tr>
    </w:tbl>
    <w:p>
      <w:pPr>
        <w:spacing w:line="360" w:lineRule="auto"/>
        <w:rPr>
          <w:rFonts w:hint="eastAsia"/>
          <w:color w:val="000000"/>
          <w:sz w:val="24"/>
        </w:rPr>
      </w:pPr>
    </w:p>
    <w:p>
      <w:pPr>
        <w:spacing w:line="360" w:lineRule="auto"/>
        <w:ind w:firstLine="480"/>
        <w:rPr>
          <w:rFonts w:eastAsia="黑体"/>
          <w:b/>
          <w:bCs/>
          <w:sz w:val="24"/>
        </w:rPr>
      </w:pPr>
      <w:r>
        <w:rPr>
          <w:rFonts w:hint="eastAsia"/>
          <w:b/>
          <w:sz w:val="28"/>
          <w:szCs w:val="28"/>
        </w:rPr>
        <w:t>三</w:t>
      </w:r>
      <w:r>
        <w:rPr>
          <w:b/>
          <w:sz w:val="28"/>
          <w:szCs w:val="28"/>
        </w:rPr>
        <w:t>、课程内容与要求</w:t>
      </w:r>
    </w:p>
    <w:p>
      <w:pPr>
        <w:spacing w:line="360" w:lineRule="auto"/>
        <w:ind w:firstLine="482" w:firstLineChars="200"/>
        <w:rPr>
          <w:rFonts w:hint="eastAsia" w:eastAsia="宋体"/>
          <w:b/>
          <w:bCs/>
          <w:sz w:val="24"/>
          <w:lang w:val="en-US" w:eastAsia="zh-CN"/>
        </w:rPr>
      </w:pPr>
      <w:r>
        <w:rPr>
          <w:rFonts w:hint="eastAsia"/>
          <w:b/>
          <w:sz w:val="24"/>
        </w:rPr>
        <w:t>（一）</w:t>
      </w:r>
      <w:r>
        <w:rPr>
          <w:rFonts w:hint="eastAsia"/>
          <w:b/>
          <w:sz w:val="24"/>
          <w:lang w:val="en-US" w:eastAsia="zh-CN"/>
        </w:rPr>
        <w:t>实验项目与内容提要</w:t>
      </w:r>
    </w:p>
    <w:tbl>
      <w:tblPr>
        <w:tblStyle w:val="10"/>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9"/>
        <w:gridCol w:w="2115"/>
        <w:gridCol w:w="1515"/>
        <w:gridCol w:w="3044"/>
        <w:gridCol w:w="846"/>
        <w:gridCol w:w="846"/>
        <w:gridCol w:w="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9" w:type="dxa"/>
            <w:tcBorders>
              <w:top w:val="single" w:color="auto" w:sz="8" w:space="0"/>
              <w:left w:val="single" w:color="auto" w:sz="8" w:space="0"/>
            </w:tcBorders>
            <w:noWrap w:val="0"/>
            <w:vAlign w:val="center"/>
          </w:tcPr>
          <w:p>
            <w:pPr>
              <w:spacing w:line="300" w:lineRule="auto"/>
              <w:jc w:val="center"/>
              <w:rPr>
                <w:b/>
                <w:bCs/>
                <w:sz w:val="21"/>
                <w:szCs w:val="21"/>
              </w:rPr>
            </w:pPr>
            <w:r>
              <w:rPr>
                <w:b/>
                <w:bCs/>
                <w:sz w:val="21"/>
                <w:szCs w:val="21"/>
              </w:rPr>
              <w:t>序号</w:t>
            </w:r>
          </w:p>
        </w:tc>
        <w:tc>
          <w:tcPr>
            <w:tcW w:w="2115" w:type="dxa"/>
            <w:tcBorders>
              <w:top w:val="single" w:color="auto" w:sz="8" w:space="0"/>
            </w:tcBorders>
            <w:noWrap w:val="0"/>
            <w:vAlign w:val="center"/>
          </w:tcPr>
          <w:p>
            <w:pPr>
              <w:spacing w:line="300" w:lineRule="auto"/>
              <w:jc w:val="center"/>
              <w:rPr>
                <w:rFonts w:hint="eastAsia" w:eastAsia="宋体"/>
                <w:b/>
                <w:bCs/>
                <w:sz w:val="21"/>
                <w:szCs w:val="21"/>
                <w:lang w:eastAsia="zh-CN"/>
              </w:rPr>
            </w:pPr>
            <w:r>
              <w:rPr>
                <w:rFonts w:hint="eastAsia"/>
                <w:b/>
                <w:bCs/>
                <w:sz w:val="21"/>
                <w:szCs w:val="21"/>
                <w:lang w:eastAsia="zh-CN"/>
              </w:rPr>
              <w:t>教学内容</w:t>
            </w:r>
          </w:p>
        </w:tc>
        <w:tc>
          <w:tcPr>
            <w:tcW w:w="1515" w:type="dxa"/>
            <w:tcBorders>
              <w:top w:val="single" w:color="auto" w:sz="8" w:space="0"/>
            </w:tcBorders>
            <w:noWrap w:val="0"/>
            <w:vAlign w:val="center"/>
          </w:tcPr>
          <w:p>
            <w:pPr>
              <w:spacing w:line="300" w:lineRule="auto"/>
              <w:jc w:val="center"/>
              <w:rPr>
                <w:rFonts w:hint="eastAsia" w:eastAsia="宋体"/>
                <w:b/>
                <w:bCs/>
                <w:sz w:val="21"/>
                <w:szCs w:val="21"/>
                <w:lang w:eastAsia="zh-CN"/>
              </w:rPr>
            </w:pPr>
            <w:r>
              <w:rPr>
                <w:rFonts w:hint="eastAsia"/>
                <w:b/>
                <w:bCs/>
                <w:sz w:val="21"/>
                <w:szCs w:val="21"/>
                <w:lang w:eastAsia="zh-CN"/>
              </w:rPr>
              <w:t>思政元素</w:t>
            </w:r>
          </w:p>
        </w:tc>
        <w:tc>
          <w:tcPr>
            <w:tcW w:w="3044" w:type="dxa"/>
            <w:tcBorders>
              <w:top w:val="single" w:color="auto" w:sz="8" w:space="0"/>
              <w:right w:val="single" w:color="auto" w:sz="8" w:space="0"/>
            </w:tcBorders>
            <w:noWrap w:val="0"/>
            <w:vAlign w:val="center"/>
          </w:tcPr>
          <w:p>
            <w:pPr>
              <w:spacing w:line="300" w:lineRule="auto"/>
              <w:jc w:val="center"/>
              <w:rPr>
                <w:rFonts w:hint="eastAsia" w:eastAsia="宋体"/>
                <w:b/>
                <w:bCs/>
                <w:sz w:val="21"/>
                <w:szCs w:val="21"/>
                <w:lang w:val="en-US" w:eastAsia="zh-CN"/>
              </w:rPr>
            </w:pPr>
            <w:r>
              <w:rPr>
                <w:rFonts w:hint="eastAsia"/>
                <w:b/>
                <w:bCs/>
                <w:sz w:val="21"/>
                <w:szCs w:val="21"/>
                <w:lang w:val="en-US" w:eastAsia="zh-CN"/>
              </w:rPr>
              <w:t>预期学习成果</w:t>
            </w:r>
          </w:p>
        </w:tc>
        <w:tc>
          <w:tcPr>
            <w:tcW w:w="846" w:type="dxa"/>
            <w:tcBorders>
              <w:top w:val="single" w:color="auto" w:sz="8" w:space="0"/>
              <w:right w:val="single" w:color="auto" w:sz="8" w:space="0"/>
            </w:tcBorders>
            <w:noWrap w:val="0"/>
            <w:vAlign w:val="center"/>
          </w:tcPr>
          <w:p>
            <w:pPr>
              <w:spacing w:line="300" w:lineRule="auto"/>
              <w:jc w:val="center"/>
              <w:rPr>
                <w:rFonts w:hint="default" w:ascii="Times New Roman" w:hAnsi="Times New Roman" w:cs="Times New Roman"/>
                <w:b/>
                <w:bCs/>
                <w:sz w:val="21"/>
                <w:szCs w:val="21"/>
                <w:lang w:val="en-US" w:eastAsia="zh-CN"/>
              </w:rPr>
            </w:pPr>
            <w:r>
              <w:rPr>
                <w:rFonts w:hint="eastAsia" w:cs="Times New Roman"/>
                <w:b/>
                <w:bCs/>
                <w:sz w:val="21"/>
                <w:szCs w:val="21"/>
                <w:lang w:val="en-US" w:eastAsia="zh-CN"/>
              </w:rPr>
              <w:t>教学学时</w:t>
            </w:r>
          </w:p>
        </w:tc>
        <w:tc>
          <w:tcPr>
            <w:tcW w:w="846" w:type="dxa"/>
            <w:tcBorders>
              <w:top w:val="single" w:color="auto" w:sz="8" w:space="0"/>
              <w:right w:val="single" w:color="auto" w:sz="8" w:space="0"/>
            </w:tcBorders>
            <w:noWrap w:val="0"/>
            <w:vAlign w:val="center"/>
          </w:tcPr>
          <w:p>
            <w:pPr>
              <w:spacing w:line="300" w:lineRule="auto"/>
              <w:jc w:val="center"/>
              <w:rPr>
                <w:rFonts w:hint="default" w:ascii="Times New Roman" w:hAnsi="Times New Roman" w:eastAsia="宋体" w:cs="Times New Roman"/>
                <w:b/>
                <w:bCs/>
                <w:kern w:val="2"/>
                <w:sz w:val="21"/>
                <w:szCs w:val="21"/>
                <w:lang w:val="en-US" w:eastAsia="zh-CN" w:bidi="ar-SA"/>
              </w:rPr>
            </w:pPr>
            <w:r>
              <w:rPr>
                <w:rFonts w:hint="eastAsia" w:cs="Times New Roman"/>
                <w:b/>
                <w:bCs/>
                <w:kern w:val="2"/>
                <w:sz w:val="21"/>
                <w:szCs w:val="21"/>
                <w:lang w:val="en-US" w:eastAsia="zh-CN" w:bidi="ar-SA"/>
              </w:rPr>
              <w:t>教学方式</w:t>
            </w:r>
          </w:p>
        </w:tc>
        <w:tc>
          <w:tcPr>
            <w:tcW w:w="846" w:type="dxa"/>
            <w:tcBorders>
              <w:top w:val="single" w:color="auto" w:sz="8" w:space="0"/>
              <w:right w:val="single" w:color="auto" w:sz="8" w:space="0"/>
            </w:tcBorders>
            <w:noWrap w:val="0"/>
            <w:vAlign w:val="center"/>
          </w:tcPr>
          <w:p>
            <w:pPr>
              <w:spacing w:line="300" w:lineRule="auto"/>
              <w:jc w:val="center"/>
              <w:rPr>
                <w:rFonts w:hint="default" w:ascii="Times New Roman" w:hAnsi="Times New Roman" w:cs="Times New Roman"/>
                <w:b/>
                <w:bCs/>
                <w:sz w:val="21"/>
                <w:szCs w:val="21"/>
                <w:lang w:val="en-US" w:eastAsia="zh-CN"/>
              </w:rPr>
            </w:pPr>
            <w:r>
              <w:rPr>
                <w:rFonts w:hint="eastAsia" w:cs="Times New Roman"/>
                <w:b/>
                <w:bCs/>
                <w:sz w:val="21"/>
                <w:szCs w:val="21"/>
                <w:lang w:val="en-US" w:eastAsia="zh-CN"/>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9" w:type="dxa"/>
            <w:tcBorders>
              <w:top w:val="single" w:color="auto" w:sz="8" w:space="0"/>
              <w:left w:val="single" w:color="auto" w:sz="8" w:space="0"/>
            </w:tcBorders>
            <w:noWrap w:val="0"/>
            <w:vAlign w:val="center"/>
          </w:tcPr>
          <w:p>
            <w:pPr>
              <w:spacing w:line="300" w:lineRule="auto"/>
              <w:jc w:val="center"/>
              <w:rPr>
                <w:rFonts w:ascii="Times New Roman" w:hAnsi="Times New Roman" w:eastAsia="宋体" w:cs="Times New Roman"/>
                <w:kern w:val="2"/>
                <w:sz w:val="21"/>
                <w:szCs w:val="21"/>
                <w:lang w:val="en-US" w:eastAsia="zh-CN" w:bidi="ar-SA"/>
              </w:rPr>
            </w:pPr>
            <w:r>
              <w:rPr>
                <w:sz w:val="21"/>
                <w:szCs w:val="21"/>
              </w:rPr>
              <w:t>1</w:t>
            </w:r>
          </w:p>
        </w:tc>
        <w:tc>
          <w:tcPr>
            <w:tcW w:w="2115" w:type="dxa"/>
            <w:tcBorders>
              <w:top w:val="single" w:color="auto" w:sz="8" w:space="0"/>
            </w:tcBorders>
            <w:noWrap w:val="0"/>
            <w:vAlign w:val="center"/>
          </w:tcPr>
          <w:p>
            <w:pPr>
              <w:spacing w:line="300" w:lineRule="auto"/>
              <w:jc w:val="center"/>
              <w:rPr>
                <w:rFonts w:hint="eastAsia" w:eastAsia="宋体"/>
                <w:sz w:val="21"/>
                <w:szCs w:val="21"/>
                <w:lang w:eastAsia="zh-CN"/>
              </w:rPr>
            </w:pPr>
            <w:r>
              <w:rPr>
                <w:rFonts w:hint="eastAsia"/>
                <w:sz w:val="21"/>
                <w:szCs w:val="21"/>
                <w:lang w:eastAsia="zh-CN"/>
              </w:rPr>
              <w:t>实验理论课</w:t>
            </w:r>
          </w:p>
        </w:tc>
        <w:tc>
          <w:tcPr>
            <w:tcW w:w="1515" w:type="dxa"/>
            <w:tcBorders>
              <w:top w:val="single" w:color="auto" w:sz="8" w:space="0"/>
            </w:tcBorders>
            <w:noWrap w:val="0"/>
            <w:vAlign w:val="center"/>
          </w:tcPr>
          <w:p>
            <w:pPr>
              <w:spacing w:line="300" w:lineRule="auto"/>
              <w:jc w:val="center"/>
              <w:rPr>
                <w:rFonts w:hint="default"/>
                <w:sz w:val="21"/>
                <w:szCs w:val="21"/>
                <w:lang w:val="en-US" w:eastAsia="zh-CN"/>
              </w:rPr>
            </w:pPr>
            <w:r>
              <w:rPr>
                <w:rFonts w:hint="eastAsia" w:ascii="宋体" w:cs="宋体"/>
                <w:kern w:val="0"/>
                <w:szCs w:val="21"/>
                <w:lang w:val="zh-CN"/>
              </w:rPr>
              <w:t>观看安全教育警示片等</w:t>
            </w:r>
          </w:p>
        </w:tc>
        <w:tc>
          <w:tcPr>
            <w:tcW w:w="3044" w:type="dxa"/>
            <w:tcBorders>
              <w:top w:val="single" w:color="auto" w:sz="8" w:space="0"/>
              <w:right w:val="single" w:color="auto" w:sz="8" w:space="0"/>
            </w:tcBorders>
            <w:noWrap w:val="0"/>
            <w:vAlign w:val="center"/>
          </w:tcPr>
          <w:p>
            <w:pPr>
              <w:jc w:val="center"/>
              <w:rPr>
                <w:rFonts w:hint="eastAsia"/>
                <w:sz w:val="21"/>
                <w:szCs w:val="21"/>
              </w:rPr>
            </w:pPr>
            <w:r>
              <w:rPr>
                <w:rFonts w:hint="eastAsia"/>
                <w:sz w:val="21"/>
                <w:szCs w:val="21"/>
              </w:rPr>
              <w:t>实验基础知识与安全教育</w:t>
            </w:r>
          </w:p>
          <w:p>
            <w:pPr>
              <w:jc w:val="center"/>
              <w:rPr>
                <w:rFonts w:hint="eastAsia" w:eastAsia="宋体"/>
                <w:sz w:val="21"/>
                <w:szCs w:val="21"/>
                <w:lang w:val="en-US" w:eastAsia="zh-CN"/>
              </w:rPr>
            </w:pPr>
            <w:r>
              <w:rPr>
                <w:rFonts w:hint="eastAsia"/>
                <w:sz w:val="21"/>
                <w:szCs w:val="21"/>
                <w:lang w:eastAsia="zh-CN"/>
              </w:rPr>
              <w:t>展开实验的讲解</w:t>
            </w:r>
          </w:p>
        </w:tc>
        <w:tc>
          <w:tcPr>
            <w:tcW w:w="846" w:type="dxa"/>
            <w:tcBorders>
              <w:top w:val="single" w:color="auto" w:sz="8" w:space="0"/>
              <w:right w:val="single" w:color="auto" w:sz="8" w:space="0"/>
            </w:tcBorders>
            <w:noWrap w:val="0"/>
            <w:vAlign w:val="center"/>
          </w:tcPr>
          <w:p>
            <w:pPr>
              <w:spacing w:line="300" w:lineRule="auto"/>
              <w:jc w:val="center"/>
              <w:rPr>
                <w:rFonts w:hint="default" w:ascii="Times New Roman" w:hAnsi="Times New Roman" w:cs="Times New Roman"/>
                <w:sz w:val="21"/>
                <w:szCs w:val="21"/>
                <w:lang w:val="en-US" w:eastAsia="zh-CN"/>
              </w:rPr>
            </w:pPr>
            <w:r>
              <w:rPr>
                <w:rFonts w:hint="eastAsia"/>
                <w:sz w:val="21"/>
                <w:szCs w:val="21"/>
                <w:lang w:val="en-US" w:eastAsia="zh-CN"/>
              </w:rPr>
              <w:t>4</w:t>
            </w:r>
          </w:p>
        </w:tc>
        <w:tc>
          <w:tcPr>
            <w:tcW w:w="846" w:type="dxa"/>
            <w:tcBorders>
              <w:top w:val="single" w:color="auto" w:sz="8" w:space="0"/>
              <w:right w:val="single" w:color="auto" w:sz="8" w:space="0"/>
            </w:tcBorders>
            <w:noWrap w:val="0"/>
            <w:vAlign w:val="center"/>
          </w:tcPr>
          <w:p>
            <w:pPr>
              <w:spacing w:line="300" w:lineRule="auto"/>
              <w:jc w:val="center"/>
              <w:rPr>
                <w:rFonts w:hint="eastAsia" w:ascii="Times New Roman" w:hAnsi="Times New Roman" w:eastAsia="宋体" w:cs="Times New Roman"/>
                <w:kern w:val="2"/>
                <w:sz w:val="21"/>
                <w:szCs w:val="21"/>
                <w:lang w:val="en-US" w:eastAsia="zh-CN" w:bidi="ar-SA"/>
              </w:rPr>
            </w:pPr>
            <w:r>
              <w:rPr>
                <w:rFonts w:hint="eastAsia" w:ascii="宋体" w:cs="宋体"/>
                <w:kern w:val="0"/>
                <w:szCs w:val="21"/>
                <w:lang w:val="zh-CN"/>
              </w:rPr>
              <w:t>讲授</w:t>
            </w:r>
            <w:r>
              <w:rPr>
                <w:kern w:val="0"/>
                <w:szCs w:val="21"/>
              </w:rPr>
              <w:t>/</w:t>
            </w:r>
            <w:r>
              <w:rPr>
                <w:rFonts w:hint="eastAsia" w:ascii="宋体" w:cs="宋体"/>
                <w:kern w:val="0"/>
                <w:szCs w:val="21"/>
                <w:lang w:val="zh-CN"/>
              </w:rPr>
              <w:t>讨论</w:t>
            </w:r>
            <w:r>
              <w:rPr>
                <w:kern w:val="0"/>
                <w:szCs w:val="21"/>
              </w:rPr>
              <w:t>/</w:t>
            </w:r>
            <w:r>
              <w:rPr>
                <w:rFonts w:hint="eastAsia" w:ascii="宋体" w:cs="宋体"/>
                <w:kern w:val="0"/>
                <w:szCs w:val="21"/>
                <w:lang w:val="zh-CN"/>
              </w:rPr>
              <w:t>案例教学等</w:t>
            </w:r>
          </w:p>
        </w:tc>
        <w:tc>
          <w:tcPr>
            <w:tcW w:w="846" w:type="dxa"/>
            <w:tcBorders>
              <w:top w:val="single" w:color="auto" w:sz="8" w:space="0"/>
              <w:right w:val="single" w:color="auto" w:sz="8" w:space="0"/>
            </w:tcBorders>
            <w:noWrap w:val="0"/>
            <w:vAlign w:val="center"/>
          </w:tcPr>
          <w:p>
            <w:pPr>
              <w:spacing w:line="300" w:lineRule="auto"/>
              <w:jc w:val="center"/>
              <w:rPr>
                <w:rFonts w:hint="default" w:cs="Times New Roman"/>
                <w:sz w:val="21"/>
                <w:szCs w:val="21"/>
                <w:lang w:val="en-US" w:eastAsia="zh-CN"/>
              </w:rPr>
            </w:pPr>
            <w:r>
              <w:rPr>
                <w:rFonts w:hint="eastAsia" w:cs="Times New Roman"/>
                <w:sz w:val="21"/>
                <w:szCs w:val="21"/>
                <w:lang w:val="en-US" w:eastAsia="zh-CN"/>
              </w:rPr>
              <w:t>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9" w:type="dxa"/>
            <w:tcBorders>
              <w:left w:val="single" w:color="auto" w:sz="8" w:space="0"/>
            </w:tcBorders>
            <w:noWrap w:val="0"/>
            <w:vAlign w:val="center"/>
          </w:tcPr>
          <w:p>
            <w:pPr>
              <w:spacing w:line="300" w:lineRule="auto"/>
              <w:jc w:val="center"/>
              <w:rPr>
                <w:rFonts w:ascii="Times New Roman" w:hAnsi="Times New Roman" w:eastAsia="宋体" w:cs="Times New Roman"/>
                <w:kern w:val="2"/>
                <w:sz w:val="21"/>
                <w:szCs w:val="21"/>
                <w:lang w:val="en-US" w:eastAsia="zh-CN" w:bidi="ar-SA"/>
              </w:rPr>
            </w:pPr>
            <w:r>
              <w:rPr>
                <w:sz w:val="21"/>
                <w:szCs w:val="21"/>
              </w:rPr>
              <w:t>2</w:t>
            </w:r>
          </w:p>
        </w:tc>
        <w:tc>
          <w:tcPr>
            <w:tcW w:w="2115" w:type="dxa"/>
            <w:noWrap w:val="0"/>
            <w:vAlign w:val="center"/>
          </w:tcPr>
          <w:p>
            <w:pPr>
              <w:spacing w:line="300" w:lineRule="auto"/>
              <w:jc w:val="center"/>
              <w:rPr>
                <w:rFonts w:hint="eastAsia" w:eastAsia="宋体"/>
                <w:sz w:val="21"/>
                <w:szCs w:val="21"/>
                <w:lang w:eastAsia="zh-CN"/>
              </w:rPr>
            </w:pPr>
            <w:r>
              <w:rPr>
                <w:rFonts w:hint="eastAsia"/>
                <w:color w:val="000000"/>
                <w:sz w:val="21"/>
                <w:szCs w:val="21"/>
              </w:rPr>
              <w:t>伯努利方程实验</w:t>
            </w:r>
          </w:p>
        </w:tc>
        <w:tc>
          <w:tcPr>
            <w:tcW w:w="1515" w:type="dxa"/>
            <w:noWrap w:val="0"/>
            <w:vAlign w:val="center"/>
          </w:tcPr>
          <w:p>
            <w:pPr>
              <w:spacing w:line="300" w:lineRule="auto"/>
              <w:jc w:val="center"/>
              <w:rPr>
                <w:rFonts w:hint="default" w:eastAsia="宋体"/>
                <w:sz w:val="21"/>
                <w:szCs w:val="21"/>
                <w:lang w:val="en-US" w:eastAsia="zh-CN"/>
              </w:rPr>
            </w:pPr>
          </w:p>
        </w:tc>
        <w:tc>
          <w:tcPr>
            <w:tcW w:w="3044" w:type="dxa"/>
            <w:tcBorders>
              <w:right w:val="single" w:color="auto" w:sz="8" w:space="0"/>
            </w:tcBorders>
            <w:noWrap w:val="0"/>
            <w:vAlign w:val="center"/>
          </w:tcPr>
          <w:p>
            <w:pPr>
              <w:spacing w:line="300" w:lineRule="auto"/>
              <w:jc w:val="left"/>
              <w:rPr>
                <w:sz w:val="21"/>
                <w:szCs w:val="21"/>
              </w:rPr>
            </w:pPr>
            <w:r>
              <w:rPr>
                <w:rFonts w:ascii="宋体" w:hAnsi="宋体"/>
                <w:sz w:val="21"/>
                <w:szCs w:val="21"/>
              </w:rPr>
              <w:t>观察流体机械能的</w:t>
            </w:r>
            <w:r>
              <w:rPr>
                <w:rFonts w:hint="eastAsia" w:ascii="宋体" w:hAnsi="宋体"/>
                <w:sz w:val="21"/>
                <w:szCs w:val="21"/>
                <w:lang w:val="en-US" w:eastAsia="zh-CN"/>
              </w:rPr>
              <w:t>变化 特点及相互转化关系；</w:t>
            </w:r>
          </w:p>
        </w:tc>
        <w:tc>
          <w:tcPr>
            <w:tcW w:w="846" w:type="dxa"/>
            <w:tcBorders>
              <w:right w:val="single" w:color="auto" w:sz="8" w:space="0"/>
            </w:tcBorders>
            <w:noWrap w:val="0"/>
            <w:vAlign w:val="center"/>
          </w:tcPr>
          <w:p>
            <w:pPr>
              <w:spacing w:line="300" w:lineRule="auto"/>
              <w:jc w:val="center"/>
              <w:rPr>
                <w:rFonts w:hint="default" w:ascii="Times New Roman" w:hAnsi="Times New Roman" w:eastAsia="宋体" w:cs="Times New Roman"/>
                <w:sz w:val="21"/>
                <w:szCs w:val="21"/>
                <w:lang w:val="en-US" w:eastAsia="zh-CN"/>
              </w:rPr>
            </w:pPr>
            <w:r>
              <w:rPr>
                <w:rFonts w:hint="eastAsia"/>
                <w:sz w:val="21"/>
                <w:szCs w:val="21"/>
                <w:lang w:val="en-US" w:eastAsia="zh-CN"/>
              </w:rPr>
              <w:t>4</w:t>
            </w:r>
          </w:p>
        </w:tc>
        <w:tc>
          <w:tcPr>
            <w:tcW w:w="846" w:type="dxa"/>
            <w:tcBorders>
              <w:right w:val="single" w:color="auto" w:sz="8" w:space="0"/>
            </w:tcBorders>
            <w:noWrap w:val="0"/>
            <w:vAlign w:val="center"/>
          </w:tcPr>
          <w:p>
            <w:pPr>
              <w:spacing w:line="300" w:lineRule="auto"/>
              <w:jc w:val="center"/>
              <w:rPr>
                <w:rFonts w:hint="eastAsia" w:ascii="Times New Roman" w:hAnsi="Times New Roman" w:eastAsia="宋体" w:cs="Times New Roman"/>
                <w:kern w:val="2"/>
                <w:sz w:val="21"/>
                <w:szCs w:val="21"/>
                <w:lang w:val="en-US" w:eastAsia="zh-CN" w:bidi="ar-SA"/>
              </w:rPr>
            </w:pPr>
            <w:r>
              <w:rPr>
                <w:rFonts w:hint="eastAsia" w:ascii="宋体" w:cs="宋体"/>
                <w:kern w:val="0"/>
                <w:szCs w:val="21"/>
                <w:lang w:val="zh-CN"/>
              </w:rPr>
              <w:t>讲授</w:t>
            </w:r>
            <w:r>
              <w:rPr>
                <w:kern w:val="0"/>
                <w:szCs w:val="21"/>
              </w:rPr>
              <w:t>/</w:t>
            </w:r>
            <w:r>
              <w:rPr>
                <w:rFonts w:hint="eastAsia" w:ascii="宋体" w:cs="宋体"/>
                <w:kern w:val="0"/>
                <w:szCs w:val="21"/>
                <w:lang w:val="zh-CN"/>
              </w:rPr>
              <w:t>实验</w:t>
            </w:r>
            <w:r>
              <w:rPr>
                <w:kern w:val="0"/>
                <w:szCs w:val="21"/>
              </w:rPr>
              <w:t>/</w:t>
            </w:r>
            <w:r>
              <w:rPr>
                <w:rFonts w:hint="eastAsia" w:ascii="宋体" w:cs="宋体"/>
                <w:kern w:val="0"/>
                <w:szCs w:val="21"/>
                <w:lang w:val="zh-CN"/>
              </w:rPr>
              <w:t>讨论</w:t>
            </w:r>
            <w:r>
              <w:rPr>
                <w:kern w:val="0"/>
                <w:szCs w:val="21"/>
              </w:rPr>
              <w:t>/</w:t>
            </w:r>
            <w:r>
              <w:rPr>
                <w:rFonts w:hint="eastAsia" w:ascii="宋体" w:cs="宋体"/>
                <w:kern w:val="0"/>
                <w:szCs w:val="21"/>
                <w:lang w:val="zh-CN"/>
              </w:rPr>
              <w:t>等</w:t>
            </w:r>
          </w:p>
        </w:tc>
        <w:tc>
          <w:tcPr>
            <w:tcW w:w="846" w:type="dxa"/>
            <w:tcBorders>
              <w:right w:val="single" w:color="auto" w:sz="8" w:space="0"/>
            </w:tcBorders>
            <w:noWrap w:val="0"/>
            <w:vAlign w:val="center"/>
          </w:tcPr>
          <w:p>
            <w:pPr>
              <w:spacing w:line="300" w:lineRule="auto"/>
              <w:jc w:val="left"/>
              <w:rPr>
                <w:rFonts w:hint="eastAsia" w:cs="Times New Roman"/>
                <w:sz w:val="21"/>
                <w:szCs w:val="21"/>
                <w:lang w:val="en-US" w:eastAsia="zh-CN"/>
              </w:rPr>
            </w:pPr>
            <w:r>
              <w:rPr>
                <w:rFonts w:hint="eastAsia" w:cs="Times New Roman"/>
                <w:sz w:val="21"/>
                <w:szCs w:val="21"/>
                <w:lang w:val="en-US" w:eastAsia="zh-CN"/>
              </w:rPr>
              <w:t>目标1</w:t>
            </w:r>
          </w:p>
          <w:p>
            <w:pPr>
              <w:spacing w:line="300" w:lineRule="auto"/>
              <w:jc w:val="left"/>
              <w:rPr>
                <w:rFonts w:hint="default" w:cs="Times New Roman"/>
                <w:sz w:val="21"/>
                <w:szCs w:val="21"/>
                <w:lang w:val="en-US" w:eastAsia="zh-CN"/>
              </w:rPr>
            </w:pPr>
            <w:r>
              <w:rPr>
                <w:rFonts w:hint="eastAsia" w:cs="Times New Roman"/>
                <w:sz w:val="21"/>
                <w:szCs w:val="21"/>
                <w:lang w:val="en-US" w:eastAsia="zh-CN"/>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9" w:type="dxa"/>
            <w:tcBorders>
              <w:left w:val="single" w:color="auto" w:sz="8" w:space="0"/>
            </w:tcBorders>
            <w:noWrap w:val="0"/>
            <w:vAlign w:val="center"/>
          </w:tcPr>
          <w:p>
            <w:pPr>
              <w:spacing w:line="300" w:lineRule="auto"/>
              <w:jc w:val="center"/>
              <w:rPr>
                <w:rFonts w:ascii="Times New Roman" w:hAnsi="Times New Roman" w:eastAsia="宋体" w:cs="Times New Roman"/>
                <w:kern w:val="2"/>
                <w:sz w:val="21"/>
                <w:szCs w:val="21"/>
                <w:lang w:val="en-US" w:eastAsia="zh-CN" w:bidi="ar-SA"/>
              </w:rPr>
            </w:pPr>
            <w:r>
              <w:rPr>
                <w:sz w:val="21"/>
                <w:szCs w:val="21"/>
              </w:rPr>
              <w:t>3</w:t>
            </w:r>
          </w:p>
        </w:tc>
        <w:tc>
          <w:tcPr>
            <w:tcW w:w="2115" w:type="dxa"/>
            <w:noWrap w:val="0"/>
            <w:vAlign w:val="center"/>
          </w:tcPr>
          <w:p>
            <w:pPr>
              <w:spacing w:line="300" w:lineRule="auto"/>
              <w:jc w:val="center"/>
              <w:rPr>
                <w:rFonts w:hint="eastAsia"/>
                <w:color w:val="000000"/>
                <w:sz w:val="21"/>
                <w:szCs w:val="21"/>
              </w:rPr>
            </w:pPr>
            <w:r>
              <w:rPr>
                <w:rFonts w:hint="eastAsia"/>
                <w:color w:val="000000"/>
                <w:sz w:val="21"/>
                <w:szCs w:val="21"/>
                <w:lang w:eastAsia="zh-CN"/>
              </w:rPr>
              <w:t>流量计校正实验</w:t>
            </w:r>
          </w:p>
        </w:tc>
        <w:tc>
          <w:tcPr>
            <w:tcW w:w="1515" w:type="dxa"/>
            <w:noWrap w:val="0"/>
            <w:vAlign w:val="center"/>
          </w:tcPr>
          <w:p>
            <w:pPr>
              <w:spacing w:line="300" w:lineRule="auto"/>
              <w:jc w:val="center"/>
              <w:rPr>
                <w:rFonts w:hint="default"/>
                <w:sz w:val="21"/>
                <w:szCs w:val="21"/>
                <w:lang w:val="en-US" w:eastAsia="zh-CN"/>
              </w:rPr>
            </w:pPr>
          </w:p>
        </w:tc>
        <w:tc>
          <w:tcPr>
            <w:tcW w:w="3044" w:type="dxa"/>
            <w:tcBorders>
              <w:right w:val="single" w:color="auto" w:sz="8" w:space="0"/>
            </w:tcBorders>
            <w:noWrap w:val="0"/>
            <w:vAlign w:val="center"/>
          </w:tcPr>
          <w:p>
            <w:pPr>
              <w:spacing w:line="300" w:lineRule="auto"/>
              <w:jc w:val="left"/>
              <w:rPr>
                <w:rFonts w:ascii="宋体" w:hAnsi="宋体"/>
                <w:sz w:val="21"/>
                <w:szCs w:val="21"/>
              </w:rPr>
            </w:pPr>
            <w:r>
              <w:rPr>
                <w:rFonts w:hint="eastAsia" w:ascii="宋体" w:hAnsi="宋体" w:cs="宋体"/>
                <w:sz w:val="21"/>
                <w:szCs w:val="21"/>
              </w:rPr>
              <w:t>几种常用流量计的构造、工作原理</w:t>
            </w:r>
            <w:r>
              <w:rPr>
                <w:rFonts w:hint="eastAsia" w:ascii="宋体" w:hAnsi="宋体" w:cs="宋体"/>
                <w:sz w:val="21"/>
                <w:szCs w:val="21"/>
                <w:lang w:eastAsia="zh-CN"/>
              </w:rPr>
              <w:t>、</w:t>
            </w:r>
            <w:r>
              <w:rPr>
                <w:rFonts w:hint="eastAsia" w:ascii="宋体" w:hAnsi="宋体" w:cs="宋体"/>
                <w:sz w:val="21"/>
                <w:szCs w:val="21"/>
              </w:rPr>
              <w:t>主要特点</w:t>
            </w:r>
            <w:r>
              <w:rPr>
                <w:rFonts w:hint="eastAsia" w:ascii="宋体" w:hAnsi="宋体" w:cs="宋体"/>
                <w:sz w:val="21"/>
                <w:szCs w:val="21"/>
                <w:lang w:val="en-US" w:eastAsia="zh-CN"/>
              </w:rPr>
              <w:t>及</w:t>
            </w:r>
            <w:r>
              <w:rPr>
                <w:rFonts w:hint="eastAsia" w:ascii="宋体" w:hAnsi="宋体" w:cs="宋体"/>
                <w:sz w:val="21"/>
                <w:szCs w:val="21"/>
              </w:rPr>
              <w:t>校正方法</w:t>
            </w:r>
          </w:p>
        </w:tc>
        <w:tc>
          <w:tcPr>
            <w:tcW w:w="846" w:type="dxa"/>
            <w:tcBorders>
              <w:right w:val="single" w:color="auto" w:sz="8" w:space="0"/>
            </w:tcBorders>
            <w:noWrap w:val="0"/>
            <w:vAlign w:val="center"/>
          </w:tcPr>
          <w:p>
            <w:pPr>
              <w:spacing w:line="300" w:lineRule="auto"/>
              <w:jc w:val="center"/>
              <w:rPr>
                <w:rFonts w:hint="eastAsia" w:cs="Times New Roman"/>
                <w:sz w:val="21"/>
                <w:szCs w:val="21"/>
                <w:lang w:val="en-US" w:eastAsia="zh-CN"/>
              </w:rPr>
            </w:pPr>
            <w:r>
              <w:rPr>
                <w:rFonts w:hint="eastAsia"/>
                <w:sz w:val="21"/>
                <w:szCs w:val="21"/>
                <w:lang w:val="en-US" w:eastAsia="zh-CN"/>
              </w:rPr>
              <w:t>4</w:t>
            </w:r>
          </w:p>
        </w:tc>
        <w:tc>
          <w:tcPr>
            <w:tcW w:w="846" w:type="dxa"/>
            <w:tcBorders>
              <w:right w:val="single" w:color="auto" w:sz="8" w:space="0"/>
            </w:tcBorders>
            <w:noWrap w:val="0"/>
            <w:vAlign w:val="center"/>
          </w:tcPr>
          <w:p>
            <w:pPr>
              <w:spacing w:line="300" w:lineRule="auto"/>
              <w:jc w:val="center"/>
              <w:rPr>
                <w:rFonts w:hint="eastAsia" w:ascii="Times New Roman" w:hAnsi="Times New Roman" w:eastAsia="宋体" w:cs="Times New Roman"/>
                <w:kern w:val="2"/>
                <w:sz w:val="21"/>
                <w:szCs w:val="21"/>
                <w:lang w:val="en-US" w:eastAsia="zh-CN" w:bidi="ar-SA"/>
              </w:rPr>
            </w:pPr>
            <w:r>
              <w:rPr>
                <w:rFonts w:hint="eastAsia" w:ascii="宋体" w:cs="宋体"/>
                <w:kern w:val="0"/>
                <w:szCs w:val="21"/>
                <w:lang w:val="zh-CN"/>
              </w:rPr>
              <w:t>讲授</w:t>
            </w:r>
            <w:r>
              <w:rPr>
                <w:kern w:val="0"/>
                <w:szCs w:val="21"/>
              </w:rPr>
              <w:t>/</w:t>
            </w:r>
            <w:r>
              <w:rPr>
                <w:rFonts w:hint="eastAsia" w:ascii="宋体" w:cs="宋体"/>
                <w:kern w:val="0"/>
                <w:szCs w:val="21"/>
                <w:lang w:val="zh-CN"/>
              </w:rPr>
              <w:t>实验</w:t>
            </w:r>
            <w:r>
              <w:rPr>
                <w:kern w:val="0"/>
                <w:szCs w:val="21"/>
              </w:rPr>
              <w:t>/</w:t>
            </w:r>
            <w:r>
              <w:rPr>
                <w:rFonts w:hint="eastAsia" w:ascii="宋体" w:cs="宋体"/>
                <w:kern w:val="0"/>
                <w:szCs w:val="21"/>
                <w:lang w:val="zh-CN"/>
              </w:rPr>
              <w:t>讨论</w:t>
            </w:r>
            <w:r>
              <w:rPr>
                <w:kern w:val="0"/>
                <w:szCs w:val="21"/>
              </w:rPr>
              <w:t>/</w:t>
            </w:r>
            <w:r>
              <w:rPr>
                <w:rFonts w:hint="eastAsia" w:ascii="宋体" w:cs="宋体"/>
                <w:kern w:val="0"/>
                <w:szCs w:val="21"/>
                <w:lang w:val="zh-CN"/>
              </w:rPr>
              <w:t>等</w:t>
            </w:r>
          </w:p>
        </w:tc>
        <w:tc>
          <w:tcPr>
            <w:tcW w:w="846" w:type="dxa"/>
            <w:tcBorders>
              <w:right w:val="single" w:color="auto" w:sz="8" w:space="0"/>
            </w:tcBorders>
            <w:noWrap w:val="0"/>
            <w:vAlign w:val="center"/>
          </w:tcPr>
          <w:p>
            <w:pPr>
              <w:spacing w:line="300" w:lineRule="auto"/>
              <w:jc w:val="left"/>
              <w:rPr>
                <w:rFonts w:hint="eastAsia" w:cs="Times New Roman"/>
                <w:sz w:val="21"/>
                <w:szCs w:val="21"/>
                <w:lang w:val="en-US" w:eastAsia="zh-CN"/>
              </w:rPr>
            </w:pPr>
            <w:r>
              <w:rPr>
                <w:rFonts w:hint="eastAsia" w:cs="Times New Roman"/>
                <w:sz w:val="21"/>
                <w:szCs w:val="21"/>
                <w:lang w:val="en-US" w:eastAsia="zh-CN"/>
              </w:rPr>
              <w:t>目标1</w:t>
            </w:r>
          </w:p>
          <w:p>
            <w:pPr>
              <w:spacing w:line="300" w:lineRule="auto"/>
              <w:jc w:val="left"/>
              <w:rPr>
                <w:rFonts w:hint="eastAsia" w:cs="Times New Roman"/>
                <w:sz w:val="21"/>
                <w:szCs w:val="21"/>
                <w:lang w:val="en-US" w:eastAsia="zh-CN"/>
              </w:rPr>
            </w:pPr>
            <w:r>
              <w:rPr>
                <w:rFonts w:hint="eastAsia" w:cs="Times New Roman"/>
                <w:sz w:val="21"/>
                <w:szCs w:val="21"/>
                <w:lang w:val="en-US" w:eastAsia="zh-CN"/>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9" w:type="dxa"/>
            <w:tcBorders>
              <w:left w:val="single" w:color="auto" w:sz="8" w:space="0"/>
            </w:tcBorders>
            <w:noWrap w:val="0"/>
            <w:vAlign w:val="center"/>
          </w:tcPr>
          <w:p>
            <w:pPr>
              <w:spacing w:line="300" w:lineRule="auto"/>
              <w:jc w:val="center"/>
              <w:rPr>
                <w:rFonts w:ascii="Times New Roman" w:hAnsi="Times New Roman" w:eastAsia="宋体" w:cs="Times New Roman"/>
                <w:kern w:val="2"/>
                <w:sz w:val="21"/>
                <w:szCs w:val="21"/>
                <w:lang w:val="en-US" w:eastAsia="zh-CN" w:bidi="ar-SA"/>
              </w:rPr>
            </w:pPr>
            <w:r>
              <w:rPr>
                <w:sz w:val="21"/>
                <w:szCs w:val="21"/>
              </w:rPr>
              <w:t>4</w:t>
            </w:r>
          </w:p>
        </w:tc>
        <w:tc>
          <w:tcPr>
            <w:tcW w:w="2115" w:type="dxa"/>
            <w:noWrap w:val="0"/>
            <w:vAlign w:val="center"/>
          </w:tcPr>
          <w:p>
            <w:pPr>
              <w:spacing w:line="300" w:lineRule="auto"/>
              <w:jc w:val="left"/>
              <w:rPr>
                <w:sz w:val="21"/>
                <w:szCs w:val="21"/>
              </w:rPr>
            </w:pPr>
            <w:r>
              <w:rPr>
                <w:rFonts w:hint="eastAsia"/>
                <w:color w:val="000000"/>
                <w:sz w:val="21"/>
                <w:szCs w:val="21"/>
              </w:rPr>
              <w:t>流体流动阻力的测定</w:t>
            </w:r>
          </w:p>
        </w:tc>
        <w:tc>
          <w:tcPr>
            <w:tcW w:w="151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sz w:val="21"/>
                <w:szCs w:val="21"/>
                <w:lang w:val="en-US" w:eastAsia="zh-CN"/>
              </w:rPr>
            </w:pPr>
            <w:r>
              <w:rPr>
                <w:rFonts w:hint="eastAsia" w:ascii="宋体" w:cs="宋体"/>
                <w:kern w:val="0"/>
                <w:szCs w:val="21"/>
                <w:lang w:val="zh-CN"/>
              </w:rPr>
              <w:t>结合利用著名科学家的科研故事（</w:t>
            </w:r>
            <w:r>
              <w:rPr>
                <w:rFonts w:hint="eastAsia" w:ascii="宋体" w:hAnsi="宋体" w:eastAsia="宋体" w:cs="宋体"/>
                <w:color w:val="000000"/>
                <w:kern w:val="0"/>
                <w:sz w:val="21"/>
                <w:szCs w:val="21"/>
                <w:lang w:val="en-US" w:eastAsia="zh-CN" w:bidi="ar"/>
              </w:rPr>
              <w:t>顾毓珍先生</w:t>
            </w:r>
            <w:r>
              <w:rPr>
                <w:rFonts w:hint="eastAsia" w:ascii="宋体" w:cs="宋体"/>
                <w:kern w:val="0"/>
                <w:szCs w:val="21"/>
                <w:lang w:val="zh-CN"/>
              </w:rPr>
              <w:t>）讲授，</w:t>
            </w:r>
            <w:r>
              <w:rPr>
                <w:rFonts w:hint="eastAsia" w:ascii="宋体" w:hAnsi="宋体" w:eastAsia="宋体" w:cs="宋体"/>
                <w:color w:val="000000"/>
                <w:kern w:val="0"/>
                <w:sz w:val="21"/>
                <w:szCs w:val="21"/>
                <w:lang w:val="en-US" w:eastAsia="zh-CN" w:bidi="ar"/>
              </w:rPr>
              <w:t>可用作爱国主义、理想信念和科学精神教育的德育元素。</w:t>
            </w:r>
          </w:p>
        </w:tc>
        <w:tc>
          <w:tcPr>
            <w:tcW w:w="3044" w:type="dxa"/>
            <w:tcBorders>
              <w:right w:val="single" w:color="auto" w:sz="8" w:space="0"/>
            </w:tcBorders>
            <w:noWrap w:val="0"/>
            <w:vAlign w:val="center"/>
          </w:tcPr>
          <w:p>
            <w:pPr>
              <w:spacing w:line="300" w:lineRule="auto"/>
              <w:jc w:val="left"/>
              <w:rPr>
                <w:rFonts w:hint="eastAsia" w:eastAsia="宋体"/>
                <w:sz w:val="21"/>
                <w:szCs w:val="21"/>
                <w:lang w:val="en-US" w:eastAsia="zh-CN"/>
              </w:rPr>
            </w:pPr>
            <w:r>
              <w:rPr>
                <w:rFonts w:ascii="宋体" w:hAnsi="宋体"/>
                <w:sz w:val="21"/>
                <w:szCs w:val="21"/>
              </w:rPr>
              <w:t>流体通过直管、管件和阀门的阻力损失测定</w:t>
            </w:r>
          </w:p>
        </w:tc>
        <w:tc>
          <w:tcPr>
            <w:tcW w:w="846" w:type="dxa"/>
            <w:tcBorders>
              <w:right w:val="single" w:color="auto" w:sz="8" w:space="0"/>
            </w:tcBorders>
            <w:noWrap w:val="0"/>
            <w:vAlign w:val="center"/>
          </w:tcPr>
          <w:p>
            <w:pPr>
              <w:spacing w:line="300" w:lineRule="auto"/>
              <w:jc w:val="center"/>
              <w:rPr>
                <w:rFonts w:hint="default" w:ascii="Times New Roman" w:hAnsi="Times New Roman" w:eastAsia="宋体" w:cs="Times New Roman"/>
                <w:sz w:val="21"/>
                <w:szCs w:val="21"/>
                <w:lang w:val="en-US" w:eastAsia="zh-CN"/>
              </w:rPr>
            </w:pPr>
            <w:r>
              <w:rPr>
                <w:rFonts w:hint="eastAsia"/>
                <w:sz w:val="21"/>
                <w:szCs w:val="21"/>
                <w:lang w:val="en-US" w:eastAsia="zh-CN"/>
              </w:rPr>
              <w:t>4</w:t>
            </w:r>
          </w:p>
        </w:tc>
        <w:tc>
          <w:tcPr>
            <w:tcW w:w="846" w:type="dxa"/>
            <w:tcBorders>
              <w:right w:val="single" w:color="auto" w:sz="8" w:space="0"/>
            </w:tcBorders>
            <w:noWrap w:val="0"/>
            <w:vAlign w:val="center"/>
          </w:tcPr>
          <w:p>
            <w:pPr>
              <w:spacing w:line="300" w:lineRule="auto"/>
              <w:jc w:val="center"/>
              <w:rPr>
                <w:rFonts w:hint="eastAsia" w:ascii="Times New Roman" w:hAnsi="Times New Roman" w:eastAsia="宋体" w:cs="Times New Roman"/>
                <w:kern w:val="2"/>
                <w:sz w:val="21"/>
                <w:szCs w:val="21"/>
                <w:lang w:val="en-US" w:eastAsia="zh-CN" w:bidi="ar-SA"/>
              </w:rPr>
            </w:pPr>
            <w:r>
              <w:rPr>
                <w:rFonts w:hint="eastAsia" w:ascii="宋体" w:cs="宋体"/>
                <w:kern w:val="0"/>
                <w:szCs w:val="21"/>
                <w:lang w:val="zh-CN"/>
              </w:rPr>
              <w:t>讲授</w:t>
            </w:r>
            <w:r>
              <w:rPr>
                <w:kern w:val="0"/>
                <w:szCs w:val="21"/>
              </w:rPr>
              <w:t>/</w:t>
            </w:r>
            <w:r>
              <w:rPr>
                <w:rFonts w:hint="eastAsia" w:ascii="宋体" w:cs="宋体"/>
                <w:kern w:val="0"/>
                <w:szCs w:val="21"/>
                <w:lang w:val="zh-CN"/>
              </w:rPr>
              <w:t>实验</w:t>
            </w:r>
            <w:r>
              <w:rPr>
                <w:kern w:val="0"/>
                <w:szCs w:val="21"/>
              </w:rPr>
              <w:t>/</w:t>
            </w:r>
            <w:r>
              <w:rPr>
                <w:rFonts w:hint="eastAsia" w:ascii="宋体" w:cs="宋体"/>
                <w:kern w:val="0"/>
                <w:szCs w:val="21"/>
                <w:lang w:val="zh-CN"/>
              </w:rPr>
              <w:t>讨论</w:t>
            </w:r>
            <w:r>
              <w:rPr>
                <w:kern w:val="0"/>
                <w:szCs w:val="21"/>
              </w:rPr>
              <w:t>/</w:t>
            </w:r>
            <w:r>
              <w:rPr>
                <w:rFonts w:hint="eastAsia" w:ascii="宋体" w:cs="宋体"/>
                <w:kern w:val="0"/>
                <w:szCs w:val="21"/>
                <w:lang w:val="zh-CN"/>
              </w:rPr>
              <w:t>等</w:t>
            </w:r>
          </w:p>
        </w:tc>
        <w:tc>
          <w:tcPr>
            <w:tcW w:w="846" w:type="dxa"/>
            <w:tcBorders>
              <w:right w:val="single" w:color="auto" w:sz="8" w:space="0"/>
            </w:tcBorders>
            <w:noWrap w:val="0"/>
            <w:vAlign w:val="center"/>
          </w:tcPr>
          <w:p>
            <w:pPr>
              <w:spacing w:line="300" w:lineRule="auto"/>
              <w:jc w:val="left"/>
              <w:rPr>
                <w:rFonts w:hint="eastAsia" w:cs="Times New Roman"/>
                <w:sz w:val="21"/>
                <w:szCs w:val="21"/>
                <w:lang w:val="en-US" w:eastAsia="zh-CN"/>
              </w:rPr>
            </w:pPr>
            <w:r>
              <w:rPr>
                <w:rFonts w:hint="eastAsia" w:cs="Times New Roman"/>
                <w:sz w:val="21"/>
                <w:szCs w:val="21"/>
                <w:lang w:val="en-US" w:eastAsia="zh-CN"/>
              </w:rPr>
              <w:t>目标1</w:t>
            </w:r>
          </w:p>
          <w:p>
            <w:pPr>
              <w:spacing w:line="300" w:lineRule="auto"/>
              <w:jc w:val="left"/>
              <w:rPr>
                <w:rFonts w:hint="eastAsia" w:cs="Times New Roman"/>
                <w:sz w:val="21"/>
                <w:szCs w:val="21"/>
                <w:lang w:val="en-US" w:eastAsia="zh-CN"/>
              </w:rPr>
            </w:pPr>
            <w:r>
              <w:rPr>
                <w:rFonts w:hint="eastAsia" w:cs="Times New Roman"/>
                <w:sz w:val="21"/>
                <w:szCs w:val="21"/>
                <w:lang w:val="en-US" w:eastAsia="zh-CN"/>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9" w:type="dxa"/>
            <w:tcBorders>
              <w:left w:val="single" w:color="auto" w:sz="8" w:space="0"/>
            </w:tcBorders>
            <w:noWrap w:val="0"/>
            <w:vAlign w:val="center"/>
          </w:tcPr>
          <w:p>
            <w:pPr>
              <w:spacing w:line="300" w:lineRule="auto"/>
              <w:jc w:val="center"/>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5</w:t>
            </w:r>
          </w:p>
        </w:tc>
        <w:tc>
          <w:tcPr>
            <w:tcW w:w="2115" w:type="dxa"/>
            <w:noWrap w:val="0"/>
            <w:vAlign w:val="center"/>
          </w:tcPr>
          <w:p>
            <w:pPr>
              <w:spacing w:line="300" w:lineRule="auto"/>
              <w:jc w:val="center"/>
              <w:rPr>
                <w:sz w:val="21"/>
                <w:szCs w:val="21"/>
              </w:rPr>
            </w:pPr>
            <w:r>
              <w:rPr>
                <w:rFonts w:hint="eastAsia"/>
                <w:color w:val="000000"/>
                <w:sz w:val="21"/>
                <w:szCs w:val="21"/>
              </w:rPr>
              <w:t>离心泵</w:t>
            </w:r>
            <w:r>
              <w:rPr>
                <w:rFonts w:hint="eastAsia"/>
                <w:color w:val="000000"/>
                <w:sz w:val="21"/>
                <w:szCs w:val="21"/>
                <w:lang w:val="en-US" w:eastAsia="zh-CN"/>
              </w:rPr>
              <w:t>特</w:t>
            </w:r>
            <w:r>
              <w:rPr>
                <w:rFonts w:hint="eastAsia"/>
                <w:color w:val="000000"/>
                <w:sz w:val="21"/>
                <w:szCs w:val="21"/>
              </w:rPr>
              <w:t>性</w:t>
            </w:r>
            <w:r>
              <w:rPr>
                <w:rFonts w:hint="eastAsia"/>
                <w:color w:val="000000"/>
                <w:sz w:val="21"/>
                <w:szCs w:val="21"/>
                <w:lang w:val="en-US" w:eastAsia="zh-CN"/>
              </w:rPr>
              <w:t>曲线</w:t>
            </w:r>
            <w:r>
              <w:rPr>
                <w:rFonts w:hint="eastAsia"/>
                <w:color w:val="000000"/>
                <w:sz w:val="21"/>
                <w:szCs w:val="21"/>
              </w:rPr>
              <w:t>的测定</w:t>
            </w:r>
          </w:p>
        </w:tc>
        <w:tc>
          <w:tcPr>
            <w:tcW w:w="1515" w:type="dxa"/>
            <w:noWrap w:val="0"/>
            <w:vAlign w:val="center"/>
          </w:tcPr>
          <w:p>
            <w:pPr>
              <w:spacing w:line="300" w:lineRule="auto"/>
              <w:jc w:val="center"/>
              <w:rPr>
                <w:rFonts w:hint="default" w:eastAsia="宋体"/>
                <w:sz w:val="21"/>
                <w:szCs w:val="21"/>
                <w:lang w:val="en-US" w:eastAsia="zh-CN"/>
              </w:rPr>
            </w:pPr>
          </w:p>
        </w:tc>
        <w:tc>
          <w:tcPr>
            <w:tcW w:w="3044" w:type="dxa"/>
            <w:tcBorders>
              <w:right w:val="single" w:color="auto" w:sz="8" w:space="0"/>
            </w:tcBorders>
            <w:noWrap w:val="0"/>
            <w:vAlign w:val="center"/>
          </w:tcPr>
          <w:p>
            <w:pPr>
              <w:spacing w:line="300" w:lineRule="auto"/>
              <w:jc w:val="left"/>
              <w:rPr>
                <w:sz w:val="21"/>
                <w:szCs w:val="21"/>
              </w:rPr>
            </w:pPr>
            <w:r>
              <w:rPr>
                <w:rFonts w:ascii="宋体" w:hAnsi="宋体"/>
                <w:sz w:val="21"/>
                <w:szCs w:val="21"/>
              </w:rPr>
              <w:t>离心泵特性曲线的测定，</w:t>
            </w:r>
            <w:r>
              <w:rPr>
                <w:rFonts w:hint="eastAsia" w:ascii="宋体" w:hAnsi="宋体"/>
                <w:sz w:val="21"/>
                <w:szCs w:val="21"/>
                <w:lang w:val="en-US" w:eastAsia="zh-CN"/>
              </w:rPr>
              <w:t>双泵串联与并联</w:t>
            </w:r>
            <w:r>
              <w:rPr>
                <w:rFonts w:ascii="宋体" w:hAnsi="宋体"/>
                <w:sz w:val="21"/>
                <w:szCs w:val="21"/>
              </w:rPr>
              <w:t>的</w:t>
            </w:r>
            <w:r>
              <w:rPr>
                <w:rFonts w:hint="eastAsia" w:ascii="宋体" w:hAnsi="宋体"/>
                <w:sz w:val="21"/>
                <w:szCs w:val="21"/>
                <w:lang w:val="en-US" w:eastAsia="zh-CN"/>
              </w:rPr>
              <w:t>调节与测定</w:t>
            </w:r>
          </w:p>
        </w:tc>
        <w:tc>
          <w:tcPr>
            <w:tcW w:w="846" w:type="dxa"/>
            <w:tcBorders>
              <w:right w:val="single" w:color="auto" w:sz="8" w:space="0"/>
            </w:tcBorders>
            <w:noWrap w:val="0"/>
            <w:vAlign w:val="center"/>
          </w:tcPr>
          <w:p>
            <w:pPr>
              <w:spacing w:line="300" w:lineRule="auto"/>
              <w:jc w:val="center"/>
              <w:rPr>
                <w:rFonts w:hint="default" w:ascii="Times New Roman" w:hAnsi="Times New Roman" w:eastAsia="宋体" w:cs="Times New Roman"/>
                <w:sz w:val="21"/>
                <w:szCs w:val="21"/>
                <w:lang w:val="en-US" w:eastAsia="zh-CN"/>
              </w:rPr>
            </w:pPr>
            <w:r>
              <w:rPr>
                <w:rFonts w:hint="eastAsia"/>
                <w:sz w:val="21"/>
                <w:szCs w:val="21"/>
                <w:lang w:val="en-US" w:eastAsia="zh-CN"/>
              </w:rPr>
              <w:t>4</w:t>
            </w:r>
          </w:p>
        </w:tc>
        <w:tc>
          <w:tcPr>
            <w:tcW w:w="846" w:type="dxa"/>
            <w:tcBorders>
              <w:right w:val="single" w:color="auto" w:sz="8" w:space="0"/>
            </w:tcBorders>
            <w:noWrap w:val="0"/>
            <w:vAlign w:val="center"/>
          </w:tcPr>
          <w:p>
            <w:pPr>
              <w:spacing w:line="300" w:lineRule="auto"/>
              <w:jc w:val="center"/>
              <w:rPr>
                <w:rFonts w:hint="eastAsia" w:ascii="Times New Roman" w:hAnsi="Times New Roman" w:eastAsia="宋体" w:cs="Times New Roman"/>
                <w:kern w:val="2"/>
                <w:sz w:val="21"/>
                <w:szCs w:val="21"/>
                <w:lang w:val="en-US" w:eastAsia="zh-CN" w:bidi="ar-SA"/>
              </w:rPr>
            </w:pPr>
            <w:r>
              <w:rPr>
                <w:rFonts w:hint="eastAsia" w:ascii="宋体" w:cs="宋体"/>
                <w:kern w:val="0"/>
                <w:szCs w:val="21"/>
                <w:lang w:val="zh-CN"/>
              </w:rPr>
              <w:t>讲授</w:t>
            </w:r>
            <w:r>
              <w:rPr>
                <w:kern w:val="0"/>
                <w:szCs w:val="21"/>
              </w:rPr>
              <w:t>/</w:t>
            </w:r>
            <w:r>
              <w:rPr>
                <w:rFonts w:hint="eastAsia" w:ascii="宋体" w:cs="宋体"/>
                <w:kern w:val="0"/>
                <w:szCs w:val="21"/>
                <w:lang w:val="zh-CN"/>
              </w:rPr>
              <w:t>实验</w:t>
            </w:r>
            <w:r>
              <w:rPr>
                <w:kern w:val="0"/>
                <w:szCs w:val="21"/>
              </w:rPr>
              <w:t>/</w:t>
            </w:r>
            <w:r>
              <w:rPr>
                <w:rFonts w:hint="eastAsia" w:ascii="宋体" w:cs="宋体"/>
                <w:kern w:val="0"/>
                <w:szCs w:val="21"/>
                <w:lang w:val="zh-CN"/>
              </w:rPr>
              <w:t>讨论</w:t>
            </w:r>
            <w:r>
              <w:rPr>
                <w:kern w:val="0"/>
                <w:szCs w:val="21"/>
              </w:rPr>
              <w:t>/</w:t>
            </w:r>
            <w:r>
              <w:rPr>
                <w:rFonts w:hint="eastAsia" w:ascii="宋体" w:cs="宋体"/>
                <w:kern w:val="0"/>
                <w:szCs w:val="21"/>
                <w:lang w:val="zh-CN"/>
              </w:rPr>
              <w:t>等</w:t>
            </w:r>
          </w:p>
        </w:tc>
        <w:tc>
          <w:tcPr>
            <w:tcW w:w="846" w:type="dxa"/>
            <w:tcBorders>
              <w:right w:val="single" w:color="auto" w:sz="8" w:space="0"/>
            </w:tcBorders>
            <w:noWrap w:val="0"/>
            <w:vAlign w:val="center"/>
          </w:tcPr>
          <w:p>
            <w:pPr>
              <w:spacing w:line="300" w:lineRule="auto"/>
              <w:jc w:val="left"/>
              <w:rPr>
                <w:rFonts w:hint="eastAsia" w:cs="Times New Roman"/>
                <w:sz w:val="21"/>
                <w:szCs w:val="21"/>
                <w:lang w:val="en-US" w:eastAsia="zh-CN"/>
              </w:rPr>
            </w:pPr>
            <w:r>
              <w:rPr>
                <w:rFonts w:hint="eastAsia" w:cs="Times New Roman"/>
                <w:sz w:val="21"/>
                <w:szCs w:val="21"/>
                <w:lang w:val="en-US" w:eastAsia="zh-CN"/>
              </w:rPr>
              <w:t>目标1</w:t>
            </w:r>
          </w:p>
          <w:p>
            <w:pPr>
              <w:spacing w:line="300" w:lineRule="auto"/>
              <w:jc w:val="left"/>
              <w:rPr>
                <w:rFonts w:hint="eastAsia" w:cs="Times New Roman"/>
                <w:sz w:val="21"/>
                <w:szCs w:val="21"/>
                <w:lang w:val="en-US" w:eastAsia="zh-CN"/>
              </w:rPr>
            </w:pPr>
            <w:r>
              <w:rPr>
                <w:rFonts w:hint="eastAsia" w:cs="Times New Roman"/>
                <w:sz w:val="21"/>
                <w:szCs w:val="21"/>
                <w:lang w:val="en-US" w:eastAsia="zh-CN"/>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9" w:type="dxa"/>
            <w:tcBorders>
              <w:left w:val="single" w:color="auto" w:sz="8" w:space="0"/>
            </w:tcBorders>
            <w:noWrap w:val="0"/>
            <w:vAlign w:val="center"/>
          </w:tcPr>
          <w:p>
            <w:pPr>
              <w:spacing w:line="300" w:lineRule="auto"/>
              <w:jc w:val="center"/>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6</w:t>
            </w:r>
          </w:p>
        </w:tc>
        <w:tc>
          <w:tcPr>
            <w:tcW w:w="2115" w:type="dxa"/>
            <w:noWrap w:val="0"/>
            <w:vAlign w:val="center"/>
          </w:tcPr>
          <w:p>
            <w:pPr>
              <w:spacing w:line="300" w:lineRule="auto"/>
              <w:ind w:left="-108" w:leftChars="0" w:firstLine="105" w:firstLineChars="50"/>
              <w:jc w:val="center"/>
              <w:rPr>
                <w:sz w:val="21"/>
                <w:szCs w:val="21"/>
                <w:lang w:val="en-US"/>
              </w:rPr>
            </w:pPr>
            <w:r>
              <w:rPr>
                <w:rFonts w:ascii="宋体" w:hAnsi="宋体"/>
                <w:sz w:val="21"/>
                <w:szCs w:val="21"/>
              </w:rPr>
              <w:t>过滤实验</w:t>
            </w:r>
          </w:p>
        </w:tc>
        <w:tc>
          <w:tcPr>
            <w:tcW w:w="151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sz w:val="21"/>
                <w:szCs w:val="21"/>
                <w:lang w:val="en-US" w:eastAsia="zh-CN"/>
              </w:rPr>
            </w:pPr>
            <w:r>
              <w:rPr>
                <w:rFonts w:hint="eastAsia" w:ascii="宋体" w:hAnsi="宋体" w:eastAsia="宋体" w:cs="宋体"/>
                <w:color w:val="000000"/>
                <w:kern w:val="0"/>
                <w:sz w:val="21"/>
                <w:szCs w:val="21"/>
                <w:lang w:val="en-US" w:eastAsia="zh-CN" w:bidi="ar"/>
              </w:rPr>
              <w:t>渗透环保、健康、安全和法律等化工过程的理念</w:t>
            </w:r>
          </w:p>
        </w:tc>
        <w:tc>
          <w:tcPr>
            <w:tcW w:w="3044" w:type="dxa"/>
            <w:tcBorders>
              <w:right w:val="single" w:color="auto" w:sz="8" w:space="0"/>
            </w:tcBorders>
            <w:noWrap w:val="0"/>
            <w:vAlign w:val="center"/>
          </w:tcPr>
          <w:p>
            <w:pPr>
              <w:spacing w:line="300" w:lineRule="auto"/>
              <w:jc w:val="left"/>
              <w:rPr>
                <w:sz w:val="21"/>
                <w:szCs w:val="21"/>
              </w:rPr>
            </w:pPr>
            <w:r>
              <w:rPr>
                <w:rFonts w:ascii="宋体" w:hAnsi="宋体"/>
                <w:sz w:val="21"/>
                <w:szCs w:val="21"/>
              </w:rPr>
              <w:t>测定恒压过滤时的过滤常数及滤饼的压缩性指数</w:t>
            </w:r>
          </w:p>
        </w:tc>
        <w:tc>
          <w:tcPr>
            <w:tcW w:w="846" w:type="dxa"/>
            <w:tcBorders>
              <w:right w:val="single" w:color="auto" w:sz="8" w:space="0"/>
            </w:tcBorders>
            <w:noWrap w:val="0"/>
            <w:vAlign w:val="center"/>
          </w:tcPr>
          <w:p>
            <w:pPr>
              <w:spacing w:line="300" w:lineRule="auto"/>
              <w:jc w:val="center"/>
              <w:rPr>
                <w:rFonts w:hint="default" w:ascii="Times New Roman" w:hAnsi="Times New Roman" w:eastAsia="宋体" w:cs="Times New Roman"/>
                <w:sz w:val="21"/>
                <w:szCs w:val="21"/>
                <w:lang w:val="en-US" w:eastAsia="zh-CN"/>
              </w:rPr>
            </w:pPr>
            <w:r>
              <w:rPr>
                <w:rFonts w:hint="eastAsia"/>
                <w:sz w:val="21"/>
                <w:szCs w:val="21"/>
                <w:lang w:val="en-US" w:eastAsia="zh-CN"/>
              </w:rPr>
              <w:t>4</w:t>
            </w:r>
          </w:p>
        </w:tc>
        <w:tc>
          <w:tcPr>
            <w:tcW w:w="846" w:type="dxa"/>
            <w:tcBorders>
              <w:right w:val="single" w:color="auto" w:sz="8" w:space="0"/>
            </w:tcBorders>
            <w:noWrap w:val="0"/>
            <w:vAlign w:val="center"/>
          </w:tcPr>
          <w:p>
            <w:pPr>
              <w:spacing w:line="300" w:lineRule="auto"/>
              <w:jc w:val="center"/>
              <w:rPr>
                <w:rFonts w:hint="eastAsia" w:ascii="Times New Roman" w:hAnsi="Times New Roman" w:eastAsia="宋体" w:cs="Times New Roman"/>
                <w:kern w:val="2"/>
                <w:sz w:val="21"/>
                <w:szCs w:val="21"/>
                <w:lang w:val="en-US" w:eastAsia="zh-CN" w:bidi="ar-SA"/>
              </w:rPr>
            </w:pPr>
            <w:r>
              <w:rPr>
                <w:rFonts w:hint="eastAsia" w:ascii="宋体" w:cs="宋体"/>
                <w:kern w:val="0"/>
                <w:szCs w:val="21"/>
                <w:lang w:val="zh-CN"/>
              </w:rPr>
              <w:t>讲授</w:t>
            </w:r>
            <w:r>
              <w:rPr>
                <w:kern w:val="0"/>
                <w:szCs w:val="21"/>
              </w:rPr>
              <w:t>/</w:t>
            </w:r>
            <w:r>
              <w:rPr>
                <w:rFonts w:hint="eastAsia" w:ascii="宋体" w:cs="宋体"/>
                <w:kern w:val="0"/>
                <w:szCs w:val="21"/>
                <w:lang w:val="zh-CN"/>
              </w:rPr>
              <w:t>实验</w:t>
            </w:r>
            <w:r>
              <w:rPr>
                <w:kern w:val="0"/>
                <w:szCs w:val="21"/>
              </w:rPr>
              <w:t>/</w:t>
            </w:r>
            <w:r>
              <w:rPr>
                <w:rFonts w:hint="eastAsia" w:ascii="宋体" w:cs="宋体"/>
                <w:kern w:val="0"/>
                <w:szCs w:val="21"/>
                <w:lang w:val="zh-CN"/>
              </w:rPr>
              <w:t>讨论</w:t>
            </w:r>
            <w:r>
              <w:rPr>
                <w:kern w:val="0"/>
                <w:szCs w:val="21"/>
              </w:rPr>
              <w:t>/</w:t>
            </w:r>
            <w:r>
              <w:rPr>
                <w:rFonts w:hint="eastAsia" w:ascii="宋体" w:cs="宋体"/>
                <w:kern w:val="0"/>
                <w:szCs w:val="21"/>
                <w:lang w:val="zh-CN"/>
              </w:rPr>
              <w:t>等</w:t>
            </w:r>
          </w:p>
        </w:tc>
        <w:tc>
          <w:tcPr>
            <w:tcW w:w="846" w:type="dxa"/>
            <w:tcBorders>
              <w:right w:val="single" w:color="auto" w:sz="8" w:space="0"/>
            </w:tcBorders>
            <w:noWrap w:val="0"/>
            <w:vAlign w:val="center"/>
          </w:tcPr>
          <w:p>
            <w:pPr>
              <w:spacing w:line="300" w:lineRule="auto"/>
              <w:jc w:val="left"/>
              <w:rPr>
                <w:rFonts w:hint="eastAsia" w:cs="Times New Roman"/>
                <w:sz w:val="21"/>
                <w:szCs w:val="21"/>
                <w:lang w:val="en-US" w:eastAsia="zh-CN"/>
              </w:rPr>
            </w:pPr>
            <w:r>
              <w:rPr>
                <w:rFonts w:hint="eastAsia" w:cs="Times New Roman"/>
                <w:sz w:val="21"/>
                <w:szCs w:val="21"/>
                <w:lang w:val="en-US" w:eastAsia="zh-CN"/>
              </w:rPr>
              <w:t>目标1</w:t>
            </w:r>
          </w:p>
          <w:p>
            <w:pPr>
              <w:spacing w:line="300" w:lineRule="auto"/>
              <w:jc w:val="left"/>
              <w:rPr>
                <w:rFonts w:hint="eastAsia" w:cs="Times New Roman"/>
                <w:sz w:val="21"/>
                <w:szCs w:val="21"/>
                <w:lang w:val="en-US" w:eastAsia="zh-CN"/>
              </w:rPr>
            </w:pPr>
            <w:r>
              <w:rPr>
                <w:rFonts w:hint="eastAsia" w:cs="Times New Roman"/>
                <w:sz w:val="21"/>
                <w:szCs w:val="21"/>
                <w:lang w:val="en-US" w:eastAsia="zh-CN"/>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9" w:type="dxa"/>
            <w:tcBorders>
              <w:left w:val="single" w:color="auto" w:sz="8" w:space="0"/>
            </w:tcBorders>
            <w:noWrap w:val="0"/>
            <w:vAlign w:val="center"/>
          </w:tcPr>
          <w:p>
            <w:pPr>
              <w:spacing w:line="300" w:lineRule="auto"/>
              <w:jc w:val="center"/>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7</w:t>
            </w:r>
          </w:p>
        </w:tc>
        <w:tc>
          <w:tcPr>
            <w:tcW w:w="2115" w:type="dxa"/>
            <w:noWrap w:val="0"/>
            <w:vAlign w:val="center"/>
          </w:tcPr>
          <w:p>
            <w:pPr>
              <w:spacing w:line="300" w:lineRule="auto"/>
              <w:ind w:left="-108" w:leftChars="0" w:firstLine="105" w:firstLineChars="50"/>
              <w:jc w:val="center"/>
              <w:rPr>
                <w:rFonts w:hint="eastAsia" w:ascii="Times New Roman" w:hAnsi="Times New Roman" w:eastAsia="宋体" w:cs="Times New Roman"/>
                <w:color w:val="000000"/>
                <w:kern w:val="2"/>
                <w:sz w:val="21"/>
                <w:szCs w:val="21"/>
                <w:lang w:val="en-US" w:eastAsia="zh-CN" w:bidi="ar-SA"/>
              </w:rPr>
            </w:pPr>
            <w:r>
              <w:rPr>
                <w:rFonts w:hint="eastAsia"/>
                <w:sz w:val="21"/>
                <w:szCs w:val="21"/>
              </w:rPr>
              <w:t>传热实验</w:t>
            </w:r>
          </w:p>
        </w:tc>
        <w:tc>
          <w:tcPr>
            <w:tcW w:w="1515" w:type="dxa"/>
            <w:noWrap w:val="0"/>
            <w:vAlign w:val="center"/>
          </w:tcPr>
          <w:p>
            <w:pPr>
              <w:keepNext w:val="0"/>
              <w:keepLines w:val="0"/>
              <w:widowControl/>
              <w:suppressLineNumbers w:val="0"/>
              <w:jc w:val="left"/>
              <w:rPr>
                <w:rFonts w:hint="default" w:ascii="Times New Roman" w:hAnsi="Times New Roman" w:eastAsia="宋体" w:cs="Times New Roman"/>
                <w:kern w:val="2"/>
                <w:sz w:val="21"/>
                <w:szCs w:val="21"/>
                <w:lang w:val="en-US" w:eastAsia="zh-CN" w:bidi="ar-SA"/>
              </w:rPr>
            </w:pPr>
            <w:r>
              <w:rPr>
                <w:rFonts w:hint="eastAsia" w:ascii="宋体" w:cs="宋体"/>
                <w:kern w:val="0"/>
                <w:szCs w:val="21"/>
                <w:lang w:val="zh-CN"/>
              </w:rPr>
              <w:t>结合利用著名科学家</w:t>
            </w:r>
            <w:r>
              <w:rPr>
                <w:rFonts w:hint="eastAsia" w:ascii="宋体" w:hAnsi="宋体" w:eastAsia="宋体" w:cs="宋体"/>
                <w:color w:val="000000"/>
                <w:kern w:val="0"/>
                <w:sz w:val="21"/>
                <w:szCs w:val="21"/>
                <w:lang w:val="en-US" w:eastAsia="zh-CN" w:bidi="ar"/>
              </w:rPr>
              <w:t>普朗特</w:t>
            </w:r>
            <w:r>
              <w:rPr>
                <w:rFonts w:hint="eastAsia" w:ascii="宋体" w:cs="宋体"/>
                <w:kern w:val="0"/>
                <w:szCs w:val="21"/>
                <w:lang w:val="zh-CN"/>
              </w:rPr>
              <w:t>的科研故事讲授，</w:t>
            </w:r>
            <w:r>
              <w:rPr>
                <w:rFonts w:hint="eastAsia" w:ascii="宋体" w:hAnsi="宋体" w:eastAsia="宋体" w:cs="宋体"/>
                <w:color w:val="000000"/>
                <w:kern w:val="0"/>
                <w:sz w:val="21"/>
                <w:szCs w:val="21"/>
                <w:lang w:val="en-US" w:eastAsia="zh-CN" w:bidi="ar"/>
              </w:rPr>
              <w:t>隐性渗透式的理想信念、使命感和科学精神等思政教育。</w:t>
            </w:r>
          </w:p>
        </w:tc>
        <w:tc>
          <w:tcPr>
            <w:tcW w:w="3044" w:type="dxa"/>
            <w:tcBorders>
              <w:right w:val="single" w:color="auto" w:sz="8" w:space="0"/>
            </w:tcBorders>
            <w:noWrap w:val="0"/>
            <w:vAlign w:val="center"/>
          </w:tcPr>
          <w:p>
            <w:pPr>
              <w:spacing w:line="300" w:lineRule="auto"/>
              <w:jc w:val="left"/>
              <w:rPr>
                <w:rFonts w:hint="eastAsia" w:ascii="Times New Roman" w:hAnsi="Times New Roman" w:eastAsia="宋体" w:cs="Times New Roman"/>
                <w:kern w:val="2"/>
                <w:sz w:val="21"/>
                <w:szCs w:val="21"/>
                <w:lang w:val="en-US" w:eastAsia="zh-CN" w:bidi="ar-SA"/>
              </w:rPr>
            </w:pPr>
            <w:r>
              <w:rPr>
                <w:rFonts w:hint="eastAsia" w:ascii="宋体" w:hAnsi="宋体" w:cs="宋体"/>
                <w:sz w:val="21"/>
                <w:szCs w:val="21"/>
              </w:rPr>
              <w:t>列管换热器单管路、串联管路、并联管路</w:t>
            </w:r>
            <w:r>
              <w:rPr>
                <w:rFonts w:hint="eastAsia" w:ascii="宋体" w:hAnsi="宋体" w:cs="宋体"/>
                <w:sz w:val="21"/>
                <w:szCs w:val="21"/>
                <w:lang w:val="en-US" w:eastAsia="zh-CN"/>
              </w:rPr>
              <w:t>的调节与总传热系数的测定</w:t>
            </w:r>
          </w:p>
        </w:tc>
        <w:tc>
          <w:tcPr>
            <w:tcW w:w="846" w:type="dxa"/>
            <w:tcBorders>
              <w:right w:val="single" w:color="auto" w:sz="8" w:space="0"/>
            </w:tcBorders>
            <w:noWrap w:val="0"/>
            <w:vAlign w:val="center"/>
          </w:tcPr>
          <w:p>
            <w:pPr>
              <w:spacing w:line="300" w:lineRule="auto"/>
              <w:jc w:val="center"/>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4</w:t>
            </w:r>
          </w:p>
        </w:tc>
        <w:tc>
          <w:tcPr>
            <w:tcW w:w="846" w:type="dxa"/>
            <w:tcBorders>
              <w:right w:val="single" w:color="auto" w:sz="8" w:space="0"/>
            </w:tcBorders>
            <w:noWrap w:val="0"/>
            <w:vAlign w:val="center"/>
          </w:tcPr>
          <w:p>
            <w:pPr>
              <w:spacing w:line="300" w:lineRule="auto"/>
              <w:jc w:val="center"/>
              <w:rPr>
                <w:rFonts w:hint="eastAsia" w:ascii="Times New Roman" w:hAnsi="Times New Roman" w:eastAsia="宋体" w:cs="Times New Roman"/>
                <w:kern w:val="2"/>
                <w:sz w:val="21"/>
                <w:szCs w:val="21"/>
                <w:lang w:val="en-US" w:eastAsia="zh-CN" w:bidi="ar-SA"/>
              </w:rPr>
            </w:pPr>
            <w:r>
              <w:rPr>
                <w:rFonts w:hint="eastAsia" w:ascii="宋体" w:cs="宋体"/>
                <w:kern w:val="0"/>
                <w:szCs w:val="21"/>
                <w:lang w:val="zh-CN"/>
              </w:rPr>
              <w:t>讲授</w:t>
            </w:r>
            <w:r>
              <w:rPr>
                <w:kern w:val="0"/>
                <w:szCs w:val="21"/>
              </w:rPr>
              <w:t>/</w:t>
            </w:r>
            <w:r>
              <w:rPr>
                <w:rFonts w:hint="eastAsia" w:ascii="宋体" w:cs="宋体"/>
                <w:kern w:val="0"/>
                <w:szCs w:val="21"/>
                <w:lang w:val="zh-CN"/>
              </w:rPr>
              <w:t>实验</w:t>
            </w:r>
            <w:r>
              <w:rPr>
                <w:kern w:val="0"/>
                <w:szCs w:val="21"/>
              </w:rPr>
              <w:t>/</w:t>
            </w:r>
            <w:r>
              <w:rPr>
                <w:rFonts w:hint="eastAsia" w:ascii="宋体" w:cs="宋体"/>
                <w:kern w:val="0"/>
                <w:szCs w:val="21"/>
                <w:lang w:val="zh-CN"/>
              </w:rPr>
              <w:t>讨论</w:t>
            </w:r>
            <w:r>
              <w:rPr>
                <w:kern w:val="0"/>
                <w:szCs w:val="21"/>
              </w:rPr>
              <w:t>/</w:t>
            </w:r>
            <w:r>
              <w:rPr>
                <w:rFonts w:hint="eastAsia" w:ascii="宋体" w:cs="宋体"/>
                <w:kern w:val="0"/>
                <w:szCs w:val="21"/>
                <w:lang w:val="zh-CN"/>
              </w:rPr>
              <w:t>等</w:t>
            </w:r>
          </w:p>
        </w:tc>
        <w:tc>
          <w:tcPr>
            <w:tcW w:w="846" w:type="dxa"/>
            <w:tcBorders>
              <w:right w:val="single" w:color="auto" w:sz="8" w:space="0"/>
            </w:tcBorders>
            <w:noWrap w:val="0"/>
            <w:vAlign w:val="center"/>
          </w:tcPr>
          <w:p>
            <w:pPr>
              <w:spacing w:line="300" w:lineRule="auto"/>
              <w:jc w:val="left"/>
              <w:rPr>
                <w:rFonts w:hint="eastAsia" w:cs="Times New Roman"/>
                <w:sz w:val="21"/>
                <w:szCs w:val="21"/>
                <w:lang w:val="en-US" w:eastAsia="zh-CN"/>
              </w:rPr>
            </w:pPr>
            <w:r>
              <w:rPr>
                <w:rFonts w:hint="eastAsia" w:cs="Times New Roman"/>
                <w:sz w:val="21"/>
                <w:szCs w:val="21"/>
                <w:lang w:val="en-US" w:eastAsia="zh-CN"/>
              </w:rPr>
              <w:t>目标1</w:t>
            </w:r>
          </w:p>
          <w:p>
            <w:pPr>
              <w:spacing w:line="300" w:lineRule="auto"/>
              <w:jc w:val="left"/>
              <w:rPr>
                <w:rFonts w:hint="eastAsia" w:cs="Times New Roman"/>
                <w:sz w:val="21"/>
                <w:szCs w:val="21"/>
                <w:lang w:val="en-US" w:eastAsia="zh-CN"/>
              </w:rPr>
            </w:pPr>
            <w:r>
              <w:rPr>
                <w:rFonts w:hint="eastAsia" w:cs="Times New Roman"/>
                <w:sz w:val="21"/>
                <w:szCs w:val="21"/>
                <w:lang w:val="en-US" w:eastAsia="zh-CN"/>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9" w:type="dxa"/>
            <w:tcBorders>
              <w:left w:val="single" w:color="auto" w:sz="8" w:space="0"/>
            </w:tcBorders>
            <w:noWrap w:val="0"/>
            <w:vAlign w:val="center"/>
          </w:tcPr>
          <w:p>
            <w:pPr>
              <w:spacing w:line="300" w:lineRule="auto"/>
              <w:jc w:val="center"/>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8</w:t>
            </w:r>
          </w:p>
        </w:tc>
        <w:tc>
          <w:tcPr>
            <w:tcW w:w="2115" w:type="dxa"/>
            <w:noWrap w:val="0"/>
            <w:vAlign w:val="center"/>
          </w:tcPr>
          <w:p>
            <w:pPr>
              <w:spacing w:line="300" w:lineRule="auto"/>
              <w:ind w:left="-108" w:leftChars="0"/>
              <w:jc w:val="center"/>
              <w:rPr>
                <w:rFonts w:hint="eastAsia" w:ascii="Times New Roman" w:hAnsi="Times New Roman" w:eastAsia="宋体" w:cs="Times New Roman"/>
                <w:kern w:val="2"/>
                <w:sz w:val="21"/>
                <w:szCs w:val="21"/>
                <w:lang w:val="en-US" w:eastAsia="zh-CN" w:bidi="ar-SA"/>
              </w:rPr>
            </w:pPr>
            <w:r>
              <w:rPr>
                <w:rFonts w:hint="eastAsia"/>
                <w:sz w:val="21"/>
                <w:szCs w:val="21"/>
                <w:lang w:eastAsia="zh-CN"/>
              </w:rPr>
              <w:t>吸收实验</w:t>
            </w:r>
          </w:p>
        </w:tc>
        <w:tc>
          <w:tcPr>
            <w:tcW w:w="1515" w:type="dxa"/>
            <w:noWrap w:val="0"/>
            <w:vAlign w:val="center"/>
          </w:tcPr>
          <w:p>
            <w:pPr>
              <w:spacing w:line="300" w:lineRule="auto"/>
              <w:jc w:val="center"/>
              <w:rPr>
                <w:rFonts w:hint="default" w:ascii="Times New Roman" w:hAnsi="Times New Roman" w:eastAsia="宋体" w:cs="Times New Roman"/>
                <w:kern w:val="2"/>
                <w:sz w:val="21"/>
                <w:szCs w:val="21"/>
                <w:lang w:val="en-US" w:eastAsia="zh-CN" w:bidi="ar-SA"/>
              </w:rPr>
            </w:pPr>
            <w:r>
              <w:rPr>
                <w:rFonts w:hint="eastAsia" w:ascii="宋体" w:hAnsi="宋体" w:eastAsia="宋体" w:cs="宋体"/>
                <w:color w:val="000000"/>
                <w:kern w:val="0"/>
                <w:sz w:val="21"/>
                <w:szCs w:val="21"/>
                <w:lang w:val="en-US" w:eastAsia="zh-CN" w:bidi="ar"/>
              </w:rPr>
              <w:t>培养学生环保、安全和法律道德意识的培养。</w:t>
            </w:r>
          </w:p>
        </w:tc>
        <w:tc>
          <w:tcPr>
            <w:tcW w:w="3044" w:type="dxa"/>
            <w:tcBorders>
              <w:right w:val="single" w:color="auto" w:sz="8" w:space="0"/>
            </w:tcBorders>
            <w:noWrap w:val="0"/>
            <w:vAlign w:val="center"/>
          </w:tcPr>
          <w:p>
            <w:pPr>
              <w:spacing w:line="300" w:lineRule="auto"/>
              <w:jc w:val="left"/>
              <w:rPr>
                <w:rFonts w:hint="default" w:ascii="Times New Roman" w:hAnsi="Times New Roman" w:eastAsia="宋体" w:cs="Times New Roman"/>
                <w:kern w:val="2"/>
                <w:sz w:val="21"/>
                <w:szCs w:val="21"/>
                <w:lang w:val="en-US" w:eastAsia="zh-CN" w:bidi="ar-SA"/>
              </w:rPr>
            </w:pPr>
            <w:r>
              <w:rPr>
                <w:rFonts w:hint="eastAsia"/>
                <w:sz w:val="21"/>
                <w:szCs w:val="21"/>
                <w:lang w:eastAsia="zh-CN"/>
              </w:rPr>
              <w:t>总传质系数的测定方法，填料塔的流体力学性能测定，气相色谱仪测定</w:t>
            </w:r>
            <w:r>
              <w:rPr>
                <w:rFonts w:hint="eastAsia"/>
                <w:sz w:val="21"/>
                <w:szCs w:val="21"/>
                <w:lang w:val="en-US" w:eastAsia="zh-CN"/>
              </w:rPr>
              <w:t>CO</w:t>
            </w:r>
            <w:r>
              <w:rPr>
                <w:rFonts w:hint="eastAsia"/>
                <w:sz w:val="21"/>
                <w:szCs w:val="21"/>
                <w:vertAlign w:val="subscript"/>
                <w:lang w:val="en-US" w:eastAsia="zh-CN"/>
              </w:rPr>
              <w:t>2</w:t>
            </w:r>
            <w:r>
              <w:rPr>
                <w:rFonts w:hint="eastAsia"/>
                <w:sz w:val="21"/>
                <w:szCs w:val="21"/>
                <w:lang w:val="en-US" w:eastAsia="zh-CN"/>
              </w:rPr>
              <w:t>浓度方法</w:t>
            </w:r>
          </w:p>
        </w:tc>
        <w:tc>
          <w:tcPr>
            <w:tcW w:w="846" w:type="dxa"/>
            <w:tcBorders>
              <w:right w:val="single" w:color="auto" w:sz="8" w:space="0"/>
            </w:tcBorders>
            <w:noWrap w:val="0"/>
            <w:vAlign w:val="center"/>
          </w:tcPr>
          <w:p>
            <w:pPr>
              <w:spacing w:line="300" w:lineRule="auto"/>
              <w:jc w:val="center"/>
              <w:rPr>
                <w:rFonts w:hint="default" w:ascii="Times New Roman" w:hAnsi="Times New Roman" w:eastAsia="宋体" w:cs="Times New Roman"/>
                <w:kern w:val="2"/>
                <w:sz w:val="21"/>
                <w:szCs w:val="21"/>
                <w:lang w:val="en-US" w:eastAsia="zh-CN" w:bidi="ar-SA"/>
              </w:rPr>
            </w:pPr>
            <w:r>
              <w:rPr>
                <w:rFonts w:hint="eastAsia"/>
                <w:sz w:val="21"/>
                <w:szCs w:val="21"/>
                <w:lang w:val="en-US" w:eastAsia="zh-CN"/>
              </w:rPr>
              <w:t>4</w:t>
            </w:r>
          </w:p>
        </w:tc>
        <w:tc>
          <w:tcPr>
            <w:tcW w:w="846" w:type="dxa"/>
            <w:tcBorders>
              <w:right w:val="single" w:color="auto" w:sz="8" w:space="0"/>
            </w:tcBorders>
            <w:noWrap w:val="0"/>
            <w:vAlign w:val="center"/>
          </w:tcPr>
          <w:p>
            <w:pPr>
              <w:spacing w:line="300" w:lineRule="auto"/>
              <w:jc w:val="center"/>
              <w:rPr>
                <w:rFonts w:hint="eastAsia" w:ascii="Times New Roman" w:hAnsi="Times New Roman" w:eastAsia="宋体" w:cs="Times New Roman"/>
                <w:kern w:val="2"/>
                <w:sz w:val="21"/>
                <w:szCs w:val="21"/>
                <w:lang w:val="en-US" w:eastAsia="zh-CN" w:bidi="ar-SA"/>
              </w:rPr>
            </w:pPr>
            <w:r>
              <w:rPr>
                <w:rFonts w:hint="eastAsia" w:ascii="宋体" w:cs="宋体"/>
                <w:kern w:val="0"/>
                <w:szCs w:val="21"/>
                <w:lang w:val="zh-CN"/>
              </w:rPr>
              <w:t>讲授</w:t>
            </w:r>
            <w:r>
              <w:rPr>
                <w:kern w:val="0"/>
                <w:szCs w:val="21"/>
              </w:rPr>
              <w:t>/</w:t>
            </w:r>
            <w:r>
              <w:rPr>
                <w:rFonts w:hint="eastAsia" w:ascii="宋体" w:cs="宋体"/>
                <w:kern w:val="0"/>
                <w:szCs w:val="21"/>
                <w:lang w:val="zh-CN"/>
              </w:rPr>
              <w:t>实验</w:t>
            </w:r>
            <w:r>
              <w:rPr>
                <w:kern w:val="0"/>
                <w:szCs w:val="21"/>
              </w:rPr>
              <w:t>/</w:t>
            </w:r>
            <w:r>
              <w:rPr>
                <w:rFonts w:hint="eastAsia" w:ascii="宋体" w:cs="宋体"/>
                <w:kern w:val="0"/>
                <w:szCs w:val="21"/>
                <w:lang w:val="zh-CN"/>
              </w:rPr>
              <w:t>讨论</w:t>
            </w:r>
            <w:r>
              <w:rPr>
                <w:kern w:val="0"/>
                <w:szCs w:val="21"/>
              </w:rPr>
              <w:t>/</w:t>
            </w:r>
            <w:r>
              <w:rPr>
                <w:rFonts w:hint="eastAsia" w:ascii="宋体" w:cs="宋体"/>
                <w:kern w:val="0"/>
                <w:szCs w:val="21"/>
                <w:lang w:val="zh-CN"/>
              </w:rPr>
              <w:t>等</w:t>
            </w:r>
          </w:p>
        </w:tc>
        <w:tc>
          <w:tcPr>
            <w:tcW w:w="846" w:type="dxa"/>
            <w:tcBorders>
              <w:right w:val="single" w:color="auto" w:sz="8" w:space="0"/>
            </w:tcBorders>
            <w:noWrap w:val="0"/>
            <w:vAlign w:val="center"/>
          </w:tcPr>
          <w:p>
            <w:pPr>
              <w:spacing w:line="300" w:lineRule="auto"/>
              <w:jc w:val="left"/>
              <w:rPr>
                <w:rFonts w:hint="eastAsia" w:cs="Times New Roman"/>
                <w:sz w:val="21"/>
                <w:szCs w:val="21"/>
                <w:lang w:val="en-US" w:eastAsia="zh-CN"/>
              </w:rPr>
            </w:pPr>
            <w:r>
              <w:rPr>
                <w:rFonts w:hint="eastAsia" w:cs="Times New Roman"/>
                <w:sz w:val="21"/>
                <w:szCs w:val="21"/>
                <w:lang w:val="en-US" w:eastAsia="zh-CN"/>
              </w:rPr>
              <w:t>目标1</w:t>
            </w:r>
          </w:p>
          <w:p>
            <w:pPr>
              <w:spacing w:line="300" w:lineRule="auto"/>
              <w:jc w:val="left"/>
              <w:rPr>
                <w:rFonts w:hint="eastAsia" w:cs="Times New Roman"/>
                <w:sz w:val="21"/>
                <w:szCs w:val="21"/>
                <w:lang w:val="en-US" w:eastAsia="zh-CN"/>
              </w:rPr>
            </w:pPr>
            <w:r>
              <w:rPr>
                <w:rFonts w:hint="eastAsia" w:cs="Times New Roman"/>
                <w:sz w:val="21"/>
                <w:szCs w:val="21"/>
                <w:lang w:val="en-US" w:eastAsia="zh-CN"/>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9" w:type="dxa"/>
            <w:tcBorders>
              <w:left w:val="single" w:color="auto" w:sz="8" w:space="0"/>
            </w:tcBorders>
            <w:noWrap w:val="0"/>
            <w:vAlign w:val="center"/>
          </w:tcPr>
          <w:p>
            <w:pPr>
              <w:spacing w:line="300" w:lineRule="auto"/>
              <w:jc w:val="center"/>
              <w:rPr>
                <w:rFonts w:hint="eastAsia" w:ascii="Times New Roman" w:hAnsi="Times New Roman" w:eastAsia="宋体" w:cs="Times New Roman"/>
                <w:kern w:val="2"/>
                <w:sz w:val="21"/>
                <w:szCs w:val="21"/>
                <w:lang w:val="en-US" w:eastAsia="zh-CN" w:bidi="ar-SA"/>
              </w:rPr>
            </w:pPr>
            <w:r>
              <w:rPr>
                <w:rFonts w:hint="eastAsia" w:cs="Times New Roman"/>
                <w:kern w:val="2"/>
                <w:sz w:val="21"/>
                <w:szCs w:val="21"/>
                <w:lang w:val="en-US" w:eastAsia="zh-CN" w:bidi="ar-SA"/>
              </w:rPr>
              <w:t>9</w:t>
            </w:r>
          </w:p>
        </w:tc>
        <w:tc>
          <w:tcPr>
            <w:tcW w:w="2115" w:type="dxa"/>
            <w:noWrap w:val="0"/>
            <w:vAlign w:val="center"/>
          </w:tcPr>
          <w:p>
            <w:pPr>
              <w:spacing w:line="300" w:lineRule="auto"/>
              <w:ind w:left="-108" w:leftChars="0" w:firstLine="105" w:firstLineChars="50"/>
              <w:jc w:val="center"/>
              <w:rPr>
                <w:rFonts w:hint="eastAsia" w:ascii="Times New Roman" w:hAnsi="Times New Roman" w:eastAsia="宋体" w:cs="Times New Roman"/>
                <w:color w:val="000000"/>
                <w:kern w:val="2"/>
                <w:sz w:val="21"/>
                <w:szCs w:val="21"/>
                <w:lang w:val="en-US" w:eastAsia="zh-CN" w:bidi="ar-SA"/>
              </w:rPr>
            </w:pPr>
            <w:r>
              <w:rPr>
                <w:rFonts w:ascii="宋体" w:hAnsi="宋体"/>
                <w:sz w:val="21"/>
                <w:szCs w:val="21"/>
              </w:rPr>
              <w:t>板式精馏塔实验</w:t>
            </w:r>
          </w:p>
        </w:tc>
        <w:tc>
          <w:tcPr>
            <w:tcW w:w="1515" w:type="dxa"/>
            <w:noWrap w:val="0"/>
            <w:vAlign w:val="center"/>
          </w:tcPr>
          <w:p>
            <w:pPr>
              <w:spacing w:line="300" w:lineRule="auto"/>
              <w:jc w:val="center"/>
              <w:rPr>
                <w:rFonts w:hint="default" w:ascii="Times New Roman" w:hAnsi="Times New Roman" w:eastAsia="宋体" w:cs="Times New Roman"/>
                <w:kern w:val="2"/>
                <w:sz w:val="21"/>
                <w:szCs w:val="21"/>
                <w:lang w:val="en-US" w:eastAsia="zh-CN" w:bidi="ar-SA"/>
              </w:rPr>
            </w:pPr>
          </w:p>
        </w:tc>
        <w:tc>
          <w:tcPr>
            <w:tcW w:w="3044" w:type="dxa"/>
            <w:tcBorders>
              <w:right w:val="single" w:color="auto" w:sz="8" w:space="0"/>
            </w:tcBorders>
            <w:noWrap w:val="0"/>
            <w:vAlign w:val="center"/>
          </w:tcPr>
          <w:p>
            <w:pPr>
              <w:spacing w:line="300" w:lineRule="auto"/>
              <w:jc w:val="left"/>
              <w:rPr>
                <w:rFonts w:hint="default" w:ascii="Times New Roman" w:hAnsi="Times New Roman" w:eastAsia="宋体" w:cs="Times New Roman"/>
                <w:kern w:val="2"/>
                <w:sz w:val="21"/>
                <w:szCs w:val="21"/>
                <w:lang w:val="en-US" w:eastAsia="zh-CN" w:bidi="ar-SA"/>
              </w:rPr>
            </w:pPr>
            <w:r>
              <w:rPr>
                <w:rFonts w:ascii="宋体" w:hAnsi="宋体"/>
                <w:sz w:val="21"/>
                <w:szCs w:val="21"/>
              </w:rPr>
              <w:t>测定全回流和部分回流时精馏塔的总板效率、单板效率</w:t>
            </w:r>
          </w:p>
        </w:tc>
        <w:tc>
          <w:tcPr>
            <w:tcW w:w="846" w:type="dxa"/>
            <w:tcBorders>
              <w:right w:val="single" w:color="auto" w:sz="8" w:space="0"/>
            </w:tcBorders>
            <w:noWrap w:val="0"/>
            <w:vAlign w:val="center"/>
          </w:tcPr>
          <w:p>
            <w:pPr>
              <w:spacing w:line="300" w:lineRule="auto"/>
              <w:jc w:val="center"/>
              <w:rPr>
                <w:rFonts w:hint="default" w:ascii="Times New Roman" w:hAnsi="Times New Roman" w:eastAsia="宋体" w:cs="Times New Roman"/>
                <w:kern w:val="2"/>
                <w:sz w:val="21"/>
                <w:szCs w:val="21"/>
                <w:lang w:val="en-US" w:eastAsia="zh-CN" w:bidi="ar-SA"/>
              </w:rPr>
            </w:pPr>
            <w:r>
              <w:rPr>
                <w:rFonts w:hint="eastAsia"/>
                <w:sz w:val="21"/>
                <w:szCs w:val="21"/>
                <w:lang w:val="en-US" w:eastAsia="zh-CN"/>
              </w:rPr>
              <w:t>4</w:t>
            </w:r>
          </w:p>
        </w:tc>
        <w:tc>
          <w:tcPr>
            <w:tcW w:w="846" w:type="dxa"/>
            <w:tcBorders>
              <w:right w:val="single" w:color="auto" w:sz="8" w:space="0"/>
            </w:tcBorders>
            <w:noWrap w:val="0"/>
            <w:vAlign w:val="center"/>
          </w:tcPr>
          <w:p>
            <w:pPr>
              <w:spacing w:line="300" w:lineRule="auto"/>
              <w:jc w:val="center"/>
              <w:rPr>
                <w:rFonts w:hint="eastAsia" w:ascii="Times New Roman" w:hAnsi="Times New Roman" w:eastAsia="宋体" w:cs="Times New Roman"/>
                <w:kern w:val="2"/>
                <w:sz w:val="21"/>
                <w:szCs w:val="21"/>
                <w:lang w:val="en-US" w:eastAsia="zh-CN" w:bidi="ar-SA"/>
              </w:rPr>
            </w:pPr>
            <w:r>
              <w:rPr>
                <w:rFonts w:hint="eastAsia" w:ascii="宋体" w:cs="宋体"/>
                <w:kern w:val="0"/>
                <w:szCs w:val="21"/>
                <w:lang w:val="zh-CN"/>
              </w:rPr>
              <w:t>讲授</w:t>
            </w:r>
            <w:r>
              <w:rPr>
                <w:kern w:val="0"/>
                <w:szCs w:val="21"/>
              </w:rPr>
              <w:t>/</w:t>
            </w:r>
            <w:r>
              <w:rPr>
                <w:rFonts w:hint="eastAsia" w:ascii="宋体" w:cs="宋体"/>
                <w:kern w:val="0"/>
                <w:szCs w:val="21"/>
                <w:lang w:val="zh-CN"/>
              </w:rPr>
              <w:t>实验</w:t>
            </w:r>
            <w:r>
              <w:rPr>
                <w:kern w:val="0"/>
                <w:szCs w:val="21"/>
              </w:rPr>
              <w:t>/</w:t>
            </w:r>
            <w:r>
              <w:rPr>
                <w:rFonts w:hint="eastAsia" w:ascii="宋体" w:cs="宋体"/>
                <w:kern w:val="0"/>
                <w:szCs w:val="21"/>
                <w:lang w:val="zh-CN"/>
              </w:rPr>
              <w:t>讨论</w:t>
            </w:r>
            <w:r>
              <w:rPr>
                <w:kern w:val="0"/>
                <w:szCs w:val="21"/>
              </w:rPr>
              <w:t>/</w:t>
            </w:r>
            <w:r>
              <w:rPr>
                <w:rFonts w:hint="eastAsia" w:ascii="宋体" w:cs="宋体"/>
                <w:kern w:val="0"/>
                <w:szCs w:val="21"/>
                <w:lang w:val="zh-CN"/>
              </w:rPr>
              <w:t>等</w:t>
            </w:r>
          </w:p>
        </w:tc>
        <w:tc>
          <w:tcPr>
            <w:tcW w:w="846" w:type="dxa"/>
            <w:tcBorders>
              <w:right w:val="single" w:color="auto" w:sz="8" w:space="0"/>
            </w:tcBorders>
            <w:noWrap w:val="0"/>
            <w:vAlign w:val="center"/>
          </w:tcPr>
          <w:p>
            <w:pPr>
              <w:spacing w:line="300" w:lineRule="auto"/>
              <w:jc w:val="left"/>
              <w:rPr>
                <w:rFonts w:hint="eastAsia" w:cs="Times New Roman"/>
                <w:sz w:val="21"/>
                <w:szCs w:val="21"/>
                <w:lang w:val="en-US" w:eastAsia="zh-CN"/>
              </w:rPr>
            </w:pPr>
            <w:r>
              <w:rPr>
                <w:rFonts w:hint="eastAsia" w:cs="Times New Roman"/>
                <w:sz w:val="21"/>
                <w:szCs w:val="21"/>
                <w:lang w:val="en-US" w:eastAsia="zh-CN"/>
              </w:rPr>
              <w:t>目标1</w:t>
            </w:r>
          </w:p>
          <w:p>
            <w:pPr>
              <w:spacing w:line="300" w:lineRule="auto"/>
              <w:jc w:val="left"/>
              <w:rPr>
                <w:rFonts w:hint="eastAsia" w:cs="Times New Roman"/>
                <w:sz w:val="21"/>
                <w:szCs w:val="21"/>
                <w:lang w:val="en-US" w:eastAsia="zh-CN"/>
              </w:rPr>
            </w:pPr>
            <w:r>
              <w:rPr>
                <w:rFonts w:hint="eastAsia" w:cs="Times New Roman"/>
                <w:sz w:val="21"/>
                <w:szCs w:val="21"/>
                <w:lang w:val="en-US" w:eastAsia="zh-CN"/>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9" w:type="dxa"/>
            <w:tcBorders>
              <w:left w:val="single" w:color="auto" w:sz="8" w:space="0"/>
            </w:tcBorders>
            <w:noWrap w:val="0"/>
            <w:vAlign w:val="center"/>
          </w:tcPr>
          <w:p>
            <w:pPr>
              <w:spacing w:line="300" w:lineRule="auto"/>
              <w:jc w:val="center"/>
              <w:rPr>
                <w:rFonts w:hint="default" w:ascii="Times New Roman" w:hAnsi="Times New Roman" w:eastAsia="宋体" w:cs="Times New Roman"/>
                <w:kern w:val="2"/>
                <w:sz w:val="21"/>
                <w:szCs w:val="21"/>
                <w:lang w:val="en-US" w:eastAsia="zh-CN" w:bidi="ar-SA"/>
              </w:rPr>
            </w:pPr>
            <w:r>
              <w:rPr>
                <w:rFonts w:hint="eastAsia"/>
                <w:sz w:val="21"/>
                <w:szCs w:val="21"/>
                <w:lang w:val="en-US" w:eastAsia="zh-CN"/>
              </w:rPr>
              <w:t>10</w:t>
            </w:r>
          </w:p>
        </w:tc>
        <w:tc>
          <w:tcPr>
            <w:tcW w:w="2115" w:type="dxa"/>
            <w:noWrap w:val="0"/>
            <w:vAlign w:val="center"/>
          </w:tcPr>
          <w:p>
            <w:pPr>
              <w:spacing w:line="300" w:lineRule="auto"/>
              <w:ind w:left="-108" w:leftChars="0"/>
              <w:jc w:val="center"/>
              <w:rPr>
                <w:rFonts w:hint="eastAsia" w:ascii="Times New Roman" w:hAnsi="Times New Roman" w:eastAsia="宋体" w:cs="Times New Roman"/>
                <w:kern w:val="2"/>
                <w:sz w:val="21"/>
                <w:szCs w:val="21"/>
                <w:lang w:val="en-US" w:eastAsia="zh-CN" w:bidi="ar-SA"/>
              </w:rPr>
            </w:pPr>
            <w:r>
              <w:rPr>
                <w:rFonts w:hint="eastAsia"/>
                <w:sz w:val="21"/>
                <w:szCs w:val="21"/>
                <w:lang w:eastAsia="zh-CN"/>
              </w:rPr>
              <w:t>干燥实验</w:t>
            </w:r>
          </w:p>
        </w:tc>
        <w:tc>
          <w:tcPr>
            <w:tcW w:w="1515" w:type="dxa"/>
            <w:noWrap w:val="0"/>
            <w:vAlign w:val="center"/>
          </w:tcPr>
          <w:p>
            <w:pPr>
              <w:keepNext w:val="0"/>
              <w:keepLines w:val="0"/>
              <w:widowControl/>
              <w:suppressLineNumbers w:val="0"/>
              <w:jc w:val="left"/>
              <w:rPr>
                <w:rFonts w:hint="default" w:ascii="Times New Roman" w:hAnsi="Times New Roman" w:eastAsia="宋体" w:cs="Times New Roman"/>
                <w:kern w:val="2"/>
                <w:sz w:val="21"/>
                <w:szCs w:val="21"/>
                <w:lang w:val="en-US" w:eastAsia="zh-CN" w:bidi="ar-SA"/>
              </w:rPr>
            </w:pPr>
            <w:r>
              <w:rPr>
                <w:rFonts w:hint="eastAsia" w:ascii="宋体" w:hAnsi="宋体" w:eastAsia="宋体" w:cs="宋体"/>
                <w:color w:val="000000"/>
                <w:kern w:val="0"/>
                <w:sz w:val="21"/>
                <w:szCs w:val="21"/>
                <w:lang w:val="en-US" w:eastAsia="zh-CN" w:bidi="ar"/>
              </w:rPr>
              <w:t>加强新型能源和资源利用观点和意识教育。</w:t>
            </w:r>
          </w:p>
        </w:tc>
        <w:tc>
          <w:tcPr>
            <w:tcW w:w="3044" w:type="dxa"/>
            <w:tcBorders>
              <w:right w:val="single" w:color="auto" w:sz="8" w:space="0"/>
            </w:tcBorders>
            <w:noWrap w:val="0"/>
            <w:vAlign w:val="center"/>
          </w:tcPr>
          <w:p>
            <w:pPr>
              <w:spacing w:line="400" w:lineRule="exact"/>
              <w:jc w:val="left"/>
              <w:rPr>
                <w:rFonts w:hint="eastAsia" w:ascii="Times New Roman" w:hAnsi="Times New Roman" w:eastAsia="宋体" w:cs="Times New Roman"/>
                <w:kern w:val="2"/>
                <w:sz w:val="21"/>
                <w:szCs w:val="21"/>
                <w:lang w:val="en-US" w:eastAsia="zh-CN" w:bidi="ar-SA"/>
              </w:rPr>
            </w:pPr>
            <w:r>
              <w:rPr>
                <w:rFonts w:hint="eastAsia"/>
                <w:sz w:val="21"/>
                <w:szCs w:val="21"/>
                <w:lang w:eastAsia="zh-CN"/>
              </w:rPr>
              <w:t>恒压干燥条件下的湿物料的干燥曲线、干燥速率曲线及临界含水量测定；洞道式干燥器的操做方法</w:t>
            </w:r>
          </w:p>
        </w:tc>
        <w:tc>
          <w:tcPr>
            <w:tcW w:w="846" w:type="dxa"/>
            <w:tcBorders>
              <w:right w:val="single" w:color="auto" w:sz="8" w:space="0"/>
            </w:tcBorders>
            <w:noWrap w:val="0"/>
            <w:vAlign w:val="center"/>
          </w:tcPr>
          <w:p>
            <w:pPr>
              <w:spacing w:line="300" w:lineRule="auto"/>
              <w:jc w:val="center"/>
              <w:rPr>
                <w:rFonts w:hint="default" w:ascii="Times New Roman" w:hAnsi="Times New Roman" w:eastAsia="宋体" w:cs="Times New Roman"/>
                <w:kern w:val="2"/>
                <w:sz w:val="21"/>
                <w:szCs w:val="21"/>
                <w:lang w:val="en-US" w:eastAsia="zh-CN" w:bidi="ar-SA"/>
              </w:rPr>
            </w:pPr>
            <w:r>
              <w:rPr>
                <w:rFonts w:hint="eastAsia"/>
                <w:sz w:val="21"/>
                <w:szCs w:val="21"/>
                <w:lang w:val="en-US" w:eastAsia="zh-CN"/>
              </w:rPr>
              <w:t>4</w:t>
            </w:r>
          </w:p>
        </w:tc>
        <w:tc>
          <w:tcPr>
            <w:tcW w:w="846" w:type="dxa"/>
            <w:tcBorders>
              <w:right w:val="single" w:color="auto" w:sz="8" w:space="0"/>
            </w:tcBorders>
            <w:noWrap w:val="0"/>
            <w:vAlign w:val="center"/>
          </w:tcPr>
          <w:p>
            <w:pPr>
              <w:spacing w:line="300" w:lineRule="auto"/>
              <w:jc w:val="center"/>
              <w:rPr>
                <w:rFonts w:hint="eastAsia" w:ascii="Times New Roman" w:hAnsi="Times New Roman" w:eastAsia="宋体" w:cs="Times New Roman"/>
                <w:kern w:val="2"/>
                <w:sz w:val="21"/>
                <w:szCs w:val="21"/>
                <w:lang w:val="en-US" w:eastAsia="zh-CN" w:bidi="ar-SA"/>
              </w:rPr>
            </w:pPr>
            <w:r>
              <w:rPr>
                <w:rFonts w:hint="eastAsia" w:ascii="宋体" w:cs="宋体"/>
                <w:kern w:val="0"/>
                <w:szCs w:val="21"/>
                <w:lang w:val="zh-CN"/>
              </w:rPr>
              <w:t>讲授</w:t>
            </w:r>
            <w:r>
              <w:rPr>
                <w:kern w:val="0"/>
                <w:szCs w:val="21"/>
              </w:rPr>
              <w:t>/</w:t>
            </w:r>
            <w:r>
              <w:rPr>
                <w:rFonts w:hint="eastAsia" w:ascii="宋体" w:cs="宋体"/>
                <w:kern w:val="0"/>
                <w:szCs w:val="21"/>
                <w:lang w:val="zh-CN"/>
              </w:rPr>
              <w:t>实验</w:t>
            </w:r>
            <w:r>
              <w:rPr>
                <w:kern w:val="0"/>
                <w:szCs w:val="21"/>
              </w:rPr>
              <w:t>/</w:t>
            </w:r>
            <w:r>
              <w:rPr>
                <w:rFonts w:hint="eastAsia" w:ascii="宋体" w:cs="宋体"/>
                <w:kern w:val="0"/>
                <w:szCs w:val="21"/>
                <w:lang w:val="zh-CN"/>
              </w:rPr>
              <w:t>讨论</w:t>
            </w:r>
            <w:r>
              <w:rPr>
                <w:kern w:val="0"/>
                <w:szCs w:val="21"/>
              </w:rPr>
              <w:t>/</w:t>
            </w:r>
            <w:r>
              <w:rPr>
                <w:rFonts w:hint="eastAsia" w:ascii="宋体" w:cs="宋体"/>
                <w:kern w:val="0"/>
                <w:szCs w:val="21"/>
                <w:lang w:val="zh-CN"/>
              </w:rPr>
              <w:t>等</w:t>
            </w:r>
          </w:p>
        </w:tc>
        <w:tc>
          <w:tcPr>
            <w:tcW w:w="846" w:type="dxa"/>
            <w:tcBorders>
              <w:right w:val="single" w:color="auto" w:sz="8" w:space="0"/>
            </w:tcBorders>
            <w:noWrap w:val="0"/>
            <w:vAlign w:val="center"/>
          </w:tcPr>
          <w:p>
            <w:pPr>
              <w:spacing w:line="300" w:lineRule="auto"/>
              <w:jc w:val="left"/>
              <w:rPr>
                <w:rFonts w:hint="eastAsia" w:cs="Times New Roman"/>
                <w:sz w:val="21"/>
                <w:szCs w:val="21"/>
                <w:lang w:val="en-US" w:eastAsia="zh-CN"/>
              </w:rPr>
            </w:pPr>
            <w:r>
              <w:rPr>
                <w:rFonts w:hint="eastAsia" w:cs="Times New Roman"/>
                <w:sz w:val="21"/>
                <w:szCs w:val="21"/>
                <w:lang w:val="en-US" w:eastAsia="zh-CN"/>
              </w:rPr>
              <w:t>目标1</w:t>
            </w:r>
          </w:p>
          <w:p>
            <w:pPr>
              <w:spacing w:line="400" w:lineRule="exact"/>
              <w:jc w:val="left"/>
              <w:rPr>
                <w:rFonts w:hint="eastAsia" w:cs="Times New Roman"/>
                <w:sz w:val="21"/>
                <w:szCs w:val="21"/>
                <w:lang w:val="en-US" w:eastAsia="zh-CN"/>
              </w:rPr>
            </w:pPr>
            <w:r>
              <w:rPr>
                <w:rFonts w:hint="eastAsia" w:cs="Times New Roman"/>
                <w:sz w:val="21"/>
                <w:szCs w:val="21"/>
                <w:lang w:val="en-US" w:eastAsia="zh-CN"/>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9" w:type="dxa"/>
            <w:tcBorders>
              <w:left w:val="single" w:color="auto" w:sz="8" w:space="0"/>
            </w:tcBorders>
            <w:noWrap w:val="0"/>
            <w:vAlign w:val="center"/>
          </w:tcPr>
          <w:p>
            <w:pPr>
              <w:spacing w:line="300" w:lineRule="auto"/>
              <w:jc w:val="center"/>
              <w:rPr>
                <w:rFonts w:hint="default" w:ascii="Times New Roman" w:hAnsi="Times New Roman" w:eastAsia="宋体" w:cs="Times New Roman"/>
                <w:kern w:val="2"/>
                <w:sz w:val="21"/>
                <w:szCs w:val="21"/>
                <w:lang w:val="en-US" w:eastAsia="zh-CN" w:bidi="ar-SA"/>
              </w:rPr>
            </w:pPr>
            <w:r>
              <w:rPr>
                <w:rFonts w:hint="eastAsia"/>
                <w:sz w:val="21"/>
                <w:szCs w:val="21"/>
                <w:lang w:val="en-US" w:eastAsia="zh-CN"/>
              </w:rPr>
              <w:t>11</w:t>
            </w:r>
          </w:p>
        </w:tc>
        <w:tc>
          <w:tcPr>
            <w:tcW w:w="2115" w:type="dxa"/>
            <w:noWrap w:val="0"/>
            <w:vAlign w:val="center"/>
          </w:tcPr>
          <w:p>
            <w:pPr>
              <w:spacing w:line="300" w:lineRule="auto"/>
              <w:ind w:left="-108"/>
              <w:jc w:val="center"/>
              <w:rPr>
                <w:rFonts w:hint="eastAsia" w:eastAsia="宋体"/>
                <w:sz w:val="21"/>
                <w:szCs w:val="21"/>
                <w:lang w:eastAsia="zh-CN"/>
              </w:rPr>
            </w:pPr>
            <w:r>
              <w:rPr>
                <w:rFonts w:hint="eastAsia"/>
                <w:sz w:val="21"/>
                <w:szCs w:val="21"/>
                <w:lang w:eastAsia="zh-CN"/>
              </w:rPr>
              <w:t>萃取实验</w:t>
            </w:r>
          </w:p>
        </w:tc>
        <w:tc>
          <w:tcPr>
            <w:tcW w:w="1515" w:type="dxa"/>
            <w:noWrap w:val="0"/>
            <w:vAlign w:val="center"/>
          </w:tcPr>
          <w:p>
            <w:pPr>
              <w:spacing w:line="300" w:lineRule="auto"/>
              <w:jc w:val="center"/>
              <w:rPr>
                <w:rFonts w:hint="default" w:eastAsia="宋体"/>
                <w:sz w:val="21"/>
                <w:szCs w:val="21"/>
                <w:lang w:val="en-US" w:eastAsia="zh-CN"/>
              </w:rPr>
            </w:pPr>
            <w:r>
              <w:rPr>
                <w:rFonts w:hint="eastAsia" w:ascii="宋体" w:hAnsi="宋体" w:eastAsia="宋体" w:cs="宋体"/>
                <w:color w:val="000000"/>
                <w:kern w:val="0"/>
                <w:sz w:val="21"/>
                <w:szCs w:val="21"/>
                <w:lang w:val="en-US" w:eastAsia="zh-CN" w:bidi="ar"/>
              </w:rPr>
              <w:t>加强学生绿色化工理念的教育和培养。</w:t>
            </w:r>
          </w:p>
        </w:tc>
        <w:tc>
          <w:tcPr>
            <w:tcW w:w="3044" w:type="dxa"/>
            <w:tcBorders>
              <w:right w:val="single" w:color="auto" w:sz="8" w:space="0"/>
            </w:tcBorders>
            <w:noWrap w:val="0"/>
            <w:vAlign w:val="center"/>
          </w:tcPr>
          <w:p>
            <w:pPr>
              <w:spacing w:line="400" w:lineRule="exact"/>
              <w:jc w:val="left"/>
              <w:rPr>
                <w:rFonts w:hint="eastAsia" w:eastAsia="宋体"/>
                <w:sz w:val="21"/>
                <w:szCs w:val="21"/>
                <w:lang w:eastAsia="zh-CN"/>
              </w:rPr>
            </w:pPr>
            <w:r>
              <w:rPr>
                <w:rFonts w:hint="eastAsia"/>
                <w:sz w:val="21"/>
                <w:szCs w:val="21"/>
                <w:lang w:eastAsia="zh-CN"/>
              </w:rPr>
              <w:t>转盘萃取塔的结构、操作条件和控制参数，传质单元数和传质单元高度的测定和计算</w:t>
            </w:r>
          </w:p>
        </w:tc>
        <w:tc>
          <w:tcPr>
            <w:tcW w:w="846" w:type="dxa"/>
            <w:tcBorders>
              <w:right w:val="single" w:color="auto" w:sz="8" w:space="0"/>
            </w:tcBorders>
            <w:noWrap w:val="0"/>
            <w:vAlign w:val="center"/>
          </w:tcPr>
          <w:p>
            <w:pPr>
              <w:spacing w:line="300" w:lineRule="auto"/>
              <w:jc w:val="center"/>
              <w:rPr>
                <w:rFonts w:hint="default" w:ascii="Times New Roman" w:hAnsi="Times New Roman" w:eastAsia="宋体" w:cs="Times New Roman"/>
                <w:sz w:val="21"/>
                <w:szCs w:val="21"/>
                <w:lang w:val="en-US" w:eastAsia="zh-CN"/>
              </w:rPr>
            </w:pPr>
            <w:r>
              <w:rPr>
                <w:rFonts w:hint="eastAsia"/>
                <w:sz w:val="21"/>
                <w:szCs w:val="21"/>
                <w:lang w:val="en-US" w:eastAsia="zh-CN"/>
              </w:rPr>
              <w:t>4</w:t>
            </w:r>
          </w:p>
        </w:tc>
        <w:tc>
          <w:tcPr>
            <w:tcW w:w="846" w:type="dxa"/>
            <w:tcBorders>
              <w:right w:val="single" w:color="auto" w:sz="8" w:space="0"/>
            </w:tcBorders>
            <w:noWrap w:val="0"/>
            <w:vAlign w:val="center"/>
          </w:tcPr>
          <w:p>
            <w:pPr>
              <w:spacing w:line="300" w:lineRule="auto"/>
              <w:jc w:val="center"/>
              <w:rPr>
                <w:rFonts w:hint="eastAsia" w:ascii="Times New Roman" w:hAnsi="Times New Roman" w:eastAsia="宋体" w:cs="Times New Roman"/>
                <w:kern w:val="2"/>
                <w:sz w:val="21"/>
                <w:szCs w:val="21"/>
                <w:lang w:val="en-US" w:eastAsia="zh-CN" w:bidi="ar-SA"/>
              </w:rPr>
            </w:pPr>
            <w:r>
              <w:rPr>
                <w:rFonts w:hint="eastAsia" w:ascii="宋体" w:cs="宋体"/>
                <w:kern w:val="0"/>
                <w:szCs w:val="21"/>
                <w:lang w:val="zh-CN"/>
              </w:rPr>
              <w:t>讲授</w:t>
            </w:r>
            <w:r>
              <w:rPr>
                <w:kern w:val="0"/>
                <w:szCs w:val="21"/>
              </w:rPr>
              <w:t>/</w:t>
            </w:r>
            <w:r>
              <w:rPr>
                <w:rFonts w:hint="eastAsia" w:ascii="宋体" w:cs="宋体"/>
                <w:kern w:val="0"/>
                <w:szCs w:val="21"/>
                <w:lang w:val="zh-CN"/>
              </w:rPr>
              <w:t>实验</w:t>
            </w:r>
            <w:r>
              <w:rPr>
                <w:kern w:val="0"/>
                <w:szCs w:val="21"/>
              </w:rPr>
              <w:t>/</w:t>
            </w:r>
            <w:r>
              <w:rPr>
                <w:rFonts w:hint="eastAsia" w:ascii="宋体" w:cs="宋体"/>
                <w:kern w:val="0"/>
                <w:szCs w:val="21"/>
                <w:lang w:val="zh-CN"/>
              </w:rPr>
              <w:t>讨论</w:t>
            </w:r>
            <w:r>
              <w:rPr>
                <w:kern w:val="0"/>
                <w:szCs w:val="21"/>
              </w:rPr>
              <w:t>/</w:t>
            </w:r>
            <w:r>
              <w:rPr>
                <w:rFonts w:hint="eastAsia" w:ascii="宋体" w:cs="宋体"/>
                <w:kern w:val="0"/>
                <w:szCs w:val="21"/>
                <w:lang w:val="zh-CN"/>
              </w:rPr>
              <w:t>等</w:t>
            </w:r>
          </w:p>
        </w:tc>
        <w:tc>
          <w:tcPr>
            <w:tcW w:w="846" w:type="dxa"/>
            <w:tcBorders>
              <w:right w:val="single" w:color="auto" w:sz="8" w:space="0"/>
            </w:tcBorders>
            <w:noWrap w:val="0"/>
            <w:vAlign w:val="center"/>
          </w:tcPr>
          <w:p>
            <w:pPr>
              <w:spacing w:line="300" w:lineRule="auto"/>
              <w:jc w:val="left"/>
              <w:rPr>
                <w:rFonts w:hint="eastAsia" w:cs="Times New Roman"/>
                <w:sz w:val="21"/>
                <w:szCs w:val="21"/>
                <w:lang w:val="en-US" w:eastAsia="zh-CN"/>
              </w:rPr>
            </w:pPr>
            <w:r>
              <w:rPr>
                <w:rFonts w:hint="eastAsia" w:cs="Times New Roman"/>
                <w:sz w:val="21"/>
                <w:szCs w:val="21"/>
                <w:lang w:val="en-US" w:eastAsia="zh-CN"/>
              </w:rPr>
              <w:t>目标1</w:t>
            </w:r>
          </w:p>
          <w:p>
            <w:pPr>
              <w:spacing w:line="300" w:lineRule="auto"/>
              <w:jc w:val="left"/>
              <w:rPr>
                <w:rFonts w:hint="eastAsia" w:cs="Times New Roman"/>
                <w:sz w:val="21"/>
                <w:szCs w:val="21"/>
                <w:lang w:val="en-US" w:eastAsia="zh-CN"/>
              </w:rPr>
            </w:pPr>
            <w:r>
              <w:rPr>
                <w:rFonts w:hint="eastAsia" w:cs="Times New Roman"/>
                <w:sz w:val="21"/>
                <w:szCs w:val="21"/>
                <w:lang w:val="en-US" w:eastAsia="zh-CN"/>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9" w:type="dxa"/>
            <w:tcBorders>
              <w:left w:val="single" w:color="auto" w:sz="8" w:space="0"/>
            </w:tcBorders>
            <w:noWrap w:val="0"/>
            <w:vAlign w:val="center"/>
          </w:tcPr>
          <w:p>
            <w:pPr>
              <w:spacing w:line="300" w:lineRule="auto"/>
              <w:jc w:val="center"/>
              <w:rPr>
                <w:rFonts w:hint="default"/>
                <w:sz w:val="21"/>
                <w:szCs w:val="21"/>
                <w:lang w:val="en-US" w:eastAsia="zh-CN"/>
              </w:rPr>
            </w:pPr>
            <w:r>
              <w:rPr>
                <w:rFonts w:hint="eastAsia"/>
                <w:sz w:val="21"/>
                <w:szCs w:val="21"/>
                <w:lang w:val="en-US" w:eastAsia="zh-CN"/>
              </w:rPr>
              <w:t>12</w:t>
            </w:r>
          </w:p>
        </w:tc>
        <w:tc>
          <w:tcPr>
            <w:tcW w:w="2115" w:type="dxa"/>
            <w:noWrap w:val="0"/>
            <w:vAlign w:val="center"/>
          </w:tcPr>
          <w:p>
            <w:pPr>
              <w:spacing w:line="300" w:lineRule="auto"/>
              <w:ind w:left="-108"/>
              <w:jc w:val="center"/>
              <w:rPr>
                <w:rFonts w:hint="eastAsia"/>
                <w:sz w:val="21"/>
                <w:szCs w:val="21"/>
                <w:lang w:eastAsia="zh-CN"/>
              </w:rPr>
            </w:pPr>
            <w:r>
              <w:rPr>
                <w:rFonts w:hint="eastAsia"/>
                <w:sz w:val="21"/>
                <w:szCs w:val="21"/>
                <w:lang w:eastAsia="zh-CN"/>
              </w:rPr>
              <w:t>讲解、复习</w:t>
            </w:r>
          </w:p>
          <w:p>
            <w:pPr>
              <w:spacing w:line="300" w:lineRule="auto"/>
              <w:ind w:left="-108"/>
              <w:jc w:val="center"/>
              <w:rPr>
                <w:rFonts w:hint="eastAsia"/>
                <w:sz w:val="21"/>
                <w:szCs w:val="21"/>
                <w:lang w:eastAsia="zh-CN"/>
              </w:rPr>
            </w:pPr>
            <w:r>
              <w:rPr>
                <w:rFonts w:hint="eastAsia"/>
                <w:sz w:val="21"/>
                <w:szCs w:val="21"/>
                <w:lang w:eastAsia="zh-CN"/>
              </w:rPr>
              <w:t>考试</w:t>
            </w:r>
          </w:p>
        </w:tc>
        <w:tc>
          <w:tcPr>
            <w:tcW w:w="1515" w:type="dxa"/>
            <w:noWrap w:val="0"/>
            <w:vAlign w:val="center"/>
          </w:tcPr>
          <w:p>
            <w:pPr>
              <w:spacing w:line="300" w:lineRule="auto"/>
              <w:jc w:val="center"/>
              <w:rPr>
                <w:rFonts w:hint="default"/>
                <w:sz w:val="21"/>
                <w:szCs w:val="21"/>
                <w:lang w:val="en-US" w:eastAsia="zh-CN"/>
              </w:rPr>
            </w:pPr>
          </w:p>
        </w:tc>
        <w:tc>
          <w:tcPr>
            <w:tcW w:w="3044" w:type="dxa"/>
            <w:tcBorders>
              <w:right w:val="single" w:color="auto" w:sz="8" w:space="0"/>
            </w:tcBorders>
            <w:noWrap w:val="0"/>
            <w:vAlign w:val="center"/>
          </w:tcPr>
          <w:p>
            <w:pPr>
              <w:spacing w:line="400" w:lineRule="exact"/>
              <w:jc w:val="left"/>
              <w:rPr>
                <w:rFonts w:hint="eastAsia"/>
                <w:sz w:val="21"/>
                <w:szCs w:val="21"/>
                <w:lang w:eastAsia="zh-CN"/>
              </w:rPr>
            </w:pPr>
          </w:p>
          <w:p>
            <w:pPr>
              <w:spacing w:line="400" w:lineRule="exact"/>
              <w:jc w:val="left"/>
              <w:rPr>
                <w:rFonts w:hint="eastAsia"/>
                <w:sz w:val="21"/>
                <w:szCs w:val="21"/>
                <w:lang w:eastAsia="zh-CN"/>
              </w:rPr>
            </w:pPr>
          </w:p>
        </w:tc>
        <w:tc>
          <w:tcPr>
            <w:tcW w:w="846" w:type="dxa"/>
            <w:tcBorders>
              <w:right w:val="single" w:color="auto" w:sz="8" w:space="0"/>
            </w:tcBorders>
            <w:noWrap w:val="0"/>
            <w:vAlign w:val="center"/>
          </w:tcPr>
          <w:p>
            <w:pPr>
              <w:spacing w:line="300" w:lineRule="auto"/>
              <w:jc w:val="center"/>
              <w:rPr>
                <w:rFonts w:hint="default"/>
                <w:sz w:val="21"/>
                <w:szCs w:val="21"/>
                <w:lang w:val="en-US" w:eastAsia="zh-CN"/>
              </w:rPr>
            </w:pPr>
            <w:r>
              <w:rPr>
                <w:rFonts w:hint="eastAsia"/>
                <w:sz w:val="21"/>
                <w:szCs w:val="21"/>
                <w:lang w:val="en-US" w:eastAsia="zh-CN"/>
              </w:rPr>
              <w:t>2</w:t>
            </w:r>
          </w:p>
          <w:p>
            <w:pPr>
              <w:spacing w:line="300" w:lineRule="auto"/>
              <w:jc w:val="center"/>
              <w:rPr>
                <w:rFonts w:hint="eastAsia" w:cs="Times New Roman"/>
                <w:sz w:val="21"/>
                <w:szCs w:val="21"/>
                <w:lang w:val="en-US" w:eastAsia="zh-CN"/>
              </w:rPr>
            </w:pPr>
            <w:r>
              <w:rPr>
                <w:rFonts w:hint="eastAsia"/>
                <w:sz w:val="21"/>
                <w:szCs w:val="21"/>
                <w:lang w:val="en-US" w:eastAsia="zh-CN"/>
              </w:rPr>
              <w:t>2</w:t>
            </w:r>
          </w:p>
        </w:tc>
        <w:tc>
          <w:tcPr>
            <w:tcW w:w="846" w:type="dxa"/>
            <w:tcBorders>
              <w:right w:val="single" w:color="auto" w:sz="8" w:space="0"/>
            </w:tcBorders>
            <w:noWrap w:val="0"/>
            <w:vAlign w:val="center"/>
          </w:tcPr>
          <w:p>
            <w:pPr>
              <w:spacing w:line="300" w:lineRule="auto"/>
              <w:jc w:val="center"/>
              <w:rPr>
                <w:rFonts w:hint="eastAsia" w:ascii="Times New Roman" w:hAnsi="Times New Roman" w:eastAsia="宋体" w:cs="Times New Roman"/>
                <w:kern w:val="2"/>
                <w:sz w:val="21"/>
                <w:szCs w:val="21"/>
                <w:lang w:val="en-US" w:eastAsia="zh-CN" w:bidi="ar-SA"/>
              </w:rPr>
            </w:pPr>
            <w:r>
              <w:rPr>
                <w:rFonts w:hint="eastAsia" w:ascii="宋体" w:cs="宋体"/>
                <w:kern w:val="0"/>
                <w:szCs w:val="21"/>
                <w:lang w:val="zh-CN"/>
              </w:rPr>
              <w:t>讲授</w:t>
            </w:r>
            <w:r>
              <w:rPr>
                <w:kern w:val="0"/>
                <w:szCs w:val="21"/>
              </w:rPr>
              <w:t>/</w:t>
            </w:r>
            <w:r>
              <w:rPr>
                <w:rFonts w:hint="eastAsia" w:ascii="宋体" w:cs="宋体"/>
                <w:kern w:val="0"/>
                <w:szCs w:val="21"/>
                <w:lang w:val="zh-CN"/>
              </w:rPr>
              <w:t>讨论</w:t>
            </w:r>
            <w:r>
              <w:rPr>
                <w:kern w:val="0"/>
                <w:szCs w:val="21"/>
              </w:rPr>
              <w:t>/</w:t>
            </w:r>
            <w:r>
              <w:rPr>
                <w:rFonts w:hint="eastAsia" w:ascii="宋体" w:cs="宋体"/>
                <w:kern w:val="0"/>
                <w:szCs w:val="21"/>
                <w:lang w:val="zh-CN"/>
              </w:rPr>
              <w:t>案例教学等</w:t>
            </w:r>
          </w:p>
        </w:tc>
        <w:tc>
          <w:tcPr>
            <w:tcW w:w="846" w:type="dxa"/>
            <w:tcBorders>
              <w:right w:val="single" w:color="auto" w:sz="8" w:space="0"/>
            </w:tcBorders>
            <w:noWrap w:val="0"/>
            <w:vAlign w:val="center"/>
          </w:tcPr>
          <w:p>
            <w:pPr>
              <w:spacing w:line="400" w:lineRule="exact"/>
              <w:jc w:val="left"/>
              <w:rPr>
                <w:rFonts w:hint="default" w:cs="Times New Roman"/>
                <w:sz w:val="21"/>
                <w:szCs w:val="21"/>
                <w:lang w:val="en-US" w:eastAsia="zh-CN"/>
              </w:rPr>
            </w:pPr>
            <w:r>
              <w:rPr>
                <w:rFonts w:hint="eastAsia" w:cs="Times New Roman"/>
                <w:sz w:val="21"/>
                <w:szCs w:val="21"/>
                <w:lang w:val="en-US" w:eastAsia="zh-CN"/>
              </w:rPr>
              <w:t>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14" w:type="dxa"/>
            <w:gridSpan w:val="2"/>
            <w:tcBorders>
              <w:left w:val="single" w:color="auto" w:sz="8" w:space="0"/>
              <w:bottom w:val="single" w:color="auto" w:sz="8" w:space="0"/>
            </w:tcBorders>
            <w:noWrap w:val="0"/>
            <w:vAlign w:val="top"/>
          </w:tcPr>
          <w:p>
            <w:pPr>
              <w:spacing w:line="300" w:lineRule="auto"/>
              <w:jc w:val="center"/>
              <w:rPr>
                <w:sz w:val="21"/>
                <w:szCs w:val="21"/>
              </w:rPr>
            </w:pPr>
            <w:r>
              <w:rPr>
                <w:sz w:val="21"/>
                <w:szCs w:val="21"/>
              </w:rPr>
              <w:t>合    计</w:t>
            </w:r>
          </w:p>
        </w:tc>
        <w:tc>
          <w:tcPr>
            <w:tcW w:w="1515" w:type="dxa"/>
            <w:tcBorders>
              <w:bottom w:val="single" w:color="auto" w:sz="8" w:space="0"/>
            </w:tcBorders>
            <w:noWrap w:val="0"/>
            <w:vAlign w:val="top"/>
          </w:tcPr>
          <w:p>
            <w:pPr>
              <w:spacing w:line="300" w:lineRule="auto"/>
              <w:jc w:val="center"/>
              <w:rPr>
                <w:rFonts w:hint="default" w:eastAsia="宋体"/>
                <w:sz w:val="21"/>
                <w:szCs w:val="21"/>
                <w:lang w:val="en-US" w:eastAsia="zh-CN"/>
              </w:rPr>
            </w:pPr>
            <w:r>
              <w:rPr>
                <w:rFonts w:hint="eastAsia"/>
                <w:sz w:val="21"/>
                <w:szCs w:val="21"/>
                <w:lang w:val="en-US" w:eastAsia="zh-CN"/>
              </w:rPr>
              <w:t>48</w:t>
            </w:r>
          </w:p>
        </w:tc>
        <w:tc>
          <w:tcPr>
            <w:tcW w:w="3044" w:type="dxa"/>
            <w:tcBorders>
              <w:bottom w:val="single" w:color="auto" w:sz="8" w:space="0"/>
              <w:right w:val="single" w:color="auto" w:sz="8" w:space="0"/>
            </w:tcBorders>
            <w:noWrap w:val="0"/>
            <w:vAlign w:val="top"/>
          </w:tcPr>
          <w:p>
            <w:pPr>
              <w:spacing w:line="300" w:lineRule="auto"/>
              <w:jc w:val="center"/>
              <w:rPr>
                <w:sz w:val="21"/>
                <w:szCs w:val="21"/>
              </w:rPr>
            </w:pPr>
          </w:p>
        </w:tc>
        <w:tc>
          <w:tcPr>
            <w:tcW w:w="846" w:type="dxa"/>
            <w:tcBorders>
              <w:bottom w:val="single" w:color="auto" w:sz="8" w:space="0"/>
              <w:right w:val="single" w:color="auto" w:sz="8" w:space="0"/>
            </w:tcBorders>
            <w:noWrap w:val="0"/>
            <w:vAlign w:val="top"/>
          </w:tcPr>
          <w:p>
            <w:pPr>
              <w:spacing w:line="300" w:lineRule="auto"/>
              <w:jc w:val="center"/>
              <w:rPr>
                <w:sz w:val="21"/>
                <w:szCs w:val="21"/>
              </w:rPr>
            </w:pPr>
          </w:p>
        </w:tc>
        <w:tc>
          <w:tcPr>
            <w:tcW w:w="846" w:type="dxa"/>
            <w:tcBorders>
              <w:bottom w:val="single" w:color="auto" w:sz="8" w:space="0"/>
              <w:right w:val="single" w:color="auto" w:sz="8" w:space="0"/>
            </w:tcBorders>
            <w:noWrap w:val="0"/>
            <w:vAlign w:val="top"/>
          </w:tcPr>
          <w:p>
            <w:pPr>
              <w:spacing w:line="300" w:lineRule="auto"/>
              <w:jc w:val="center"/>
              <w:rPr>
                <w:sz w:val="21"/>
                <w:szCs w:val="21"/>
              </w:rPr>
            </w:pPr>
          </w:p>
        </w:tc>
        <w:tc>
          <w:tcPr>
            <w:tcW w:w="846" w:type="dxa"/>
            <w:tcBorders>
              <w:bottom w:val="single" w:color="auto" w:sz="8" w:space="0"/>
              <w:right w:val="single" w:color="auto" w:sz="8" w:space="0"/>
            </w:tcBorders>
            <w:noWrap w:val="0"/>
            <w:vAlign w:val="top"/>
          </w:tcPr>
          <w:p>
            <w:pPr>
              <w:spacing w:line="300" w:lineRule="auto"/>
              <w:jc w:val="center"/>
              <w:rPr>
                <w:sz w:val="21"/>
                <w:szCs w:val="21"/>
              </w:rPr>
            </w:pPr>
          </w:p>
        </w:tc>
      </w:tr>
    </w:tbl>
    <w:p>
      <w:pPr>
        <w:tabs>
          <w:tab w:val="left" w:pos="3600"/>
        </w:tabs>
        <w:spacing w:line="400" w:lineRule="exact"/>
        <w:ind w:firstLine="435"/>
        <w:rPr>
          <w:rFonts w:eastAsia="黑体"/>
          <w:b/>
          <w:bCs/>
          <w:sz w:val="24"/>
        </w:rPr>
      </w:pPr>
    </w:p>
    <w:p>
      <w:pPr>
        <w:spacing w:line="360" w:lineRule="auto"/>
        <w:ind w:firstLine="562" w:firstLineChars="200"/>
        <w:rPr>
          <w:rFonts w:hint="eastAsia"/>
          <w:b/>
          <w:sz w:val="28"/>
          <w:szCs w:val="28"/>
        </w:rPr>
      </w:pPr>
      <w:r>
        <w:rPr>
          <w:rFonts w:hint="eastAsia"/>
          <w:b/>
          <w:sz w:val="28"/>
          <w:szCs w:val="28"/>
        </w:rPr>
        <w:t>四</w:t>
      </w:r>
      <w:r>
        <w:rPr>
          <w:b/>
          <w:sz w:val="28"/>
          <w:szCs w:val="28"/>
        </w:rPr>
        <w:t>、</w:t>
      </w:r>
      <w:r>
        <w:rPr>
          <w:rFonts w:hint="eastAsia"/>
          <w:b/>
          <w:sz w:val="28"/>
          <w:szCs w:val="28"/>
        </w:rPr>
        <w:t>课程实施</w:t>
      </w:r>
    </w:p>
    <w:p>
      <w:pPr>
        <w:autoSpaceDE w:val="0"/>
        <w:autoSpaceDN w:val="0"/>
        <w:adjustRightInd w:val="0"/>
        <w:spacing w:line="360" w:lineRule="auto"/>
        <w:ind w:firstLine="482"/>
        <w:rPr>
          <w:b/>
          <w:bCs/>
          <w:kern w:val="0"/>
          <w:sz w:val="24"/>
        </w:rPr>
      </w:pPr>
      <w:r>
        <w:rPr>
          <w:rFonts w:hint="eastAsia" w:ascii="宋体" w:cs="宋体"/>
          <w:b/>
          <w:bCs/>
          <w:kern w:val="0"/>
          <w:sz w:val="24"/>
          <w:lang w:val="zh-CN"/>
        </w:rPr>
        <w:t>（一）教学方法与教学手段</w:t>
      </w:r>
    </w:p>
    <w:p>
      <w:pPr>
        <w:autoSpaceDE w:val="0"/>
        <w:autoSpaceDN w:val="0"/>
        <w:adjustRightInd w:val="0"/>
        <w:spacing w:line="360" w:lineRule="auto"/>
        <w:ind w:firstLine="480"/>
        <w:rPr>
          <w:rFonts w:ascii="宋体" w:cs="宋体"/>
          <w:color w:val="000000"/>
          <w:kern w:val="0"/>
          <w:sz w:val="24"/>
          <w:lang w:val="zh-CN"/>
        </w:rPr>
      </w:pPr>
      <w:r>
        <w:rPr>
          <w:rFonts w:ascii="宋体" w:cs="宋体"/>
          <w:color w:val="000000"/>
          <w:kern w:val="0"/>
          <w:sz w:val="24"/>
          <w:lang w:val="zh-CN"/>
        </w:rPr>
        <w:t>1.</w:t>
      </w:r>
      <w:r>
        <w:rPr>
          <w:rFonts w:hint="eastAsia" w:ascii="宋体" w:cs="宋体"/>
          <w:color w:val="000000"/>
          <w:kern w:val="0"/>
          <w:sz w:val="24"/>
          <w:lang w:val="zh-CN"/>
        </w:rPr>
        <w:t>本课程的学生实验前讲授部分应充分体现化工专业相关理论和实践的要求，做到清晰、透彻、实用、为学生实验提供指导。</w:t>
      </w:r>
    </w:p>
    <w:p>
      <w:pPr>
        <w:autoSpaceDE w:val="0"/>
        <w:autoSpaceDN w:val="0"/>
        <w:adjustRightInd w:val="0"/>
        <w:spacing w:line="360" w:lineRule="auto"/>
        <w:ind w:firstLine="480"/>
        <w:rPr>
          <w:color w:val="000000"/>
          <w:kern w:val="0"/>
          <w:sz w:val="24"/>
        </w:rPr>
      </w:pPr>
      <w:r>
        <w:rPr>
          <w:rFonts w:ascii="宋体" w:cs="宋体"/>
          <w:color w:val="000000"/>
          <w:kern w:val="0"/>
          <w:sz w:val="24"/>
          <w:lang w:val="zh-CN"/>
        </w:rPr>
        <w:t>2.</w:t>
      </w:r>
      <w:r>
        <w:rPr>
          <w:kern w:val="0"/>
          <w:szCs w:val="21"/>
        </w:rPr>
        <w:t xml:space="preserve"> </w:t>
      </w:r>
      <w:r>
        <w:rPr>
          <w:rFonts w:hint="eastAsia" w:ascii="宋体" w:cs="宋体"/>
          <w:color w:val="000000"/>
          <w:kern w:val="0"/>
          <w:sz w:val="24"/>
          <w:lang w:val="zh-CN"/>
        </w:rPr>
        <w:t>学生每</w:t>
      </w:r>
      <w:r>
        <w:rPr>
          <w:rFonts w:hint="eastAsia" w:ascii="宋体" w:cs="宋体"/>
          <w:color w:val="000000"/>
          <w:kern w:val="0"/>
          <w:sz w:val="24"/>
          <w:lang w:val="en-US" w:eastAsia="zh-CN"/>
        </w:rPr>
        <w:t>3-4</w:t>
      </w:r>
      <w:r>
        <w:rPr>
          <w:rFonts w:hint="eastAsia" w:ascii="宋体" w:cs="宋体"/>
          <w:color w:val="000000"/>
          <w:kern w:val="0"/>
          <w:sz w:val="24"/>
          <w:lang w:val="zh-CN"/>
        </w:rPr>
        <w:t>人一组完成实验。在实验过程行中，教师不断巡视，并及时解答和纠正学生操作中存在的问题。</w:t>
      </w:r>
    </w:p>
    <w:p>
      <w:pPr>
        <w:autoSpaceDE w:val="0"/>
        <w:autoSpaceDN w:val="0"/>
        <w:adjustRightInd w:val="0"/>
        <w:spacing w:line="360" w:lineRule="auto"/>
        <w:ind w:firstLine="482"/>
        <w:rPr>
          <w:rFonts w:hint="eastAsia" w:ascii="宋体" w:cs="宋体"/>
          <w:b/>
          <w:bCs/>
          <w:kern w:val="0"/>
          <w:sz w:val="24"/>
          <w:lang w:val="zh-CN"/>
        </w:rPr>
      </w:pPr>
      <w:r>
        <w:rPr>
          <w:rFonts w:hint="eastAsia" w:ascii="宋体" w:cs="宋体"/>
          <w:b/>
          <w:bCs/>
          <w:kern w:val="0"/>
          <w:sz w:val="24"/>
          <w:lang w:val="zh-CN"/>
        </w:rPr>
        <w:t>（二）课程实施与保障</w:t>
      </w:r>
    </w:p>
    <w:tbl>
      <w:tblPr>
        <w:tblStyle w:val="10"/>
        <w:tblW w:w="0" w:type="auto"/>
        <w:jc w:val="center"/>
        <w:tblLayout w:type="fixed"/>
        <w:tblCellMar>
          <w:top w:w="0" w:type="dxa"/>
          <w:left w:w="28" w:type="dxa"/>
          <w:bottom w:w="0" w:type="dxa"/>
          <w:right w:w="28" w:type="dxa"/>
        </w:tblCellMar>
      </w:tblPr>
      <w:tblGrid>
        <w:gridCol w:w="582"/>
        <w:gridCol w:w="1701"/>
        <w:gridCol w:w="6237"/>
      </w:tblGrid>
      <w:tr>
        <w:tblPrEx>
          <w:tblCellMar>
            <w:top w:w="0" w:type="dxa"/>
            <w:left w:w="28" w:type="dxa"/>
            <w:bottom w:w="0" w:type="dxa"/>
            <w:right w:w="28" w:type="dxa"/>
          </w:tblCellMar>
        </w:tblPrEx>
        <w:trPr>
          <w:trHeight w:val="1" w:hRule="atLeast"/>
          <w:jc w:val="center"/>
        </w:trPr>
        <w:tc>
          <w:tcPr>
            <w:tcW w:w="2283" w:type="dxa"/>
            <w:gridSpan w:val="2"/>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spacing w:line="276" w:lineRule="auto"/>
              <w:jc w:val="center"/>
              <w:rPr>
                <w:rFonts w:ascii="宋体" w:cs="宋体"/>
                <w:kern w:val="0"/>
                <w:sz w:val="22"/>
                <w:szCs w:val="22"/>
                <w:lang w:val="zh-CN"/>
              </w:rPr>
            </w:pPr>
            <w:r>
              <w:rPr>
                <w:rFonts w:hint="eastAsia" w:ascii="宋体" w:cs="宋体"/>
                <w:kern w:val="0"/>
                <w:szCs w:val="21"/>
                <w:lang w:val="zh-CN"/>
              </w:rPr>
              <w:t>主要教学环节</w:t>
            </w:r>
          </w:p>
        </w:tc>
        <w:tc>
          <w:tcPr>
            <w:tcW w:w="6237"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spacing w:line="276" w:lineRule="auto"/>
              <w:jc w:val="center"/>
              <w:rPr>
                <w:rFonts w:ascii="宋体" w:cs="宋体"/>
                <w:kern w:val="0"/>
                <w:sz w:val="22"/>
                <w:szCs w:val="22"/>
                <w:lang w:val="zh-CN"/>
              </w:rPr>
            </w:pPr>
            <w:r>
              <w:rPr>
                <w:rFonts w:hint="eastAsia" w:ascii="宋体" w:cs="宋体"/>
                <w:kern w:val="0"/>
                <w:szCs w:val="21"/>
                <w:lang w:val="zh-CN"/>
              </w:rPr>
              <w:t>质量要求</w:t>
            </w:r>
          </w:p>
        </w:tc>
      </w:tr>
      <w:tr>
        <w:tblPrEx>
          <w:tblCellMar>
            <w:top w:w="0" w:type="dxa"/>
            <w:left w:w="28" w:type="dxa"/>
            <w:bottom w:w="0" w:type="dxa"/>
            <w:right w:w="28" w:type="dxa"/>
          </w:tblCellMar>
        </w:tblPrEx>
        <w:trPr>
          <w:trHeight w:val="558" w:hRule="atLeast"/>
          <w:jc w:val="center"/>
        </w:trPr>
        <w:tc>
          <w:tcPr>
            <w:tcW w:w="582"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cs="宋体"/>
                <w:kern w:val="0"/>
                <w:sz w:val="22"/>
                <w:szCs w:val="22"/>
                <w:lang w:val="zh-CN"/>
              </w:rPr>
            </w:pPr>
            <w:r>
              <w:rPr>
                <w:kern w:val="0"/>
                <w:szCs w:val="21"/>
              </w:rPr>
              <w:t>1</w:t>
            </w:r>
          </w:p>
        </w:tc>
        <w:tc>
          <w:tcPr>
            <w:tcW w:w="1701"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cs="宋体"/>
                <w:kern w:val="0"/>
                <w:sz w:val="22"/>
                <w:szCs w:val="22"/>
                <w:lang w:val="zh-CN"/>
              </w:rPr>
            </w:pPr>
            <w:r>
              <w:rPr>
                <w:rFonts w:hint="eastAsia" w:ascii="宋体" w:cs="宋体"/>
                <w:kern w:val="0"/>
                <w:szCs w:val="21"/>
                <w:lang w:val="zh-CN"/>
              </w:rPr>
              <w:t>备课</w:t>
            </w:r>
          </w:p>
        </w:tc>
        <w:tc>
          <w:tcPr>
            <w:tcW w:w="6237"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spacing w:line="276" w:lineRule="auto"/>
              <w:rPr>
                <w:kern w:val="0"/>
                <w:szCs w:val="21"/>
              </w:rPr>
            </w:pPr>
            <w:r>
              <w:rPr>
                <w:rFonts w:hint="eastAsia" w:ascii="宋体" w:cs="宋体"/>
                <w:kern w:val="0"/>
                <w:szCs w:val="21"/>
                <w:lang w:val="zh-CN"/>
              </w:rPr>
              <w:t>（</w:t>
            </w:r>
            <w:r>
              <w:rPr>
                <w:kern w:val="0"/>
                <w:szCs w:val="21"/>
              </w:rPr>
              <w:t>1</w:t>
            </w:r>
            <w:r>
              <w:rPr>
                <w:rFonts w:hint="eastAsia" w:ascii="宋体" w:cs="宋体"/>
                <w:kern w:val="0"/>
                <w:szCs w:val="21"/>
                <w:lang w:val="zh-CN"/>
              </w:rPr>
              <w:t>）掌握本课程教学大纲内容，严格按照教学大纲要求进行课程教学内容的组织。</w:t>
            </w:r>
          </w:p>
          <w:p>
            <w:pPr>
              <w:autoSpaceDE w:val="0"/>
              <w:autoSpaceDN w:val="0"/>
              <w:adjustRightInd w:val="0"/>
              <w:spacing w:line="276" w:lineRule="auto"/>
              <w:rPr>
                <w:rFonts w:ascii="宋体" w:cs="宋体"/>
                <w:kern w:val="0"/>
                <w:sz w:val="22"/>
                <w:szCs w:val="22"/>
                <w:lang w:val="zh-CN"/>
              </w:rPr>
            </w:pPr>
            <w:r>
              <w:rPr>
                <w:rFonts w:hint="eastAsia" w:ascii="宋体" w:cs="宋体"/>
                <w:kern w:val="0"/>
                <w:szCs w:val="21"/>
                <w:lang w:val="zh-CN"/>
              </w:rPr>
              <w:t>（</w:t>
            </w:r>
            <w:r>
              <w:rPr>
                <w:kern w:val="0"/>
                <w:szCs w:val="21"/>
              </w:rPr>
              <w:t>2</w:t>
            </w:r>
            <w:r>
              <w:rPr>
                <w:rFonts w:hint="eastAsia" w:ascii="宋体" w:cs="宋体"/>
                <w:kern w:val="0"/>
                <w:szCs w:val="21"/>
                <w:lang w:val="zh-CN"/>
              </w:rPr>
              <w:t>）熟悉教材，借助专业书籍资料，并依据教学大纲编写授课计划，编写每次授课的教案。</w:t>
            </w:r>
          </w:p>
        </w:tc>
      </w:tr>
      <w:tr>
        <w:tblPrEx>
          <w:tblCellMar>
            <w:top w:w="0" w:type="dxa"/>
            <w:left w:w="28" w:type="dxa"/>
            <w:bottom w:w="0" w:type="dxa"/>
            <w:right w:w="28" w:type="dxa"/>
          </w:tblCellMar>
        </w:tblPrEx>
        <w:trPr>
          <w:trHeight w:val="1" w:hRule="atLeast"/>
          <w:jc w:val="center"/>
        </w:trPr>
        <w:tc>
          <w:tcPr>
            <w:tcW w:w="582"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cs="宋体"/>
                <w:kern w:val="0"/>
                <w:sz w:val="22"/>
                <w:szCs w:val="22"/>
                <w:lang w:val="zh-CN"/>
              </w:rPr>
            </w:pPr>
            <w:r>
              <w:rPr>
                <w:kern w:val="0"/>
                <w:szCs w:val="21"/>
              </w:rPr>
              <w:t>2</w:t>
            </w:r>
          </w:p>
        </w:tc>
        <w:tc>
          <w:tcPr>
            <w:tcW w:w="1701"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cs="宋体"/>
                <w:kern w:val="0"/>
                <w:sz w:val="22"/>
                <w:szCs w:val="22"/>
                <w:lang w:val="zh-CN"/>
              </w:rPr>
            </w:pPr>
            <w:r>
              <w:rPr>
                <w:rFonts w:hint="eastAsia" w:ascii="宋体" w:cs="宋体"/>
                <w:kern w:val="0"/>
                <w:szCs w:val="21"/>
                <w:lang w:val="zh-CN"/>
              </w:rPr>
              <w:t>讲授</w:t>
            </w:r>
          </w:p>
        </w:tc>
        <w:tc>
          <w:tcPr>
            <w:tcW w:w="6237"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spacing w:line="276" w:lineRule="auto"/>
              <w:rPr>
                <w:kern w:val="0"/>
                <w:szCs w:val="21"/>
              </w:rPr>
            </w:pPr>
            <w:r>
              <w:rPr>
                <w:rFonts w:hint="eastAsia" w:ascii="宋体" w:cs="宋体"/>
                <w:kern w:val="0"/>
                <w:szCs w:val="21"/>
                <w:lang w:val="zh-CN"/>
              </w:rPr>
              <w:t>（</w:t>
            </w:r>
            <w:r>
              <w:rPr>
                <w:kern w:val="0"/>
                <w:szCs w:val="21"/>
              </w:rPr>
              <w:t>1</w:t>
            </w:r>
            <w:r>
              <w:rPr>
                <w:rFonts w:hint="eastAsia" w:ascii="宋体" w:cs="宋体"/>
                <w:kern w:val="0"/>
                <w:szCs w:val="21"/>
                <w:lang w:val="zh-CN"/>
              </w:rPr>
              <w:t>）要点准确、推理正确、条理清晰、重点突出。</w:t>
            </w:r>
          </w:p>
          <w:p>
            <w:pPr>
              <w:autoSpaceDE w:val="0"/>
              <w:autoSpaceDN w:val="0"/>
              <w:adjustRightInd w:val="0"/>
              <w:rPr>
                <w:rFonts w:ascii="宋体" w:cs="宋体"/>
                <w:kern w:val="0"/>
                <w:sz w:val="22"/>
                <w:szCs w:val="22"/>
                <w:lang w:val="zh-CN"/>
              </w:rPr>
            </w:pPr>
            <w:r>
              <w:rPr>
                <w:rFonts w:hint="eastAsia" w:ascii="宋体" w:cs="宋体"/>
                <w:kern w:val="0"/>
                <w:szCs w:val="21"/>
                <w:lang w:val="zh-CN"/>
              </w:rPr>
              <w:t>（</w:t>
            </w:r>
            <w:r>
              <w:rPr>
                <w:kern w:val="0"/>
                <w:szCs w:val="21"/>
              </w:rPr>
              <w:t>2</w:t>
            </w:r>
            <w:r>
              <w:rPr>
                <w:rFonts w:hint="eastAsia" w:ascii="宋体" w:cs="宋体"/>
                <w:kern w:val="0"/>
                <w:szCs w:val="21"/>
                <w:lang w:val="zh-CN"/>
              </w:rPr>
              <w:t>）表达方式应能便于学生理解、接受，突出实验的关键事项。</w:t>
            </w:r>
          </w:p>
        </w:tc>
      </w:tr>
      <w:tr>
        <w:tblPrEx>
          <w:tblCellMar>
            <w:top w:w="0" w:type="dxa"/>
            <w:left w:w="28" w:type="dxa"/>
            <w:bottom w:w="0" w:type="dxa"/>
            <w:right w:w="28" w:type="dxa"/>
          </w:tblCellMar>
        </w:tblPrEx>
        <w:trPr>
          <w:trHeight w:val="3109" w:hRule="atLeast"/>
          <w:jc w:val="center"/>
        </w:trPr>
        <w:tc>
          <w:tcPr>
            <w:tcW w:w="582"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cs="宋体"/>
                <w:kern w:val="0"/>
                <w:sz w:val="22"/>
                <w:szCs w:val="22"/>
                <w:lang w:val="zh-CN"/>
              </w:rPr>
            </w:pPr>
            <w:r>
              <w:rPr>
                <w:kern w:val="0"/>
                <w:szCs w:val="21"/>
              </w:rPr>
              <w:t>3</w:t>
            </w:r>
          </w:p>
        </w:tc>
        <w:tc>
          <w:tcPr>
            <w:tcW w:w="1701"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cs="宋体"/>
                <w:kern w:val="0"/>
                <w:sz w:val="22"/>
                <w:szCs w:val="22"/>
                <w:lang w:val="zh-CN"/>
              </w:rPr>
            </w:pPr>
            <w:r>
              <w:rPr>
                <w:rFonts w:hint="eastAsia" w:ascii="宋体" w:cs="宋体"/>
                <w:kern w:val="0"/>
                <w:szCs w:val="21"/>
                <w:lang w:val="zh-CN"/>
              </w:rPr>
              <w:t>作业布置与批改</w:t>
            </w:r>
          </w:p>
        </w:tc>
        <w:tc>
          <w:tcPr>
            <w:tcW w:w="6237"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spacing w:line="276" w:lineRule="auto"/>
              <w:rPr>
                <w:kern w:val="0"/>
                <w:szCs w:val="21"/>
              </w:rPr>
            </w:pPr>
            <w:r>
              <w:rPr>
                <w:rFonts w:hint="eastAsia" w:ascii="宋体" w:cs="宋体"/>
                <w:kern w:val="0"/>
                <w:szCs w:val="21"/>
                <w:lang w:val="zh-CN"/>
              </w:rPr>
              <w:t>学生每次实验必须完成预习报告与实验报告，且必须达到以下基本要求：</w:t>
            </w:r>
          </w:p>
          <w:p>
            <w:pPr>
              <w:autoSpaceDE w:val="0"/>
              <w:autoSpaceDN w:val="0"/>
              <w:adjustRightInd w:val="0"/>
              <w:spacing w:line="276" w:lineRule="auto"/>
              <w:rPr>
                <w:kern w:val="0"/>
                <w:szCs w:val="21"/>
              </w:rPr>
            </w:pPr>
            <w:r>
              <w:rPr>
                <w:rFonts w:hint="eastAsia" w:ascii="宋体" w:cs="宋体"/>
                <w:kern w:val="0"/>
                <w:szCs w:val="21"/>
                <w:lang w:val="zh-CN"/>
              </w:rPr>
              <w:t>（</w:t>
            </w:r>
            <w:r>
              <w:rPr>
                <w:kern w:val="0"/>
                <w:szCs w:val="21"/>
              </w:rPr>
              <w:t>1</w:t>
            </w:r>
            <w:r>
              <w:rPr>
                <w:rFonts w:hint="eastAsia" w:ascii="宋体" w:cs="宋体"/>
                <w:kern w:val="0"/>
                <w:szCs w:val="21"/>
                <w:lang w:val="zh-CN"/>
              </w:rPr>
              <w:t>）按时按量完成预习报告与实验报告，不缺交，不抄袭。</w:t>
            </w:r>
          </w:p>
          <w:p>
            <w:pPr>
              <w:autoSpaceDE w:val="0"/>
              <w:autoSpaceDN w:val="0"/>
              <w:adjustRightInd w:val="0"/>
              <w:spacing w:line="276" w:lineRule="auto"/>
              <w:rPr>
                <w:kern w:val="0"/>
                <w:szCs w:val="21"/>
              </w:rPr>
            </w:pPr>
            <w:r>
              <w:rPr>
                <w:rFonts w:hint="eastAsia" w:ascii="宋体" w:cs="宋体"/>
                <w:kern w:val="0"/>
                <w:szCs w:val="21"/>
                <w:lang w:val="zh-CN"/>
              </w:rPr>
              <w:t>（</w:t>
            </w:r>
            <w:r>
              <w:rPr>
                <w:kern w:val="0"/>
                <w:szCs w:val="21"/>
              </w:rPr>
              <w:t>2</w:t>
            </w:r>
            <w:r>
              <w:rPr>
                <w:rFonts w:hint="eastAsia" w:ascii="宋体" w:cs="宋体"/>
                <w:kern w:val="0"/>
                <w:szCs w:val="21"/>
                <w:lang w:val="zh-CN"/>
              </w:rPr>
              <w:t>）书写规范、清晰。</w:t>
            </w:r>
          </w:p>
          <w:p>
            <w:pPr>
              <w:autoSpaceDE w:val="0"/>
              <w:autoSpaceDN w:val="0"/>
              <w:adjustRightInd w:val="0"/>
              <w:spacing w:line="276" w:lineRule="auto"/>
              <w:rPr>
                <w:kern w:val="0"/>
                <w:szCs w:val="21"/>
              </w:rPr>
            </w:pPr>
            <w:r>
              <w:rPr>
                <w:rFonts w:hint="eastAsia" w:ascii="宋体" w:cs="宋体"/>
                <w:kern w:val="0"/>
                <w:szCs w:val="21"/>
                <w:lang w:val="zh-CN"/>
              </w:rPr>
              <w:t>（</w:t>
            </w:r>
            <w:r>
              <w:rPr>
                <w:kern w:val="0"/>
                <w:szCs w:val="21"/>
              </w:rPr>
              <w:t>3</w:t>
            </w:r>
            <w:r>
              <w:rPr>
                <w:rFonts w:hint="eastAsia" w:ascii="宋体" w:cs="宋体"/>
                <w:kern w:val="0"/>
                <w:szCs w:val="21"/>
                <w:lang w:val="zh-CN"/>
              </w:rPr>
              <w:t>）实验记录与数据处理正确。</w:t>
            </w:r>
          </w:p>
          <w:p>
            <w:pPr>
              <w:autoSpaceDE w:val="0"/>
              <w:autoSpaceDN w:val="0"/>
              <w:adjustRightInd w:val="0"/>
              <w:spacing w:line="276" w:lineRule="auto"/>
              <w:rPr>
                <w:kern w:val="0"/>
                <w:szCs w:val="21"/>
              </w:rPr>
            </w:pPr>
            <w:r>
              <w:rPr>
                <w:rFonts w:hint="eastAsia" w:ascii="宋体" w:cs="宋体"/>
                <w:kern w:val="0"/>
                <w:szCs w:val="21"/>
                <w:lang w:val="zh-CN"/>
              </w:rPr>
              <w:t>教师批改和讲评预习报告与实验报告要求如下：</w:t>
            </w:r>
          </w:p>
          <w:p>
            <w:pPr>
              <w:autoSpaceDE w:val="0"/>
              <w:autoSpaceDN w:val="0"/>
              <w:adjustRightInd w:val="0"/>
              <w:spacing w:line="276" w:lineRule="auto"/>
              <w:rPr>
                <w:kern w:val="0"/>
                <w:szCs w:val="21"/>
              </w:rPr>
            </w:pPr>
            <w:r>
              <w:rPr>
                <w:rFonts w:hint="eastAsia" w:ascii="宋体" w:cs="宋体"/>
                <w:kern w:val="0"/>
                <w:szCs w:val="21"/>
                <w:lang w:val="zh-CN"/>
              </w:rPr>
              <w:t>（</w:t>
            </w:r>
            <w:r>
              <w:rPr>
                <w:kern w:val="0"/>
                <w:szCs w:val="21"/>
              </w:rPr>
              <w:t>1</w:t>
            </w:r>
            <w:r>
              <w:rPr>
                <w:rFonts w:hint="eastAsia" w:ascii="宋体" w:cs="宋体"/>
                <w:kern w:val="0"/>
                <w:szCs w:val="21"/>
                <w:lang w:val="zh-CN"/>
              </w:rPr>
              <w:t>）学生的预习报告与实验报告要按时全部批改，并及时进行讲评。</w:t>
            </w:r>
          </w:p>
          <w:p>
            <w:pPr>
              <w:autoSpaceDE w:val="0"/>
              <w:autoSpaceDN w:val="0"/>
              <w:adjustRightInd w:val="0"/>
              <w:spacing w:line="276" w:lineRule="auto"/>
              <w:rPr>
                <w:kern w:val="0"/>
                <w:szCs w:val="21"/>
              </w:rPr>
            </w:pPr>
            <w:r>
              <w:rPr>
                <w:rFonts w:hint="eastAsia" w:ascii="宋体" w:cs="宋体"/>
                <w:kern w:val="0"/>
                <w:szCs w:val="21"/>
                <w:lang w:val="zh-CN"/>
              </w:rPr>
              <w:t>（</w:t>
            </w:r>
            <w:r>
              <w:rPr>
                <w:kern w:val="0"/>
                <w:szCs w:val="21"/>
              </w:rPr>
              <w:t>2</w:t>
            </w:r>
            <w:r>
              <w:rPr>
                <w:rFonts w:hint="eastAsia" w:ascii="宋体" w:cs="宋体"/>
                <w:kern w:val="0"/>
                <w:szCs w:val="21"/>
                <w:lang w:val="zh-CN"/>
              </w:rPr>
              <w:t>）教师批改预习报告与实验报告要认真、细致，按百分制评定成绩并写明日期。</w:t>
            </w:r>
          </w:p>
          <w:p>
            <w:pPr>
              <w:autoSpaceDE w:val="0"/>
              <w:autoSpaceDN w:val="0"/>
              <w:adjustRightInd w:val="0"/>
              <w:rPr>
                <w:rFonts w:ascii="宋体" w:cs="宋体"/>
                <w:kern w:val="0"/>
                <w:sz w:val="22"/>
                <w:szCs w:val="22"/>
                <w:lang w:val="zh-CN"/>
              </w:rPr>
            </w:pPr>
            <w:r>
              <w:rPr>
                <w:rFonts w:hint="eastAsia" w:ascii="宋体" w:cs="宋体"/>
                <w:kern w:val="0"/>
                <w:szCs w:val="21"/>
                <w:lang w:val="zh-CN"/>
              </w:rPr>
              <w:t>（</w:t>
            </w:r>
            <w:r>
              <w:rPr>
                <w:kern w:val="0"/>
                <w:szCs w:val="21"/>
              </w:rPr>
              <w:t>3</w:t>
            </w:r>
            <w:r>
              <w:rPr>
                <w:rFonts w:hint="eastAsia" w:ascii="宋体" w:cs="宋体"/>
                <w:kern w:val="0"/>
                <w:szCs w:val="21"/>
                <w:lang w:val="zh-CN"/>
              </w:rPr>
              <w:t>）学生预习报告与实验报告的平均成绩应作为本课程总评成绩中平时成绩的重要组成部分。</w:t>
            </w:r>
          </w:p>
        </w:tc>
      </w:tr>
      <w:tr>
        <w:tblPrEx>
          <w:tblCellMar>
            <w:top w:w="0" w:type="dxa"/>
            <w:left w:w="28" w:type="dxa"/>
            <w:bottom w:w="0" w:type="dxa"/>
            <w:right w:w="28" w:type="dxa"/>
          </w:tblCellMar>
        </w:tblPrEx>
        <w:trPr>
          <w:trHeight w:val="1273" w:hRule="atLeast"/>
          <w:jc w:val="center"/>
        </w:trPr>
        <w:tc>
          <w:tcPr>
            <w:tcW w:w="582"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cs="宋体"/>
                <w:kern w:val="0"/>
                <w:sz w:val="22"/>
                <w:szCs w:val="22"/>
                <w:lang w:val="zh-CN"/>
              </w:rPr>
            </w:pPr>
            <w:r>
              <w:rPr>
                <w:kern w:val="0"/>
                <w:szCs w:val="21"/>
              </w:rPr>
              <w:t>4</w:t>
            </w:r>
          </w:p>
        </w:tc>
        <w:tc>
          <w:tcPr>
            <w:tcW w:w="1701"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cs="宋体"/>
                <w:kern w:val="0"/>
                <w:sz w:val="22"/>
                <w:szCs w:val="22"/>
                <w:lang w:val="zh-CN"/>
              </w:rPr>
            </w:pPr>
            <w:r>
              <w:rPr>
                <w:rFonts w:hint="eastAsia" w:ascii="宋体" w:cs="宋体"/>
                <w:kern w:val="0"/>
                <w:szCs w:val="21"/>
                <w:lang w:val="zh-CN"/>
              </w:rPr>
              <w:t>课外答疑</w:t>
            </w:r>
          </w:p>
        </w:tc>
        <w:tc>
          <w:tcPr>
            <w:tcW w:w="6237"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rPr>
                <w:rFonts w:ascii="宋体" w:cs="宋体"/>
                <w:kern w:val="0"/>
                <w:sz w:val="22"/>
                <w:szCs w:val="22"/>
                <w:lang w:val="zh-CN"/>
              </w:rPr>
            </w:pPr>
            <w:r>
              <w:rPr>
                <w:rFonts w:hint="eastAsia" w:ascii="宋体" w:cs="宋体"/>
                <w:kern w:val="0"/>
                <w:szCs w:val="21"/>
                <w:lang w:val="zh-CN"/>
              </w:rPr>
              <w:t>为了解学生的学习情况，帮助学生更好地理解和消化所学知识、改进学习方法和思维方式，培养其独立思考问题的能力，任课教师需每周安排一定时间进行课外答疑与辅导。</w:t>
            </w:r>
          </w:p>
        </w:tc>
      </w:tr>
      <w:tr>
        <w:tblPrEx>
          <w:tblCellMar>
            <w:top w:w="0" w:type="dxa"/>
            <w:left w:w="28" w:type="dxa"/>
            <w:bottom w:w="0" w:type="dxa"/>
            <w:right w:w="28" w:type="dxa"/>
          </w:tblCellMar>
        </w:tblPrEx>
        <w:trPr>
          <w:trHeight w:val="1540" w:hRule="atLeast"/>
          <w:jc w:val="center"/>
        </w:trPr>
        <w:tc>
          <w:tcPr>
            <w:tcW w:w="582"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cs="宋体"/>
                <w:kern w:val="0"/>
                <w:sz w:val="22"/>
                <w:szCs w:val="22"/>
                <w:lang w:val="zh-CN"/>
              </w:rPr>
            </w:pPr>
            <w:r>
              <w:rPr>
                <w:kern w:val="0"/>
                <w:szCs w:val="21"/>
              </w:rPr>
              <w:t>5</w:t>
            </w:r>
          </w:p>
        </w:tc>
        <w:tc>
          <w:tcPr>
            <w:tcW w:w="1701"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jc w:val="center"/>
              <w:rPr>
                <w:rFonts w:ascii="宋体" w:cs="宋体"/>
                <w:kern w:val="0"/>
                <w:sz w:val="22"/>
                <w:szCs w:val="22"/>
                <w:lang w:val="zh-CN"/>
              </w:rPr>
            </w:pPr>
            <w:r>
              <w:rPr>
                <w:rFonts w:hint="eastAsia" w:ascii="宋体" w:cs="宋体"/>
                <w:kern w:val="0"/>
                <w:szCs w:val="21"/>
                <w:lang w:val="zh-CN"/>
              </w:rPr>
              <w:t>成绩考核</w:t>
            </w:r>
          </w:p>
        </w:tc>
        <w:tc>
          <w:tcPr>
            <w:tcW w:w="6237"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pPr>
              <w:autoSpaceDE w:val="0"/>
              <w:autoSpaceDN w:val="0"/>
              <w:adjustRightInd w:val="0"/>
              <w:spacing w:line="276" w:lineRule="auto"/>
              <w:rPr>
                <w:kern w:val="0"/>
                <w:szCs w:val="21"/>
              </w:rPr>
            </w:pPr>
            <w:r>
              <w:rPr>
                <w:rFonts w:hint="eastAsia" w:ascii="宋体" w:cs="宋体"/>
                <w:kern w:val="0"/>
                <w:szCs w:val="21"/>
                <w:lang w:val="zh-CN"/>
              </w:rPr>
              <w:t>本课程考核的方式为开卷笔试。考试采取教考分离，监考由学院统一安排。有下列情况之一者，总评成绩为不及格：</w:t>
            </w:r>
          </w:p>
          <w:p>
            <w:pPr>
              <w:autoSpaceDE w:val="0"/>
              <w:autoSpaceDN w:val="0"/>
              <w:adjustRightInd w:val="0"/>
              <w:spacing w:line="276" w:lineRule="auto"/>
              <w:rPr>
                <w:kern w:val="0"/>
                <w:szCs w:val="21"/>
              </w:rPr>
            </w:pPr>
            <w:r>
              <w:rPr>
                <w:rFonts w:hint="eastAsia" w:ascii="宋体" w:cs="宋体"/>
                <w:kern w:val="0"/>
                <w:szCs w:val="21"/>
                <w:lang w:val="zh-CN"/>
              </w:rPr>
              <w:t>（</w:t>
            </w:r>
            <w:r>
              <w:rPr>
                <w:kern w:val="0"/>
                <w:szCs w:val="21"/>
              </w:rPr>
              <w:t>1</w:t>
            </w:r>
            <w:r>
              <w:rPr>
                <w:rFonts w:hint="eastAsia" w:ascii="宋体" w:cs="宋体"/>
                <w:kern w:val="0"/>
                <w:szCs w:val="21"/>
                <w:lang w:val="zh-CN"/>
              </w:rPr>
              <w:t>）缺交预习报告与实验报告次数达</w:t>
            </w:r>
            <w:r>
              <w:rPr>
                <w:kern w:val="0"/>
                <w:szCs w:val="21"/>
              </w:rPr>
              <w:t>1/3</w:t>
            </w:r>
            <w:r>
              <w:rPr>
                <w:rFonts w:hint="eastAsia" w:ascii="宋体" w:cs="宋体"/>
                <w:kern w:val="0"/>
                <w:szCs w:val="21"/>
                <w:lang w:val="zh-CN"/>
              </w:rPr>
              <w:t>以上者。</w:t>
            </w:r>
          </w:p>
          <w:p>
            <w:pPr>
              <w:autoSpaceDE w:val="0"/>
              <w:autoSpaceDN w:val="0"/>
              <w:adjustRightInd w:val="0"/>
              <w:spacing w:line="276" w:lineRule="auto"/>
              <w:rPr>
                <w:kern w:val="0"/>
                <w:szCs w:val="21"/>
              </w:rPr>
            </w:pPr>
            <w:r>
              <w:rPr>
                <w:rFonts w:hint="eastAsia" w:ascii="宋体" w:cs="宋体"/>
                <w:kern w:val="0"/>
                <w:szCs w:val="21"/>
                <w:lang w:val="zh-CN"/>
              </w:rPr>
              <w:t>（</w:t>
            </w:r>
            <w:r>
              <w:rPr>
                <w:kern w:val="0"/>
                <w:szCs w:val="21"/>
              </w:rPr>
              <w:t>2</w:t>
            </w:r>
            <w:r>
              <w:rPr>
                <w:rFonts w:hint="eastAsia" w:ascii="宋体" w:cs="宋体"/>
                <w:kern w:val="0"/>
                <w:szCs w:val="21"/>
                <w:lang w:val="zh-CN"/>
              </w:rPr>
              <w:t>）缺课次数达本学期总授课学时的</w:t>
            </w:r>
            <w:r>
              <w:rPr>
                <w:kern w:val="0"/>
                <w:szCs w:val="21"/>
              </w:rPr>
              <w:t>1/3</w:t>
            </w:r>
            <w:r>
              <w:rPr>
                <w:rFonts w:hint="eastAsia" w:ascii="宋体" w:cs="宋体"/>
                <w:kern w:val="0"/>
                <w:szCs w:val="21"/>
                <w:lang w:val="zh-CN"/>
              </w:rPr>
              <w:t>以上者。</w:t>
            </w:r>
          </w:p>
          <w:p>
            <w:pPr>
              <w:autoSpaceDE w:val="0"/>
              <w:autoSpaceDN w:val="0"/>
              <w:adjustRightInd w:val="0"/>
              <w:spacing w:line="276" w:lineRule="auto"/>
              <w:rPr>
                <w:rFonts w:ascii="宋体" w:cs="宋体"/>
                <w:kern w:val="0"/>
                <w:sz w:val="22"/>
                <w:szCs w:val="22"/>
                <w:lang w:val="zh-CN"/>
              </w:rPr>
            </w:pPr>
            <w:r>
              <w:rPr>
                <w:rFonts w:hint="eastAsia" w:ascii="宋体" w:cs="宋体"/>
                <w:kern w:val="0"/>
                <w:szCs w:val="21"/>
                <w:lang w:val="zh-CN"/>
              </w:rPr>
              <w:t>（</w:t>
            </w:r>
            <w:r>
              <w:rPr>
                <w:kern w:val="0"/>
                <w:szCs w:val="21"/>
              </w:rPr>
              <w:t>3</w:t>
            </w:r>
            <w:r>
              <w:rPr>
                <w:rFonts w:hint="eastAsia" w:ascii="宋体" w:cs="宋体"/>
                <w:kern w:val="0"/>
                <w:szCs w:val="21"/>
                <w:lang w:val="zh-CN"/>
              </w:rPr>
              <w:t>）课程目标小于</w:t>
            </w:r>
            <w:r>
              <w:rPr>
                <w:kern w:val="0"/>
                <w:szCs w:val="21"/>
              </w:rPr>
              <w:t>0.6</w:t>
            </w:r>
            <w:r>
              <w:rPr>
                <w:rFonts w:hint="eastAsia" w:ascii="宋体" w:cs="宋体"/>
                <w:kern w:val="0"/>
                <w:szCs w:val="21"/>
                <w:lang w:val="zh-CN"/>
              </w:rPr>
              <w:t>。</w:t>
            </w:r>
          </w:p>
        </w:tc>
      </w:tr>
    </w:tbl>
    <w:p>
      <w:pPr>
        <w:autoSpaceDE w:val="0"/>
        <w:autoSpaceDN w:val="0"/>
        <w:adjustRightInd w:val="0"/>
        <w:spacing w:line="360" w:lineRule="auto"/>
        <w:ind w:firstLine="482"/>
        <w:rPr>
          <w:rFonts w:hint="eastAsia" w:ascii="宋体" w:cs="宋体"/>
          <w:b/>
          <w:bCs/>
          <w:kern w:val="0"/>
          <w:sz w:val="24"/>
          <w:lang w:val="zh-CN"/>
        </w:rPr>
      </w:pPr>
    </w:p>
    <w:p>
      <w:pPr>
        <w:spacing w:line="360" w:lineRule="auto"/>
        <w:ind w:firstLine="562" w:firstLineChars="200"/>
        <w:rPr>
          <w:b/>
          <w:sz w:val="28"/>
          <w:szCs w:val="28"/>
        </w:rPr>
      </w:pPr>
      <w:r>
        <w:rPr>
          <w:rFonts w:hint="eastAsia"/>
          <w:b/>
          <w:sz w:val="28"/>
          <w:szCs w:val="28"/>
        </w:rPr>
        <w:t>五</w:t>
      </w:r>
      <w:r>
        <w:rPr>
          <w:b/>
          <w:sz w:val="28"/>
          <w:szCs w:val="28"/>
        </w:rPr>
        <w:t>、课程考核</w:t>
      </w:r>
    </w:p>
    <w:p>
      <w:pPr>
        <w:spacing w:line="360" w:lineRule="auto"/>
        <w:ind w:firstLine="480" w:firstLineChars="200"/>
        <w:rPr>
          <w:rFonts w:ascii="Times New Roman" w:hAnsi="Times New Roman"/>
          <w:sz w:val="24"/>
        </w:rPr>
      </w:pPr>
      <w:r>
        <w:rPr>
          <w:rFonts w:hint="eastAsia" w:ascii="Times New Roman" w:hAnsi="Times New Roman"/>
          <w:sz w:val="24"/>
        </w:rPr>
        <w:t>（一）</w:t>
      </w:r>
      <w:r>
        <w:rPr>
          <w:rFonts w:hint="eastAsia"/>
          <w:sz w:val="24"/>
          <w:lang w:eastAsia="zh-CN"/>
        </w:rPr>
        <w:t>实验</w:t>
      </w:r>
      <w:r>
        <w:rPr>
          <w:rFonts w:hint="eastAsia" w:ascii="Times New Roman" w:hAnsi="Times New Roman"/>
          <w:sz w:val="24"/>
        </w:rPr>
        <w:t>的考核是本课程的重要组成部分。考核方式包括</w:t>
      </w:r>
      <w:r>
        <w:rPr>
          <w:rFonts w:hint="eastAsia" w:ascii="Times New Roman" w:hAnsi="Times New Roman"/>
          <w:sz w:val="24"/>
          <w:lang w:eastAsia="zh-CN"/>
        </w:rPr>
        <w:t>预习报告</w:t>
      </w:r>
      <w:r>
        <w:rPr>
          <w:rFonts w:hint="eastAsia" w:ascii="Times New Roman" w:hAnsi="Times New Roman"/>
          <w:sz w:val="24"/>
        </w:rPr>
        <w:t>考核、</w:t>
      </w:r>
      <w:r>
        <w:rPr>
          <w:rFonts w:hint="eastAsia" w:ascii="Times New Roman" w:hAnsi="Times New Roman"/>
          <w:sz w:val="24"/>
          <w:lang w:eastAsia="zh-CN"/>
        </w:rPr>
        <w:t>实验报告</w:t>
      </w:r>
      <w:r>
        <w:rPr>
          <w:rFonts w:hint="eastAsia" w:ascii="Times New Roman" w:hAnsi="Times New Roman"/>
          <w:sz w:val="24"/>
        </w:rPr>
        <w:t>考核、</w:t>
      </w:r>
      <w:r>
        <w:rPr>
          <w:rFonts w:hint="eastAsia" w:ascii="Times New Roman" w:hAnsi="Times New Roman"/>
          <w:sz w:val="24"/>
          <w:lang w:eastAsia="zh-CN"/>
        </w:rPr>
        <w:t>操作成绩考核和期末考试</w:t>
      </w:r>
      <w:r>
        <w:rPr>
          <w:rFonts w:hint="eastAsia" w:ascii="Times New Roman" w:hAnsi="Times New Roman"/>
          <w:sz w:val="24"/>
        </w:rPr>
        <w:t>考核等。</w:t>
      </w:r>
    </w:p>
    <w:p>
      <w:pPr>
        <w:spacing w:line="360" w:lineRule="auto"/>
        <w:ind w:firstLine="480" w:firstLineChars="200"/>
        <w:rPr>
          <w:rFonts w:ascii="Times New Roman" w:hAnsi="Times New Roman"/>
          <w:sz w:val="24"/>
        </w:rPr>
      </w:pPr>
      <w:r>
        <w:rPr>
          <w:rFonts w:hint="eastAsia" w:ascii="Times New Roman" w:hAnsi="Times New Roman"/>
          <w:sz w:val="24"/>
        </w:rPr>
        <w:t>（二）课程成绩按五级分：优秀、良好、中等、及格、不及格，综合得分</w:t>
      </w:r>
      <w:r>
        <w:rPr>
          <w:rFonts w:ascii="Times New Roman" w:hAnsi="Times New Roman"/>
          <w:sz w:val="24"/>
        </w:rPr>
        <w:t>90</w:t>
      </w:r>
      <w:r>
        <w:rPr>
          <w:rFonts w:hint="eastAsia" w:ascii="Times New Roman" w:hAnsi="Times New Roman"/>
          <w:sz w:val="24"/>
        </w:rPr>
        <w:t>分评定为优秀，综合得分</w:t>
      </w:r>
      <w:r>
        <w:rPr>
          <w:rFonts w:ascii="Times New Roman" w:hAnsi="Times New Roman"/>
          <w:sz w:val="24"/>
        </w:rPr>
        <w:t>80</w:t>
      </w:r>
      <w:r>
        <w:rPr>
          <w:rFonts w:hint="eastAsia" w:ascii="Times New Roman" w:hAnsi="Times New Roman"/>
          <w:sz w:val="24"/>
        </w:rPr>
        <w:t>～</w:t>
      </w:r>
      <w:r>
        <w:rPr>
          <w:rFonts w:ascii="Times New Roman" w:hAnsi="Times New Roman"/>
          <w:sz w:val="24"/>
        </w:rPr>
        <w:t>89</w:t>
      </w:r>
      <w:r>
        <w:rPr>
          <w:rFonts w:hint="eastAsia" w:ascii="Times New Roman" w:hAnsi="Times New Roman"/>
          <w:sz w:val="24"/>
        </w:rPr>
        <w:t>分评定为良好，综合得分</w:t>
      </w:r>
      <w:r>
        <w:rPr>
          <w:rFonts w:ascii="Times New Roman" w:hAnsi="Times New Roman"/>
          <w:sz w:val="24"/>
        </w:rPr>
        <w:t>70</w:t>
      </w:r>
      <w:r>
        <w:rPr>
          <w:rFonts w:hint="eastAsia" w:ascii="Times New Roman" w:hAnsi="Times New Roman"/>
          <w:sz w:val="24"/>
        </w:rPr>
        <w:t>～</w:t>
      </w:r>
      <w:r>
        <w:rPr>
          <w:rFonts w:ascii="Times New Roman" w:hAnsi="Times New Roman"/>
          <w:sz w:val="24"/>
        </w:rPr>
        <w:t>79</w:t>
      </w:r>
      <w:r>
        <w:rPr>
          <w:rFonts w:hint="eastAsia" w:ascii="Times New Roman" w:hAnsi="Times New Roman"/>
          <w:sz w:val="24"/>
        </w:rPr>
        <w:t>分评定为中等，综合得分</w:t>
      </w:r>
      <w:r>
        <w:rPr>
          <w:rFonts w:ascii="Times New Roman" w:hAnsi="Times New Roman"/>
          <w:sz w:val="24"/>
        </w:rPr>
        <w:t>60</w:t>
      </w:r>
      <w:r>
        <w:rPr>
          <w:rFonts w:hint="eastAsia" w:ascii="Times New Roman" w:hAnsi="Times New Roman"/>
          <w:sz w:val="24"/>
        </w:rPr>
        <w:t>～</w:t>
      </w:r>
      <w:r>
        <w:rPr>
          <w:rFonts w:ascii="Times New Roman" w:hAnsi="Times New Roman"/>
          <w:sz w:val="24"/>
        </w:rPr>
        <w:t>69</w:t>
      </w:r>
      <w:r>
        <w:rPr>
          <w:rFonts w:hint="eastAsia" w:ascii="Times New Roman" w:hAnsi="Times New Roman"/>
          <w:sz w:val="24"/>
        </w:rPr>
        <w:t>评定为及格，综合得分</w:t>
      </w:r>
      <w:r>
        <w:rPr>
          <w:rFonts w:ascii="Times New Roman" w:hAnsi="Times New Roman"/>
          <w:sz w:val="24"/>
        </w:rPr>
        <w:t>&lt;60</w:t>
      </w:r>
      <w:r>
        <w:rPr>
          <w:rFonts w:hint="eastAsia" w:ascii="Times New Roman" w:hAnsi="Times New Roman"/>
          <w:sz w:val="24"/>
        </w:rPr>
        <w:t>分评定为不及格。</w:t>
      </w:r>
    </w:p>
    <w:p>
      <w:pPr>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（三）课程总评成绩的具体内容和比例如下表所示：</w:t>
      </w:r>
    </w:p>
    <w:tbl>
      <w:tblPr>
        <w:tblStyle w:val="10"/>
        <w:tblpPr w:leftFromText="180" w:rightFromText="180" w:vertAnchor="text" w:horzAnchor="margin" w:tblpXSpec="center" w:tblpY="244"/>
        <w:tblW w:w="93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2918"/>
        <w:gridCol w:w="673"/>
        <w:gridCol w:w="674"/>
        <w:gridCol w:w="673"/>
        <w:gridCol w:w="673"/>
        <w:gridCol w:w="673"/>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134" w:type="dxa"/>
            <w:vMerge w:val="restart"/>
            <w:shd w:val="clear" w:color="auto" w:fill="FFFFFF"/>
            <w:noWrap w:val="0"/>
            <w:tcMar>
              <w:left w:w="57" w:type="dxa"/>
              <w:right w:w="57" w:type="dxa"/>
            </w:tcMar>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考核环节</w:t>
            </w:r>
          </w:p>
        </w:tc>
        <w:tc>
          <w:tcPr>
            <w:tcW w:w="1276" w:type="dxa"/>
            <w:vMerge w:val="restart"/>
            <w:shd w:val="clear" w:color="auto" w:fill="FFFFFF"/>
            <w:noWrap w:val="0"/>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成绩比例</w:t>
            </w:r>
          </w:p>
        </w:tc>
        <w:tc>
          <w:tcPr>
            <w:tcW w:w="2918" w:type="dxa"/>
            <w:vMerge w:val="restart"/>
            <w:shd w:val="clear" w:color="auto" w:fill="FFFFFF"/>
            <w:noWrap w:val="0"/>
            <w:vAlign w:val="center"/>
          </w:tcPr>
          <w:p>
            <w:pPr>
              <w:jc w:val="center"/>
              <w:rPr>
                <w:rFonts w:ascii="Times New Roman" w:hAnsi="Times New Roman" w:eastAsia="宋体" w:cs="Times New Roman"/>
                <w:szCs w:val="24"/>
              </w:rPr>
            </w:pPr>
            <w:r>
              <w:rPr>
                <w:rFonts w:ascii="Times New Roman" w:hAnsi="Times New Roman" w:eastAsia="宋体" w:cs="Times New Roman"/>
                <w:szCs w:val="24"/>
              </w:rPr>
              <w:t>考核</w:t>
            </w:r>
            <w:r>
              <w:rPr>
                <w:rFonts w:hint="eastAsia" w:ascii="Times New Roman" w:hAnsi="Times New Roman" w:eastAsia="宋体" w:cs="Times New Roman"/>
                <w:szCs w:val="24"/>
              </w:rPr>
              <w:t>内容与</w:t>
            </w:r>
            <w:r>
              <w:rPr>
                <w:rFonts w:ascii="Times New Roman" w:hAnsi="Times New Roman" w:eastAsia="宋体" w:cs="Times New Roman"/>
                <w:szCs w:val="24"/>
              </w:rPr>
              <w:t>评价细则</w:t>
            </w:r>
          </w:p>
        </w:tc>
        <w:tc>
          <w:tcPr>
            <w:tcW w:w="4041" w:type="dxa"/>
            <w:gridSpan w:val="6"/>
            <w:shd w:val="clear" w:color="auto" w:fill="FFFFFF"/>
            <w:noWrap w:val="0"/>
            <w:vAlign w:val="top"/>
          </w:tcPr>
          <w:p>
            <w:pPr>
              <w:jc w:val="center"/>
              <w:rPr>
                <w:rFonts w:ascii="Times New Roman" w:hAnsi="Times New Roman" w:eastAsia="宋体" w:cs="Times New Roman"/>
                <w:szCs w:val="24"/>
              </w:rPr>
            </w:pPr>
            <w:r>
              <w:rPr>
                <w:rFonts w:hint="eastAsia" w:ascii="Times New Roman" w:hAnsi="Times New Roman" w:eastAsia="宋体" w:cs="Times New Roman"/>
                <w:szCs w:val="24"/>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134" w:type="dxa"/>
            <w:vMerge w:val="continue"/>
            <w:shd w:val="clear" w:color="auto" w:fill="FFFFFF"/>
            <w:noWrap w:val="0"/>
            <w:tcMar>
              <w:left w:w="57" w:type="dxa"/>
              <w:right w:w="57" w:type="dxa"/>
            </w:tcMar>
            <w:vAlign w:val="center"/>
          </w:tcPr>
          <w:p>
            <w:pPr>
              <w:jc w:val="center"/>
              <w:rPr>
                <w:rFonts w:ascii="Times New Roman" w:hAnsi="Times New Roman" w:eastAsia="宋体" w:cs="Times New Roman"/>
                <w:szCs w:val="24"/>
              </w:rPr>
            </w:pPr>
          </w:p>
        </w:tc>
        <w:tc>
          <w:tcPr>
            <w:tcW w:w="1276" w:type="dxa"/>
            <w:vMerge w:val="continue"/>
            <w:shd w:val="clear" w:color="auto" w:fill="FFFFFF"/>
            <w:noWrap w:val="0"/>
            <w:vAlign w:val="center"/>
          </w:tcPr>
          <w:p>
            <w:pPr>
              <w:jc w:val="center"/>
              <w:rPr>
                <w:rFonts w:ascii="Times New Roman" w:hAnsi="Times New Roman" w:eastAsia="宋体" w:cs="Times New Roman"/>
                <w:szCs w:val="24"/>
              </w:rPr>
            </w:pPr>
          </w:p>
        </w:tc>
        <w:tc>
          <w:tcPr>
            <w:tcW w:w="2918" w:type="dxa"/>
            <w:vMerge w:val="continue"/>
            <w:shd w:val="clear" w:color="auto" w:fill="FFFFFF"/>
            <w:noWrap w:val="0"/>
            <w:vAlign w:val="center"/>
          </w:tcPr>
          <w:p>
            <w:pPr>
              <w:jc w:val="center"/>
              <w:rPr>
                <w:rFonts w:ascii="Times New Roman" w:hAnsi="Times New Roman" w:eastAsia="宋体" w:cs="Times New Roman"/>
                <w:szCs w:val="24"/>
              </w:rPr>
            </w:pPr>
          </w:p>
        </w:tc>
        <w:tc>
          <w:tcPr>
            <w:tcW w:w="673" w:type="dxa"/>
            <w:shd w:val="clear" w:color="auto" w:fill="FFFFFF"/>
            <w:noWrap w:val="0"/>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目标1</w:t>
            </w:r>
          </w:p>
        </w:tc>
        <w:tc>
          <w:tcPr>
            <w:tcW w:w="674" w:type="dxa"/>
            <w:shd w:val="clear" w:color="auto" w:fill="FFFFFF"/>
            <w:noWrap w:val="0"/>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目标2</w:t>
            </w:r>
          </w:p>
        </w:tc>
        <w:tc>
          <w:tcPr>
            <w:tcW w:w="673" w:type="dxa"/>
            <w:shd w:val="clear" w:color="auto" w:fill="FFFFFF"/>
            <w:noWrap w:val="0"/>
            <w:vAlign w:val="top"/>
          </w:tcPr>
          <w:p>
            <w:pPr>
              <w:jc w:val="center"/>
              <w:rPr>
                <w:rFonts w:ascii="Times New Roman" w:hAnsi="Times New Roman" w:eastAsia="宋体" w:cs="Times New Roman"/>
                <w:szCs w:val="24"/>
              </w:rPr>
            </w:pPr>
            <w:r>
              <w:rPr>
                <w:rFonts w:hint="eastAsia" w:ascii="Times New Roman" w:hAnsi="Times New Roman" w:eastAsia="宋体" w:cs="Times New Roman"/>
                <w:szCs w:val="24"/>
              </w:rPr>
              <w:t>目标3</w:t>
            </w:r>
          </w:p>
        </w:tc>
        <w:tc>
          <w:tcPr>
            <w:tcW w:w="673" w:type="dxa"/>
            <w:shd w:val="clear" w:color="auto" w:fill="FFFFFF"/>
            <w:noWrap w:val="0"/>
            <w:vAlign w:val="top"/>
          </w:tcPr>
          <w:p>
            <w:pPr>
              <w:jc w:val="center"/>
              <w:rPr>
                <w:rFonts w:ascii="Times New Roman" w:hAnsi="Times New Roman" w:eastAsia="宋体" w:cs="Times New Roman"/>
                <w:szCs w:val="24"/>
              </w:rPr>
            </w:pPr>
            <w:r>
              <w:rPr>
                <w:rFonts w:hint="eastAsia" w:ascii="Times New Roman" w:hAnsi="Times New Roman" w:eastAsia="宋体" w:cs="Times New Roman"/>
                <w:szCs w:val="24"/>
              </w:rPr>
              <w:t>目标4</w:t>
            </w:r>
          </w:p>
        </w:tc>
        <w:tc>
          <w:tcPr>
            <w:tcW w:w="673" w:type="dxa"/>
            <w:shd w:val="clear" w:color="auto" w:fill="FFFFFF"/>
            <w:noWrap w:val="0"/>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目标5</w:t>
            </w:r>
          </w:p>
        </w:tc>
        <w:tc>
          <w:tcPr>
            <w:tcW w:w="675" w:type="dxa"/>
            <w:shd w:val="clear" w:color="auto" w:fill="FFFFFF"/>
            <w:noWrap w:val="0"/>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6" w:hRule="atLeast"/>
        </w:trPr>
        <w:tc>
          <w:tcPr>
            <w:tcW w:w="1134" w:type="dxa"/>
            <w:shd w:val="clear" w:color="auto" w:fill="FFFFFF"/>
            <w:noWrap w:val="0"/>
            <w:tcMar>
              <w:left w:w="57" w:type="dxa"/>
              <w:right w:w="57" w:type="dxa"/>
            </w:tcMar>
            <w:vAlign w:val="center"/>
          </w:tcPr>
          <w:p>
            <w:pPr>
              <w:jc w:val="center"/>
              <w:rPr>
                <w:rFonts w:hint="eastAsia" w:ascii="Times New Roman" w:hAnsi="Times New Roman" w:eastAsia="宋体" w:cs="Times New Roman"/>
                <w:szCs w:val="24"/>
                <w:lang w:eastAsia="zh-CN"/>
              </w:rPr>
            </w:pPr>
            <w:r>
              <w:rPr>
                <w:rFonts w:hint="eastAsia" w:ascii="Times New Roman" w:hAnsi="Times New Roman" w:cs="Times New Roman"/>
                <w:szCs w:val="24"/>
                <w:lang w:eastAsia="zh-CN"/>
              </w:rPr>
              <w:t>预习报告</w:t>
            </w:r>
          </w:p>
        </w:tc>
        <w:tc>
          <w:tcPr>
            <w:tcW w:w="1276" w:type="dxa"/>
            <w:shd w:val="clear" w:color="auto" w:fill="FFFFFF"/>
            <w:noWrap w:val="0"/>
            <w:vAlign w:val="center"/>
          </w:tcPr>
          <w:p>
            <w:pPr>
              <w:jc w:val="center"/>
              <w:rPr>
                <w:rFonts w:ascii="Times New Roman" w:hAnsi="Times New Roman" w:eastAsia="宋体" w:cs="Times New Roman"/>
                <w:szCs w:val="24"/>
              </w:rPr>
            </w:pPr>
            <w:r>
              <w:rPr>
                <w:rFonts w:hint="eastAsia" w:ascii="Times New Roman" w:hAnsi="Times New Roman" w:cs="Times New Roman"/>
                <w:szCs w:val="24"/>
                <w:lang w:val="en-US" w:eastAsia="zh-CN"/>
              </w:rPr>
              <w:t>1</w:t>
            </w:r>
            <w:r>
              <w:rPr>
                <w:rFonts w:hint="eastAsia" w:ascii="Times New Roman" w:hAnsi="Times New Roman" w:eastAsia="宋体" w:cs="Times New Roman"/>
                <w:szCs w:val="24"/>
              </w:rPr>
              <w:t>0%</w:t>
            </w:r>
          </w:p>
        </w:tc>
        <w:tc>
          <w:tcPr>
            <w:tcW w:w="2918" w:type="dxa"/>
            <w:shd w:val="clear" w:color="auto" w:fill="FFFFFF"/>
            <w:noWrap w:val="0"/>
            <w:vAlign w:val="center"/>
          </w:tcPr>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重点考核：</w:t>
            </w:r>
            <w:r>
              <w:t>实验目的</w:t>
            </w:r>
            <w:r>
              <w:rPr>
                <w:rFonts w:hint="eastAsia"/>
              </w:rPr>
              <w:t>、</w:t>
            </w:r>
            <w:r>
              <w:t>实验任务</w:t>
            </w:r>
            <w:r>
              <w:rPr>
                <w:rFonts w:hint="eastAsia"/>
              </w:rPr>
              <w:t>、</w:t>
            </w:r>
            <w:r>
              <w:t>流程</w:t>
            </w:r>
            <w:r>
              <w:rPr>
                <w:rFonts w:hint="eastAsia"/>
              </w:rPr>
              <w:t>流程、</w:t>
            </w:r>
            <w:r>
              <w:t>原理</w:t>
            </w:r>
            <w:r>
              <w:rPr>
                <w:rFonts w:hint="eastAsia"/>
              </w:rPr>
              <w:t>、</w:t>
            </w:r>
            <w:r>
              <w:t>步骤等</w:t>
            </w:r>
            <w:r>
              <w:rPr>
                <w:rFonts w:hint="eastAsia"/>
              </w:rPr>
              <w:t>。</w:t>
            </w:r>
          </w:p>
        </w:tc>
        <w:tc>
          <w:tcPr>
            <w:tcW w:w="673" w:type="dxa"/>
            <w:shd w:val="clear" w:color="auto" w:fill="FFFFFF"/>
            <w:noWrap w:val="0"/>
            <w:vAlign w:val="center"/>
          </w:tcPr>
          <w:p>
            <w:pPr>
              <w:jc w:val="center"/>
              <w:rPr>
                <w:rFonts w:hint="default" w:ascii="Times New Roman" w:hAnsi="Times New Roman" w:eastAsia="宋体" w:cs="Times New Roman"/>
                <w:color w:val="000000"/>
                <w:szCs w:val="21"/>
                <w:lang w:val="en-US" w:eastAsia="zh-CN"/>
              </w:rPr>
            </w:pPr>
            <w:r>
              <w:rPr>
                <w:rFonts w:hint="eastAsia" w:ascii="Times New Roman" w:hAnsi="Times New Roman" w:cs="Times New Roman"/>
                <w:color w:val="000000"/>
                <w:szCs w:val="21"/>
                <w:lang w:val="en-US" w:eastAsia="zh-CN"/>
              </w:rPr>
              <w:t>10%</w:t>
            </w:r>
          </w:p>
        </w:tc>
        <w:tc>
          <w:tcPr>
            <w:tcW w:w="674" w:type="dxa"/>
            <w:shd w:val="clear" w:color="auto" w:fill="FFFFFF"/>
            <w:noWrap w:val="0"/>
            <w:vAlign w:val="center"/>
          </w:tcPr>
          <w:p>
            <w:pPr>
              <w:jc w:val="center"/>
              <w:rPr>
                <w:rFonts w:ascii="Times New Roman" w:hAnsi="Times New Roman" w:eastAsia="宋体" w:cs="Times New Roman"/>
                <w:color w:val="000000"/>
                <w:szCs w:val="21"/>
              </w:rPr>
            </w:pPr>
          </w:p>
        </w:tc>
        <w:tc>
          <w:tcPr>
            <w:tcW w:w="673" w:type="dxa"/>
            <w:shd w:val="clear" w:color="auto" w:fill="FFFFFF"/>
            <w:noWrap w:val="0"/>
            <w:vAlign w:val="center"/>
          </w:tcPr>
          <w:p>
            <w:pPr>
              <w:jc w:val="center"/>
              <w:rPr>
                <w:rFonts w:ascii="Times New Roman" w:hAnsi="Times New Roman" w:eastAsia="宋体" w:cs="Times New Roman"/>
                <w:color w:val="000000"/>
                <w:szCs w:val="21"/>
              </w:rPr>
            </w:pPr>
          </w:p>
        </w:tc>
        <w:tc>
          <w:tcPr>
            <w:tcW w:w="673" w:type="dxa"/>
            <w:shd w:val="clear" w:color="auto" w:fill="FFFFFF"/>
            <w:noWrap w:val="0"/>
            <w:vAlign w:val="center"/>
          </w:tcPr>
          <w:p>
            <w:pPr>
              <w:jc w:val="center"/>
              <w:rPr>
                <w:rFonts w:ascii="Times New Roman" w:hAnsi="Times New Roman" w:eastAsia="宋体" w:cs="Times New Roman"/>
                <w:color w:val="000000"/>
                <w:szCs w:val="21"/>
              </w:rPr>
            </w:pPr>
          </w:p>
        </w:tc>
        <w:tc>
          <w:tcPr>
            <w:tcW w:w="673" w:type="dxa"/>
            <w:shd w:val="clear" w:color="auto" w:fill="FFFFFF"/>
            <w:noWrap w:val="0"/>
            <w:vAlign w:val="center"/>
          </w:tcPr>
          <w:p>
            <w:pPr>
              <w:jc w:val="center"/>
              <w:rPr>
                <w:rFonts w:ascii="Times New Roman" w:hAnsi="Times New Roman" w:eastAsia="宋体" w:cs="Times New Roman"/>
                <w:color w:val="000000"/>
                <w:szCs w:val="21"/>
              </w:rPr>
            </w:pPr>
          </w:p>
        </w:tc>
        <w:tc>
          <w:tcPr>
            <w:tcW w:w="675" w:type="dxa"/>
            <w:shd w:val="clear" w:color="auto" w:fill="FFFFFF"/>
            <w:noWrap w:val="0"/>
            <w:vAlign w:val="center"/>
          </w:tcPr>
          <w:p>
            <w:pPr>
              <w:jc w:val="center"/>
              <w:rPr>
                <w:rFonts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2" w:hRule="atLeast"/>
        </w:trPr>
        <w:tc>
          <w:tcPr>
            <w:tcW w:w="1134" w:type="dxa"/>
            <w:shd w:val="clear" w:color="auto" w:fill="auto"/>
            <w:noWrap w:val="0"/>
            <w:tcMar>
              <w:left w:w="57" w:type="dxa"/>
              <w:right w:w="57" w:type="dxa"/>
            </w:tcMar>
            <w:vAlign w:val="center"/>
          </w:tcPr>
          <w:p>
            <w:pPr>
              <w:jc w:val="center"/>
              <w:rPr>
                <w:rFonts w:hint="eastAsia" w:ascii="Times New Roman" w:hAnsi="Times New Roman" w:eastAsia="宋体" w:cs="Times New Roman"/>
                <w:szCs w:val="24"/>
                <w:lang w:eastAsia="zh-CN"/>
              </w:rPr>
            </w:pPr>
            <w:r>
              <w:rPr>
                <w:rFonts w:hint="eastAsia" w:cs="Times New Roman"/>
                <w:szCs w:val="24"/>
                <w:lang w:eastAsia="zh-CN"/>
              </w:rPr>
              <w:t>实验报告</w:t>
            </w:r>
          </w:p>
        </w:tc>
        <w:tc>
          <w:tcPr>
            <w:tcW w:w="1276" w:type="dxa"/>
            <w:shd w:val="clear" w:color="auto" w:fill="auto"/>
            <w:noWrap w:val="0"/>
            <w:vAlign w:val="center"/>
          </w:tcPr>
          <w:p>
            <w:pPr>
              <w:jc w:val="center"/>
              <w:rPr>
                <w:rFonts w:ascii="Times New Roman" w:hAnsi="Times New Roman" w:eastAsia="宋体" w:cs="Times New Roman"/>
                <w:szCs w:val="24"/>
              </w:rPr>
            </w:pPr>
            <w:r>
              <w:rPr>
                <w:rFonts w:hint="eastAsia" w:cs="Times New Roman"/>
                <w:szCs w:val="24"/>
                <w:lang w:val="en-US" w:eastAsia="zh-CN"/>
              </w:rPr>
              <w:t>3</w:t>
            </w:r>
            <w:r>
              <w:rPr>
                <w:rFonts w:hint="eastAsia" w:ascii="Times New Roman" w:hAnsi="Times New Roman" w:eastAsia="宋体" w:cs="Times New Roman"/>
                <w:szCs w:val="24"/>
              </w:rPr>
              <w:t>0</w:t>
            </w:r>
            <w:r>
              <w:rPr>
                <w:rFonts w:ascii="Times New Roman" w:hAnsi="Times New Roman" w:eastAsia="宋体" w:cs="Times New Roman"/>
                <w:szCs w:val="24"/>
              </w:rPr>
              <w:t>%</w:t>
            </w:r>
          </w:p>
        </w:tc>
        <w:tc>
          <w:tcPr>
            <w:tcW w:w="2918" w:type="dxa"/>
            <w:shd w:val="clear" w:color="auto" w:fill="auto"/>
            <w:noWrap w:val="0"/>
            <w:vAlign w:val="center"/>
          </w:tcPr>
          <w:p>
            <w:pPr>
              <w:rPr>
                <w:rFonts w:ascii="Times New Roman" w:hAnsi="Times New Roman" w:eastAsia="宋体" w:cs="Times New Roman"/>
                <w:szCs w:val="21"/>
              </w:rPr>
            </w:pPr>
            <w:r>
              <w:rPr>
                <w:rFonts w:hint="eastAsia" w:ascii="Times New Roman" w:hAnsi="Times New Roman" w:eastAsia="宋体" w:cs="Times New Roman"/>
                <w:szCs w:val="21"/>
              </w:rPr>
              <w:t>重点考核：</w:t>
            </w:r>
            <w:r>
              <w:rPr>
                <w:rFonts w:hint="eastAsia" w:ascii="Times New Roman" w:hAnsi="Times New Roman" w:cs="Times New Roman"/>
                <w:szCs w:val="21"/>
                <w:lang w:eastAsia="zh-CN"/>
              </w:rPr>
              <w:t>实验测定</w:t>
            </w:r>
            <w:r>
              <w:t>原始数据表、</w:t>
            </w:r>
            <w:r>
              <w:rPr>
                <w:rFonts w:hint="eastAsia"/>
                <w:lang w:eastAsia="zh-CN"/>
              </w:rPr>
              <w:t>数据处理、分析与讨论、思考题等等。</w:t>
            </w:r>
          </w:p>
        </w:tc>
        <w:tc>
          <w:tcPr>
            <w:tcW w:w="673" w:type="dxa"/>
            <w:shd w:val="clear" w:color="auto" w:fill="FFFFFF"/>
            <w:noWrap w:val="0"/>
            <w:vAlign w:val="center"/>
          </w:tcPr>
          <w:p>
            <w:pPr>
              <w:jc w:val="center"/>
              <w:rPr>
                <w:rFonts w:ascii="Times New Roman" w:hAnsi="Times New Roman" w:eastAsia="宋体" w:cs="Times New Roman"/>
                <w:color w:val="000000"/>
                <w:szCs w:val="21"/>
              </w:rPr>
            </w:pPr>
            <w:r>
              <w:rPr>
                <w:rFonts w:hint="eastAsia" w:cs="Times New Roman"/>
                <w:szCs w:val="24"/>
                <w:lang w:val="en-US" w:eastAsia="zh-CN"/>
              </w:rPr>
              <w:t>3</w:t>
            </w:r>
            <w:r>
              <w:rPr>
                <w:rFonts w:hint="eastAsia" w:ascii="Times New Roman" w:hAnsi="Times New Roman" w:eastAsia="宋体" w:cs="Times New Roman"/>
                <w:szCs w:val="24"/>
              </w:rPr>
              <w:t>0</w:t>
            </w:r>
            <w:r>
              <w:rPr>
                <w:rFonts w:ascii="Times New Roman" w:hAnsi="Times New Roman" w:eastAsia="宋体" w:cs="Times New Roman"/>
                <w:szCs w:val="24"/>
              </w:rPr>
              <w:t>%</w:t>
            </w:r>
          </w:p>
        </w:tc>
        <w:tc>
          <w:tcPr>
            <w:tcW w:w="674" w:type="dxa"/>
            <w:shd w:val="clear" w:color="auto" w:fill="FFFFFF"/>
            <w:noWrap w:val="0"/>
            <w:vAlign w:val="center"/>
          </w:tcPr>
          <w:p>
            <w:pPr>
              <w:jc w:val="center"/>
              <w:rPr>
                <w:rFonts w:ascii="Times New Roman" w:hAnsi="Times New Roman" w:eastAsia="宋体" w:cs="Times New Roman"/>
                <w:color w:val="000000"/>
                <w:szCs w:val="21"/>
              </w:rPr>
            </w:pPr>
          </w:p>
        </w:tc>
        <w:tc>
          <w:tcPr>
            <w:tcW w:w="673" w:type="dxa"/>
            <w:shd w:val="clear" w:color="auto" w:fill="FFFFFF"/>
            <w:noWrap w:val="0"/>
            <w:vAlign w:val="center"/>
          </w:tcPr>
          <w:p>
            <w:pPr>
              <w:jc w:val="center"/>
              <w:rPr>
                <w:rFonts w:ascii="Times New Roman" w:hAnsi="Times New Roman" w:eastAsia="宋体" w:cs="Times New Roman"/>
                <w:color w:val="000000"/>
                <w:szCs w:val="21"/>
              </w:rPr>
            </w:pPr>
          </w:p>
        </w:tc>
        <w:tc>
          <w:tcPr>
            <w:tcW w:w="673" w:type="dxa"/>
            <w:shd w:val="clear" w:color="auto" w:fill="FFFFFF"/>
            <w:noWrap w:val="0"/>
            <w:vAlign w:val="center"/>
          </w:tcPr>
          <w:p>
            <w:pPr>
              <w:jc w:val="center"/>
              <w:rPr>
                <w:rFonts w:ascii="Times New Roman" w:hAnsi="Times New Roman" w:eastAsia="宋体" w:cs="Times New Roman"/>
                <w:color w:val="000000"/>
                <w:szCs w:val="21"/>
              </w:rPr>
            </w:pPr>
          </w:p>
        </w:tc>
        <w:tc>
          <w:tcPr>
            <w:tcW w:w="673" w:type="dxa"/>
            <w:shd w:val="clear" w:color="auto" w:fill="FFFFFF"/>
            <w:noWrap w:val="0"/>
            <w:vAlign w:val="center"/>
          </w:tcPr>
          <w:p>
            <w:pPr>
              <w:jc w:val="center"/>
              <w:rPr>
                <w:rFonts w:ascii="Times New Roman" w:hAnsi="Times New Roman" w:eastAsia="宋体" w:cs="Times New Roman"/>
                <w:color w:val="000000"/>
                <w:szCs w:val="21"/>
              </w:rPr>
            </w:pPr>
          </w:p>
        </w:tc>
        <w:tc>
          <w:tcPr>
            <w:tcW w:w="675" w:type="dxa"/>
            <w:shd w:val="clear" w:color="auto" w:fill="FFFFFF"/>
            <w:noWrap w:val="0"/>
            <w:vAlign w:val="center"/>
          </w:tcPr>
          <w:p>
            <w:pPr>
              <w:jc w:val="center"/>
              <w:rPr>
                <w:rFonts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2" w:hRule="atLeast"/>
        </w:trPr>
        <w:tc>
          <w:tcPr>
            <w:tcW w:w="1134" w:type="dxa"/>
            <w:shd w:val="clear" w:color="auto" w:fill="auto"/>
            <w:noWrap w:val="0"/>
            <w:tcMar>
              <w:left w:w="57" w:type="dxa"/>
              <w:right w:w="57" w:type="dxa"/>
            </w:tcMar>
            <w:vAlign w:val="center"/>
          </w:tcPr>
          <w:p>
            <w:pPr>
              <w:jc w:val="center"/>
              <w:rPr>
                <w:rFonts w:hint="eastAsia" w:ascii="Times New Roman" w:hAnsi="Times New Roman" w:eastAsia="宋体" w:cs="Times New Roman"/>
                <w:szCs w:val="24"/>
                <w:lang w:eastAsia="zh-CN"/>
              </w:rPr>
            </w:pPr>
            <w:r>
              <w:rPr>
                <w:rFonts w:hint="eastAsia" w:ascii="Times New Roman" w:hAnsi="Times New Roman" w:cs="Times New Roman"/>
                <w:szCs w:val="24"/>
                <w:lang w:eastAsia="zh-CN"/>
              </w:rPr>
              <w:t>实验操作</w:t>
            </w:r>
          </w:p>
        </w:tc>
        <w:tc>
          <w:tcPr>
            <w:tcW w:w="1276" w:type="dxa"/>
            <w:shd w:val="clear" w:color="auto" w:fill="auto"/>
            <w:noWrap w:val="0"/>
            <w:vAlign w:val="center"/>
          </w:tcPr>
          <w:p>
            <w:pPr>
              <w:jc w:val="center"/>
              <w:rPr>
                <w:rFonts w:ascii="Times New Roman" w:hAnsi="Times New Roman" w:eastAsia="宋体" w:cs="Times New Roman"/>
                <w:szCs w:val="24"/>
              </w:rPr>
            </w:pPr>
            <w:r>
              <w:rPr>
                <w:rFonts w:hint="eastAsia" w:cs="Times New Roman"/>
                <w:szCs w:val="24"/>
                <w:lang w:val="en-US" w:eastAsia="zh-CN"/>
              </w:rPr>
              <w:t>2</w:t>
            </w:r>
            <w:r>
              <w:rPr>
                <w:rFonts w:hint="eastAsia" w:ascii="Times New Roman" w:hAnsi="Times New Roman" w:eastAsia="宋体" w:cs="Times New Roman"/>
                <w:szCs w:val="24"/>
              </w:rPr>
              <w:t>0%</w:t>
            </w:r>
          </w:p>
        </w:tc>
        <w:tc>
          <w:tcPr>
            <w:tcW w:w="2918" w:type="dxa"/>
            <w:shd w:val="clear" w:color="auto" w:fill="auto"/>
            <w:noWrap w:val="0"/>
            <w:vAlign w:val="center"/>
          </w:tcPr>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重点考核：</w:t>
            </w:r>
            <w:r>
              <w:rPr>
                <w:rFonts w:hint="eastAsia" w:ascii="Times New Roman" w:hAnsi="Times New Roman" w:cs="Times New Roman"/>
                <w:color w:val="000000"/>
                <w:szCs w:val="21"/>
                <w:lang w:eastAsia="zh-CN"/>
              </w:rPr>
              <w:t>实验操作的熟练程度、</w:t>
            </w:r>
            <w:r>
              <w:t>实验纪律及</w:t>
            </w:r>
            <w:r>
              <w:rPr>
                <w:rFonts w:hint="eastAsia"/>
                <w:lang w:eastAsia="zh-CN"/>
              </w:rPr>
              <w:t>团队合作等</w:t>
            </w:r>
            <w:r>
              <w:t>方面给学生操作分。</w:t>
            </w:r>
          </w:p>
        </w:tc>
        <w:tc>
          <w:tcPr>
            <w:tcW w:w="673" w:type="dxa"/>
            <w:shd w:val="clear" w:color="auto" w:fill="FFFFFF"/>
            <w:noWrap w:val="0"/>
            <w:vAlign w:val="center"/>
          </w:tcPr>
          <w:p>
            <w:pPr>
              <w:jc w:val="center"/>
              <w:rPr>
                <w:rFonts w:ascii="Times New Roman" w:hAnsi="Times New Roman" w:eastAsia="宋体" w:cs="Times New Roman"/>
                <w:color w:val="000000"/>
                <w:szCs w:val="21"/>
              </w:rPr>
            </w:pPr>
          </w:p>
        </w:tc>
        <w:tc>
          <w:tcPr>
            <w:tcW w:w="674" w:type="dxa"/>
            <w:shd w:val="clear" w:color="auto" w:fill="FFFFFF"/>
            <w:noWrap w:val="0"/>
            <w:vAlign w:val="center"/>
          </w:tcPr>
          <w:p>
            <w:pPr>
              <w:jc w:val="center"/>
              <w:rPr>
                <w:rFonts w:ascii="Times New Roman" w:hAnsi="Times New Roman" w:eastAsia="宋体" w:cs="Times New Roman"/>
                <w:color w:val="000000"/>
                <w:szCs w:val="21"/>
              </w:rPr>
            </w:pPr>
            <w:r>
              <w:rPr>
                <w:rFonts w:hint="eastAsia" w:cs="Times New Roman"/>
                <w:szCs w:val="24"/>
                <w:lang w:val="en-US" w:eastAsia="zh-CN"/>
              </w:rPr>
              <w:t>2</w:t>
            </w:r>
            <w:r>
              <w:rPr>
                <w:rFonts w:hint="eastAsia" w:ascii="Times New Roman" w:hAnsi="Times New Roman" w:eastAsia="宋体" w:cs="Times New Roman"/>
                <w:szCs w:val="24"/>
              </w:rPr>
              <w:t>0%</w:t>
            </w:r>
          </w:p>
        </w:tc>
        <w:tc>
          <w:tcPr>
            <w:tcW w:w="673" w:type="dxa"/>
            <w:shd w:val="clear" w:color="auto" w:fill="FFFFFF"/>
            <w:noWrap w:val="0"/>
            <w:vAlign w:val="center"/>
          </w:tcPr>
          <w:p>
            <w:pPr>
              <w:jc w:val="center"/>
              <w:rPr>
                <w:rFonts w:ascii="Times New Roman" w:hAnsi="Times New Roman" w:eastAsia="宋体" w:cs="Times New Roman"/>
                <w:color w:val="000000"/>
                <w:szCs w:val="21"/>
              </w:rPr>
            </w:pPr>
          </w:p>
        </w:tc>
        <w:tc>
          <w:tcPr>
            <w:tcW w:w="673" w:type="dxa"/>
            <w:shd w:val="clear" w:color="auto" w:fill="FFFFFF"/>
            <w:noWrap w:val="0"/>
            <w:vAlign w:val="center"/>
          </w:tcPr>
          <w:p>
            <w:pPr>
              <w:jc w:val="center"/>
              <w:rPr>
                <w:rFonts w:ascii="Times New Roman" w:hAnsi="Times New Roman" w:eastAsia="宋体" w:cs="Times New Roman"/>
                <w:color w:val="000000"/>
                <w:szCs w:val="21"/>
              </w:rPr>
            </w:pPr>
          </w:p>
        </w:tc>
        <w:tc>
          <w:tcPr>
            <w:tcW w:w="673" w:type="dxa"/>
            <w:shd w:val="clear" w:color="auto" w:fill="FFFFFF"/>
            <w:noWrap w:val="0"/>
            <w:vAlign w:val="center"/>
          </w:tcPr>
          <w:p>
            <w:pPr>
              <w:jc w:val="center"/>
              <w:rPr>
                <w:rFonts w:ascii="Times New Roman" w:hAnsi="Times New Roman" w:eastAsia="宋体" w:cs="Times New Roman"/>
                <w:color w:val="000000"/>
                <w:szCs w:val="21"/>
              </w:rPr>
            </w:pPr>
          </w:p>
        </w:tc>
        <w:tc>
          <w:tcPr>
            <w:tcW w:w="675" w:type="dxa"/>
            <w:shd w:val="clear" w:color="auto" w:fill="FFFFFF"/>
            <w:noWrap w:val="0"/>
            <w:vAlign w:val="center"/>
          </w:tcPr>
          <w:p>
            <w:pPr>
              <w:jc w:val="center"/>
              <w:rPr>
                <w:rFonts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4" w:hRule="atLeast"/>
        </w:trPr>
        <w:tc>
          <w:tcPr>
            <w:tcW w:w="1134" w:type="dxa"/>
            <w:shd w:val="clear" w:color="auto" w:fill="auto"/>
            <w:noWrap w:val="0"/>
            <w:tcMar>
              <w:left w:w="57" w:type="dxa"/>
              <w:right w:w="57" w:type="dxa"/>
            </w:tcMar>
            <w:vAlign w:val="center"/>
          </w:tcPr>
          <w:p>
            <w:pPr>
              <w:jc w:val="center"/>
              <w:rPr>
                <w:rFonts w:hint="eastAsia" w:ascii="Times New Roman" w:hAnsi="Times New Roman" w:eastAsia="宋体" w:cs="Times New Roman"/>
                <w:szCs w:val="24"/>
                <w:lang w:eastAsia="zh-CN"/>
              </w:rPr>
            </w:pPr>
            <w:r>
              <w:rPr>
                <w:rFonts w:hint="eastAsia" w:ascii="Times New Roman" w:hAnsi="Times New Roman" w:cs="Times New Roman"/>
                <w:szCs w:val="24"/>
                <w:lang w:eastAsia="zh-CN"/>
              </w:rPr>
              <w:t>期末考试</w:t>
            </w:r>
          </w:p>
        </w:tc>
        <w:tc>
          <w:tcPr>
            <w:tcW w:w="1276" w:type="dxa"/>
            <w:shd w:val="clear" w:color="auto" w:fill="auto"/>
            <w:noWrap w:val="0"/>
            <w:vAlign w:val="center"/>
          </w:tcPr>
          <w:p>
            <w:pPr>
              <w:jc w:val="center"/>
              <w:rPr>
                <w:rFonts w:ascii="Times New Roman" w:hAnsi="Times New Roman" w:eastAsia="宋体" w:cs="Times New Roman"/>
                <w:szCs w:val="24"/>
              </w:rPr>
            </w:pPr>
            <w:r>
              <w:rPr>
                <w:rFonts w:hint="eastAsia" w:cs="Times New Roman"/>
                <w:szCs w:val="24"/>
                <w:lang w:val="en-US" w:eastAsia="zh-CN"/>
              </w:rPr>
              <w:t>4</w:t>
            </w:r>
            <w:r>
              <w:rPr>
                <w:rFonts w:hint="eastAsia" w:ascii="Times New Roman" w:hAnsi="Times New Roman" w:eastAsia="宋体" w:cs="Times New Roman"/>
                <w:szCs w:val="24"/>
              </w:rPr>
              <w:t>0</w:t>
            </w:r>
            <w:r>
              <w:rPr>
                <w:rFonts w:ascii="Times New Roman" w:hAnsi="Times New Roman" w:eastAsia="宋体" w:cs="Times New Roman"/>
                <w:szCs w:val="24"/>
              </w:rPr>
              <w:t>%</w:t>
            </w:r>
            <w:r>
              <w:rPr>
                <w:rFonts w:hint="eastAsia" w:ascii="Times New Roman" w:hAnsi="Times New Roman" w:eastAsia="宋体" w:cs="Times New Roman"/>
                <w:szCs w:val="24"/>
              </w:rPr>
              <w:t xml:space="preserve"> </w:t>
            </w:r>
          </w:p>
        </w:tc>
        <w:tc>
          <w:tcPr>
            <w:tcW w:w="2918" w:type="dxa"/>
            <w:shd w:val="clear" w:color="auto" w:fill="auto"/>
            <w:noWrap w:val="0"/>
            <w:vAlign w:val="center"/>
          </w:tcPr>
          <w:p>
            <w:pPr>
              <w:rPr>
                <w:rFonts w:hint="eastAsia" w:ascii="Times New Roman" w:hAnsi="Times New Roman" w:eastAsia="宋体" w:cs="Times New Roman"/>
                <w:color w:val="000000"/>
                <w:szCs w:val="21"/>
                <w:lang w:eastAsia="zh-CN"/>
              </w:rPr>
            </w:pPr>
            <w:r>
              <w:rPr>
                <w:rFonts w:hint="eastAsia" w:ascii="Times New Roman" w:hAnsi="Times New Roman" w:eastAsia="宋体" w:cs="Times New Roman"/>
                <w:color w:val="000000"/>
                <w:szCs w:val="21"/>
              </w:rPr>
              <w:t>重点考核：</w:t>
            </w:r>
            <w:r>
              <w:rPr>
                <w:rFonts w:hint="eastAsia" w:ascii="Times New Roman" w:hAnsi="Times New Roman" w:cs="Times New Roman"/>
                <w:color w:val="000000"/>
                <w:szCs w:val="21"/>
                <w:lang w:eastAsia="zh-CN"/>
              </w:rPr>
              <w:t>实验操作、实验原理、工艺流程的掌握。</w:t>
            </w:r>
          </w:p>
        </w:tc>
        <w:tc>
          <w:tcPr>
            <w:tcW w:w="673" w:type="dxa"/>
            <w:shd w:val="clear" w:color="auto" w:fill="FFFFFF"/>
            <w:noWrap w:val="0"/>
            <w:vAlign w:val="center"/>
          </w:tcPr>
          <w:p>
            <w:pPr>
              <w:jc w:val="center"/>
              <w:rPr>
                <w:rFonts w:ascii="Times New Roman" w:hAnsi="Times New Roman" w:eastAsia="宋体" w:cs="Times New Roman"/>
                <w:color w:val="000000"/>
                <w:szCs w:val="21"/>
              </w:rPr>
            </w:pPr>
            <w:r>
              <w:rPr>
                <w:rFonts w:hint="eastAsia" w:cs="Times New Roman"/>
                <w:szCs w:val="24"/>
                <w:lang w:val="en-US" w:eastAsia="zh-CN"/>
              </w:rPr>
              <w:t>4</w:t>
            </w:r>
            <w:r>
              <w:rPr>
                <w:rFonts w:hint="eastAsia" w:ascii="Times New Roman" w:hAnsi="Times New Roman" w:eastAsia="宋体" w:cs="Times New Roman"/>
                <w:szCs w:val="24"/>
              </w:rPr>
              <w:t>0</w:t>
            </w:r>
            <w:r>
              <w:rPr>
                <w:rFonts w:ascii="Times New Roman" w:hAnsi="Times New Roman" w:eastAsia="宋体" w:cs="Times New Roman"/>
                <w:szCs w:val="24"/>
              </w:rPr>
              <w:t>%</w:t>
            </w:r>
            <w:r>
              <w:rPr>
                <w:rFonts w:hint="eastAsia" w:ascii="Times New Roman" w:hAnsi="Times New Roman" w:eastAsia="宋体" w:cs="Times New Roman"/>
                <w:szCs w:val="24"/>
              </w:rPr>
              <w:t xml:space="preserve"> </w:t>
            </w:r>
          </w:p>
        </w:tc>
        <w:tc>
          <w:tcPr>
            <w:tcW w:w="674" w:type="dxa"/>
            <w:shd w:val="clear" w:color="auto" w:fill="FFFFFF"/>
            <w:noWrap w:val="0"/>
            <w:vAlign w:val="center"/>
          </w:tcPr>
          <w:p>
            <w:pPr>
              <w:jc w:val="center"/>
              <w:rPr>
                <w:rFonts w:ascii="Times New Roman" w:hAnsi="Times New Roman" w:eastAsia="宋体" w:cs="Times New Roman"/>
                <w:color w:val="000000"/>
                <w:szCs w:val="21"/>
              </w:rPr>
            </w:pPr>
          </w:p>
        </w:tc>
        <w:tc>
          <w:tcPr>
            <w:tcW w:w="673" w:type="dxa"/>
            <w:shd w:val="clear" w:color="auto" w:fill="FFFFFF"/>
            <w:noWrap w:val="0"/>
            <w:vAlign w:val="center"/>
          </w:tcPr>
          <w:p>
            <w:pPr>
              <w:jc w:val="center"/>
              <w:rPr>
                <w:rFonts w:ascii="Times New Roman" w:hAnsi="Times New Roman" w:eastAsia="宋体" w:cs="Times New Roman"/>
                <w:color w:val="000000"/>
                <w:szCs w:val="21"/>
              </w:rPr>
            </w:pPr>
          </w:p>
        </w:tc>
        <w:tc>
          <w:tcPr>
            <w:tcW w:w="673" w:type="dxa"/>
            <w:shd w:val="clear" w:color="auto" w:fill="FFFFFF"/>
            <w:noWrap w:val="0"/>
            <w:vAlign w:val="center"/>
          </w:tcPr>
          <w:p>
            <w:pPr>
              <w:jc w:val="center"/>
              <w:rPr>
                <w:rFonts w:ascii="Times New Roman" w:hAnsi="Times New Roman" w:eastAsia="宋体" w:cs="Times New Roman"/>
                <w:color w:val="000000"/>
                <w:szCs w:val="21"/>
              </w:rPr>
            </w:pPr>
          </w:p>
        </w:tc>
        <w:tc>
          <w:tcPr>
            <w:tcW w:w="673" w:type="dxa"/>
            <w:shd w:val="clear" w:color="auto" w:fill="FFFFFF"/>
            <w:noWrap w:val="0"/>
            <w:vAlign w:val="center"/>
          </w:tcPr>
          <w:p>
            <w:pPr>
              <w:jc w:val="center"/>
              <w:rPr>
                <w:rFonts w:ascii="Times New Roman" w:hAnsi="Times New Roman" w:eastAsia="宋体" w:cs="Times New Roman"/>
                <w:color w:val="000000"/>
                <w:szCs w:val="21"/>
              </w:rPr>
            </w:pPr>
          </w:p>
        </w:tc>
        <w:tc>
          <w:tcPr>
            <w:tcW w:w="675" w:type="dxa"/>
            <w:shd w:val="clear" w:color="auto" w:fill="FFFFFF"/>
            <w:noWrap w:val="0"/>
            <w:vAlign w:val="center"/>
          </w:tcPr>
          <w:p>
            <w:pPr>
              <w:jc w:val="center"/>
              <w:rPr>
                <w:rFonts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1134" w:type="dxa"/>
            <w:shd w:val="clear" w:color="auto" w:fill="auto"/>
            <w:noWrap w:val="0"/>
            <w:tcMar>
              <w:left w:w="57" w:type="dxa"/>
              <w:right w:w="57" w:type="dxa"/>
            </w:tcMar>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合    计</w:t>
            </w:r>
          </w:p>
        </w:tc>
        <w:tc>
          <w:tcPr>
            <w:tcW w:w="1276" w:type="dxa"/>
            <w:shd w:val="clear" w:color="auto" w:fill="auto"/>
            <w:noWrap w:val="0"/>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100%</w:t>
            </w:r>
          </w:p>
        </w:tc>
        <w:tc>
          <w:tcPr>
            <w:tcW w:w="2918" w:type="dxa"/>
            <w:shd w:val="clear" w:color="auto" w:fill="auto"/>
            <w:noWrap w:val="0"/>
            <w:vAlign w:val="center"/>
          </w:tcPr>
          <w:p>
            <w:pPr>
              <w:rPr>
                <w:rFonts w:ascii="Times New Roman" w:hAnsi="Times New Roman" w:eastAsia="宋体" w:cs="Times New Roman"/>
                <w:color w:val="000000"/>
                <w:szCs w:val="21"/>
              </w:rPr>
            </w:pPr>
          </w:p>
        </w:tc>
        <w:tc>
          <w:tcPr>
            <w:tcW w:w="673" w:type="dxa"/>
            <w:shd w:val="clear" w:color="auto" w:fill="FFFFFF"/>
            <w:noWrap w:val="0"/>
            <w:vAlign w:val="center"/>
          </w:tcPr>
          <w:p>
            <w:pPr>
              <w:jc w:val="center"/>
              <w:rPr>
                <w:rFonts w:ascii="Times New Roman" w:hAnsi="Times New Roman" w:eastAsia="宋体" w:cs="Times New Roman"/>
                <w:color w:val="000000"/>
                <w:szCs w:val="21"/>
              </w:rPr>
            </w:pPr>
            <w:r>
              <w:rPr>
                <w:rFonts w:hint="eastAsia" w:ascii="Times New Roman" w:hAnsi="Times New Roman" w:cs="Times New Roman"/>
                <w:color w:val="000000"/>
                <w:szCs w:val="21"/>
                <w:lang w:val="en-US" w:eastAsia="zh-CN"/>
              </w:rPr>
              <w:t>80</w:t>
            </w:r>
            <w:r>
              <w:rPr>
                <w:rFonts w:hint="eastAsia" w:ascii="Times New Roman" w:hAnsi="Times New Roman" w:eastAsia="宋体" w:cs="Times New Roman"/>
                <w:color w:val="000000"/>
                <w:szCs w:val="21"/>
              </w:rPr>
              <w:t>%</w:t>
            </w:r>
          </w:p>
        </w:tc>
        <w:tc>
          <w:tcPr>
            <w:tcW w:w="674" w:type="dxa"/>
            <w:shd w:val="clear" w:color="auto" w:fill="FFFFFF"/>
            <w:noWrap w:val="0"/>
            <w:vAlign w:val="center"/>
          </w:tcPr>
          <w:p>
            <w:pPr>
              <w:jc w:val="center"/>
              <w:rPr>
                <w:rFonts w:ascii="Times New Roman" w:hAnsi="Times New Roman" w:eastAsia="宋体" w:cs="Times New Roman"/>
                <w:color w:val="000000"/>
                <w:szCs w:val="21"/>
              </w:rPr>
            </w:pPr>
            <w:r>
              <w:rPr>
                <w:rFonts w:hint="eastAsia" w:ascii="Times New Roman" w:hAnsi="Times New Roman" w:cs="Times New Roman"/>
                <w:color w:val="000000"/>
                <w:szCs w:val="21"/>
                <w:lang w:val="en-US" w:eastAsia="zh-CN"/>
              </w:rPr>
              <w:t>20</w:t>
            </w:r>
            <w:r>
              <w:rPr>
                <w:rFonts w:hint="eastAsia" w:ascii="Times New Roman" w:hAnsi="Times New Roman" w:eastAsia="宋体" w:cs="Times New Roman"/>
                <w:color w:val="000000"/>
                <w:szCs w:val="21"/>
              </w:rPr>
              <w:t>%</w:t>
            </w:r>
          </w:p>
        </w:tc>
        <w:tc>
          <w:tcPr>
            <w:tcW w:w="673" w:type="dxa"/>
            <w:shd w:val="clear" w:color="auto" w:fill="FFFFFF"/>
            <w:noWrap w:val="0"/>
            <w:vAlign w:val="center"/>
          </w:tcPr>
          <w:p>
            <w:pPr>
              <w:jc w:val="center"/>
              <w:rPr>
                <w:rFonts w:ascii="Times New Roman" w:hAnsi="Times New Roman" w:eastAsia="宋体" w:cs="Times New Roman"/>
                <w:color w:val="000000"/>
                <w:szCs w:val="21"/>
              </w:rPr>
            </w:pPr>
          </w:p>
        </w:tc>
        <w:tc>
          <w:tcPr>
            <w:tcW w:w="673" w:type="dxa"/>
            <w:shd w:val="clear" w:color="auto" w:fill="FFFFFF"/>
            <w:noWrap w:val="0"/>
            <w:vAlign w:val="center"/>
          </w:tcPr>
          <w:p>
            <w:pPr>
              <w:jc w:val="center"/>
              <w:rPr>
                <w:rFonts w:ascii="Times New Roman" w:hAnsi="Times New Roman" w:eastAsia="宋体" w:cs="Times New Roman"/>
                <w:color w:val="000000"/>
                <w:szCs w:val="21"/>
              </w:rPr>
            </w:pPr>
          </w:p>
        </w:tc>
        <w:tc>
          <w:tcPr>
            <w:tcW w:w="673" w:type="dxa"/>
            <w:shd w:val="clear" w:color="auto" w:fill="FFFFFF"/>
            <w:noWrap w:val="0"/>
            <w:vAlign w:val="center"/>
          </w:tcPr>
          <w:p>
            <w:pPr>
              <w:jc w:val="center"/>
              <w:rPr>
                <w:rFonts w:ascii="Times New Roman" w:hAnsi="Times New Roman" w:eastAsia="宋体" w:cs="Times New Roman"/>
                <w:color w:val="000000"/>
                <w:szCs w:val="21"/>
              </w:rPr>
            </w:pPr>
          </w:p>
        </w:tc>
        <w:tc>
          <w:tcPr>
            <w:tcW w:w="675" w:type="dxa"/>
            <w:shd w:val="clear" w:color="auto" w:fill="FFFFFF"/>
            <w:noWrap w:val="0"/>
            <w:vAlign w:val="center"/>
          </w:tcPr>
          <w:p>
            <w:pPr>
              <w:jc w:val="center"/>
              <w:rPr>
                <w:rFonts w:ascii="Times New Roman" w:hAnsi="Times New Roman" w:eastAsia="宋体" w:cs="Times New Roman"/>
                <w:color w:val="000000"/>
                <w:szCs w:val="21"/>
              </w:rPr>
            </w:pPr>
          </w:p>
        </w:tc>
      </w:tr>
    </w:tbl>
    <w:p>
      <w:pPr>
        <w:spacing w:line="360" w:lineRule="auto"/>
        <w:ind w:firstLine="480" w:firstLineChars="200"/>
        <w:rPr>
          <w:rFonts w:hint="eastAsia" w:ascii="Times New Roman" w:hAnsi="Times New Roman" w:eastAsia="宋体" w:cs="Times New Roman"/>
          <w:sz w:val="24"/>
        </w:rPr>
      </w:pPr>
    </w:p>
    <w:p>
      <w:pPr>
        <w:spacing w:line="360" w:lineRule="auto"/>
        <w:ind w:firstLine="562" w:firstLineChars="200"/>
        <w:rPr>
          <w:rFonts w:hint="eastAsia"/>
          <w:b/>
          <w:sz w:val="28"/>
          <w:szCs w:val="28"/>
        </w:rPr>
      </w:pPr>
      <w:r>
        <w:rPr>
          <w:rFonts w:hint="eastAsia"/>
          <w:b/>
          <w:sz w:val="28"/>
          <w:szCs w:val="28"/>
        </w:rPr>
        <w:t>六</w:t>
      </w:r>
      <w:r>
        <w:rPr>
          <w:b/>
          <w:sz w:val="28"/>
          <w:szCs w:val="28"/>
        </w:rPr>
        <w:t>、</w:t>
      </w:r>
      <w:r>
        <w:rPr>
          <w:rFonts w:hint="eastAsia"/>
          <w:b/>
          <w:sz w:val="28"/>
          <w:szCs w:val="28"/>
        </w:rPr>
        <w:t>有关说明</w:t>
      </w:r>
    </w:p>
    <w:p>
      <w:pPr>
        <w:spacing w:line="360" w:lineRule="auto"/>
        <w:ind w:firstLine="480" w:firstLineChars="200"/>
        <w:rPr>
          <w:rFonts w:hint="eastAsia"/>
          <w:sz w:val="24"/>
        </w:rPr>
      </w:pPr>
      <w:r>
        <w:rPr>
          <w:rFonts w:hint="eastAsia"/>
          <w:sz w:val="24"/>
          <w:lang w:val="en-US" w:eastAsia="zh-CN"/>
        </w:rPr>
        <w:t>1</w:t>
      </w:r>
      <w:r>
        <w:rPr>
          <w:rFonts w:hint="eastAsia"/>
          <w:sz w:val="24"/>
        </w:rPr>
        <w:t>. 教学建议</w:t>
      </w:r>
    </w:p>
    <w:p>
      <w:pPr>
        <w:spacing w:line="360" w:lineRule="auto"/>
        <w:ind w:firstLine="480" w:firstLineChars="200"/>
        <w:rPr>
          <w:rFonts w:hint="eastAsia"/>
          <w:sz w:val="24"/>
        </w:rPr>
      </w:pPr>
      <w:r>
        <w:rPr>
          <w:rFonts w:hint="eastAsia"/>
          <w:sz w:val="24"/>
        </w:rPr>
        <w:t xml:space="preserve">(1) </w:t>
      </w:r>
      <w:r>
        <w:rPr>
          <w:rFonts w:hint="eastAsia"/>
          <w:color w:val="000000"/>
          <w:sz w:val="24"/>
        </w:rPr>
        <w:t>本课程涉及理论内容较多，计算较为复杂，学生提前预习相关理论知识，提高学生实验的成功率和准确性。</w:t>
      </w:r>
    </w:p>
    <w:p>
      <w:pPr>
        <w:spacing w:line="360" w:lineRule="auto"/>
        <w:ind w:firstLine="480" w:firstLineChars="200"/>
        <w:rPr>
          <w:rFonts w:hint="eastAsia"/>
          <w:sz w:val="24"/>
        </w:rPr>
      </w:pPr>
      <w:r>
        <w:rPr>
          <w:rFonts w:hint="eastAsia"/>
          <w:sz w:val="24"/>
        </w:rPr>
        <w:t xml:space="preserve">(2) </w:t>
      </w:r>
      <w:r>
        <w:rPr>
          <w:rFonts w:hint="eastAsia"/>
          <w:color w:val="000000"/>
          <w:sz w:val="24"/>
        </w:rPr>
        <w:t>应尽量利用多媒体、教学录像等辅助教学手段，学生提前预习整个实验操作流程，以提高本门课程的课堂教学效果。</w:t>
      </w:r>
    </w:p>
    <w:p>
      <w:pPr>
        <w:spacing w:line="360" w:lineRule="auto"/>
        <w:ind w:firstLine="480" w:firstLineChars="200"/>
        <w:rPr>
          <w:rFonts w:hint="eastAsia"/>
          <w:sz w:val="24"/>
        </w:rPr>
      </w:pPr>
      <w:r>
        <w:rPr>
          <w:rFonts w:hint="eastAsia"/>
          <w:sz w:val="24"/>
          <w:lang w:val="en-US" w:eastAsia="zh-CN"/>
        </w:rPr>
        <w:t>2</w:t>
      </w:r>
      <w:r>
        <w:rPr>
          <w:rFonts w:hint="eastAsia"/>
          <w:sz w:val="24"/>
        </w:rPr>
        <w:t xml:space="preserve">. </w:t>
      </w:r>
      <w:r>
        <w:rPr>
          <w:rFonts w:hint="eastAsia"/>
          <w:color w:val="000000"/>
          <w:sz w:val="24"/>
        </w:rPr>
        <w:t>教学参考书</w:t>
      </w:r>
    </w:p>
    <w:p>
      <w:pPr>
        <w:spacing w:line="360" w:lineRule="auto"/>
        <w:ind w:firstLine="480" w:firstLineChars="200"/>
        <w:rPr>
          <w:rFonts w:hint="eastAsia"/>
          <w:color w:val="000000"/>
          <w:sz w:val="24"/>
        </w:rPr>
      </w:pPr>
      <w:r>
        <w:rPr>
          <w:rFonts w:hint="eastAsia"/>
          <w:color w:val="000000"/>
          <w:sz w:val="24"/>
        </w:rPr>
        <w:t>化工原理实验            尚小琴                化学工业出版社</w:t>
      </w:r>
    </w:p>
    <w:p>
      <w:pPr>
        <w:spacing w:line="360" w:lineRule="auto"/>
        <w:ind w:firstLine="480" w:firstLineChars="200"/>
        <w:rPr>
          <w:rFonts w:hint="eastAsia"/>
          <w:color w:val="000000"/>
          <w:sz w:val="24"/>
        </w:rPr>
      </w:pPr>
      <w:r>
        <w:rPr>
          <w:rFonts w:hint="eastAsia"/>
          <w:color w:val="000000"/>
          <w:sz w:val="24"/>
        </w:rPr>
        <w:t>化工原理实验            程振平，赵宜江        南京大学出版社</w:t>
      </w:r>
    </w:p>
    <w:p>
      <w:pPr>
        <w:spacing w:line="360" w:lineRule="auto"/>
        <w:ind w:firstLine="480" w:firstLineChars="200"/>
        <w:rPr>
          <w:rFonts w:hint="eastAsia"/>
          <w:color w:val="000000"/>
          <w:sz w:val="24"/>
        </w:rPr>
      </w:pPr>
      <w:r>
        <w:rPr>
          <w:rFonts w:hint="eastAsia"/>
          <w:color w:val="000000"/>
          <w:sz w:val="24"/>
        </w:rPr>
        <w:t>化工原理实验及课程设计  陈均志、李磊编著      化学工业出版社</w:t>
      </w:r>
    </w:p>
    <w:p>
      <w:pPr>
        <w:spacing w:line="360" w:lineRule="auto"/>
        <w:ind w:firstLine="480" w:firstLineChars="200"/>
        <w:rPr>
          <w:rFonts w:hint="eastAsia"/>
          <w:sz w:val="24"/>
        </w:rPr>
      </w:pPr>
    </w:p>
    <w:p>
      <w:pPr>
        <w:spacing w:line="360" w:lineRule="auto"/>
        <w:ind w:firstLine="480" w:firstLineChars="200"/>
        <w:rPr>
          <w:rFonts w:hint="eastAsia"/>
          <w:sz w:val="24"/>
        </w:rPr>
      </w:pPr>
    </w:p>
    <w:p>
      <w:pPr>
        <w:spacing w:line="360" w:lineRule="auto"/>
        <w:ind w:firstLine="5964" w:firstLineChars="2485"/>
        <w:rPr>
          <w:rFonts w:hint="eastAsia" w:eastAsia="宋体"/>
          <w:sz w:val="24"/>
          <w:lang w:val="en-US" w:eastAsia="zh-CN"/>
        </w:rPr>
      </w:pPr>
      <w:r>
        <w:rPr>
          <w:rFonts w:hint="eastAsia"/>
          <w:sz w:val="24"/>
        </w:rPr>
        <w:t>执笔人：</w:t>
      </w:r>
      <w:r>
        <w:rPr>
          <w:rFonts w:hint="eastAsia"/>
          <w:sz w:val="24"/>
          <w:lang w:eastAsia="zh-CN"/>
        </w:rPr>
        <w:t>刘宝亮</w:t>
      </w:r>
    </w:p>
    <w:p>
      <w:pPr>
        <w:spacing w:line="360" w:lineRule="auto"/>
        <w:ind w:firstLine="5964" w:firstLineChars="2485"/>
        <w:rPr>
          <w:rFonts w:hint="eastAsia" w:eastAsia="宋体"/>
          <w:sz w:val="24"/>
          <w:lang w:eastAsia="zh-CN"/>
        </w:rPr>
      </w:pPr>
      <w:r>
        <w:rPr>
          <w:rFonts w:hint="eastAsia"/>
          <w:sz w:val="24"/>
        </w:rPr>
        <w:t>审定人：</w:t>
      </w:r>
      <w:r>
        <w:rPr>
          <w:rFonts w:hint="eastAsia"/>
          <w:sz w:val="24"/>
          <w:lang w:eastAsia="zh-CN"/>
        </w:rPr>
        <w:t>魏雪姣</w:t>
      </w:r>
    </w:p>
    <w:p>
      <w:pPr>
        <w:spacing w:line="360" w:lineRule="auto"/>
        <w:ind w:firstLine="5964" w:firstLineChars="2485"/>
        <w:rPr>
          <w:rFonts w:hint="eastAsia"/>
          <w:sz w:val="24"/>
          <w:lang w:eastAsia="zh-CN"/>
        </w:rPr>
      </w:pPr>
      <w:r>
        <w:rPr>
          <w:rFonts w:hint="eastAsia"/>
          <w:sz w:val="24"/>
        </w:rPr>
        <w:t>批准人：</w:t>
      </w:r>
      <w:r>
        <w:rPr>
          <w:rFonts w:hint="eastAsia"/>
          <w:sz w:val="24"/>
          <w:lang w:eastAsia="zh-CN"/>
        </w:rPr>
        <w:t>吴泽颖</w:t>
      </w:r>
    </w:p>
    <w:p>
      <w:pPr>
        <w:spacing w:line="360" w:lineRule="auto"/>
        <w:ind w:firstLine="5964" w:firstLineChars="2485"/>
        <w:rPr>
          <w:rFonts w:hint="default"/>
          <w:sz w:val="24"/>
          <w:lang w:val="en-US" w:eastAsia="zh-CN"/>
        </w:rPr>
      </w:pPr>
      <w:r>
        <w:rPr>
          <w:rFonts w:hint="eastAsia"/>
          <w:sz w:val="24"/>
          <w:lang w:eastAsia="zh-CN"/>
        </w:rPr>
        <w:t>批准时间：</w:t>
      </w:r>
      <w:r>
        <w:rPr>
          <w:rFonts w:hint="eastAsia"/>
          <w:sz w:val="24"/>
          <w:lang w:val="en-US" w:eastAsia="zh-CN"/>
        </w:rPr>
        <w:t>2021.9.1</w:t>
      </w:r>
    </w:p>
    <w:p>
      <w:pPr>
        <w:pStyle w:val="4"/>
        <w:jc w:val="center"/>
        <w:rPr>
          <w:rFonts w:hint="eastAsia"/>
          <w:bCs w:val="0"/>
          <w:kern w:val="0"/>
          <w:sz w:val="30"/>
        </w:rPr>
      </w:pPr>
    </w:p>
    <w:p>
      <w:pPr>
        <w:pStyle w:val="4"/>
        <w:jc w:val="center"/>
        <w:rPr>
          <w:rFonts w:hint="eastAsia"/>
          <w:bCs w:val="0"/>
          <w:kern w:val="0"/>
          <w:sz w:val="30"/>
        </w:rPr>
      </w:pPr>
    </w:p>
    <w:p>
      <w:pPr>
        <w:pStyle w:val="4"/>
        <w:jc w:val="center"/>
        <w:rPr>
          <w:rFonts w:hint="eastAsia"/>
          <w:bCs w:val="0"/>
          <w:kern w:val="0"/>
          <w:sz w:val="30"/>
        </w:rPr>
      </w:pPr>
    </w:p>
    <w:p>
      <w:pPr>
        <w:pStyle w:val="4"/>
        <w:jc w:val="center"/>
        <w:rPr>
          <w:rFonts w:hint="eastAsia"/>
          <w:bCs w:val="0"/>
          <w:kern w:val="0"/>
          <w:sz w:val="30"/>
        </w:rPr>
      </w:pPr>
    </w:p>
    <w:p>
      <w:pPr>
        <w:pStyle w:val="4"/>
        <w:jc w:val="center"/>
        <w:rPr>
          <w:rFonts w:hint="eastAsia"/>
          <w:bCs w:val="0"/>
          <w:kern w:val="0"/>
          <w:sz w:val="30"/>
        </w:rPr>
      </w:pPr>
    </w:p>
    <w:p>
      <w:pPr>
        <w:rPr>
          <w:rFonts w:hint="eastAsia"/>
          <w:bCs w:val="0"/>
          <w:kern w:val="0"/>
          <w:sz w:val="30"/>
        </w:rPr>
      </w:pPr>
    </w:p>
    <w:p>
      <w:pPr>
        <w:rPr>
          <w:rFonts w:hint="eastAsia"/>
          <w:bCs w:val="0"/>
          <w:kern w:val="0"/>
          <w:sz w:val="30"/>
        </w:rPr>
      </w:pPr>
    </w:p>
    <w:p>
      <w:pPr>
        <w:rPr>
          <w:rFonts w:hint="eastAsia"/>
        </w:rPr>
      </w:pPr>
    </w:p>
    <w:p>
      <w:pPr>
        <w:pStyle w:val="3"/>
        <w:bidi w:val="0"/>
        <w:jc w:val="center"/>
        <w:rPr>
          <w:rFonts w:hint="eastAsia"/>
        </w:rPr>
      </w:pPr>
    </w:p>
    <w:p>
      <w:pPr>
        <w:pStyle w:val="3"/>
        <w:bidi w:val="0"/>
        <w:jc w:val="center"/>
        <w:rPr>
          <w:bCs w:val="0"/>
          <w:kern w:val="0"/>
        </w:rPr>
      </w:pPr>
      <w:bookmarkStart w:id="102" w:name="_Toc1227"/>
      <w:bookmarkStart w:id="103" w:name="_Toc24189"/>
      <w:r>
        <w:rPr>
          <w:rFonts w:hint="eastAsia"/>
        </w:rPr>
        <w:t>仪器分析与实验</w:t>
      </w:r>
      <w:r>
        <w:rPr>
          <w:rFonts w:hint="eastAsia"/>
          <w:lang w:eastAsia="zh-CN"/>
        </w:rPr>
        <w:t>（双语）</w:t>
      </w:r>
      <w:r>
        <w:t>课程教学大纲</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2"/>
      <w:bookmarkEnd w:id="103"/>
    </w:p>
    <w:p>
      <w:pPr>
        <w:spacing w:line="312" w:lineRule="auto"/>
        <w:jc w:val="center"/>
        <w:rPr>
          <w:b/>
          <w:bCs/>
          <w:sz w:val="30"/>
        </w:rPr>
      </w:pPr>
      <w:r>
        <w:rPr>
          <w:b/>
          <w:bCs/>
          <w:sz w:val="30"/>
        </w:rPr>
        <w:t>（</w:t>
      </w:r>
      <w:r>
        <w:rPr>
          <w:rFonts w:hint="eastAsia"/>
          <w:b/>
          <w:bCs/>
          <w:sz w:val="30"/>
        </w:rPr>
        <w:t>Instrument Analysis and Experiment of Fine Chemicals</w:t>
      </w:r>
      <w:r>
        <w:rPr>
          <w:b/>
          <w:bCs/>
          <w:sz w:val="30"/>
        </w:rPr>
        <w:t>）</w:t>
      </w:r>
    </w:p>
    <w:p>
      <w:pPr>
        <w:spacing w:line="312" w:lineRule="auto"/>
        <w:jc w:val="center"/>
        <w:rPr>
          <w:rFonts w:eastAsia="黑体"/>
          <w:bCs/>
          <w:sz w:val="30"/>
        </w:rPr>
      </w:pPr>
    </w:p>
    <w:p>
      <w:pPr>
        <w:spacing w:line="360" w:lineRule="auto"/>
        <w:ind w:firstLine="551" w:firstLineChars="196"/>
        <w:rPr>
          <w:b/>
          <w:sz w:val="28"/>
          <w:szCs w:val="28"/>
        </w:rPr>
      </w:pPr>
      <w:r>
        <w:rPr>
          <w:b/>
          <w:sz w:val="28"/>
          <w:szCs w:val="28"/>
        </w:rPr>
        <w:t>一、课程概况</w:t>
      </w:r>
    </w:p>
    <w:p>
      <w:pPr>
        <w:spacing w:line="360" w:lineRule="auto"/>
        <w:ind w:firstLine="482" w:firstLineChars="200"/>
        <w:rPr>
          <w:b/>
          <w:sz w:val="28"/>
          <w:szCs w:val="28"/>
        </w:rPr>
      </w:pPr>
      <w:r>
        <w:rPr>
          <w:b/>
          <w:bCs/>
          <w:kern w:val="0"/>
          <w:sz w:val="24"/>
        </w:rPr>
        <w:t>课程代码</w:t>
      </w:r>
      <w:r>
        <w:rPr>
          <w:b/>
          <w:kern w:val="0"/>
          <w:sz w:val="24"/>
        </w:rPr>
        <w:t>：</w:t>
      </w:r>
      <w:r>
        <w:rPr>
          <w:rFonts w:hint="eastAsia"/>
          <w:bCs/>
          <w:kern w:val="0"/>
          <w:sz w:val="24"/>
        </w:rPr>
        <w:t>2501046</w:t>
      </w:r>
    </w:p>
    <w:p>
      <w:pPr>
        <w:spacing w:line="360" w:lineRule="auto"/>
        <w:ind w:firstLine="482" w:firstLineChars="200"/>
        <w:rPr>
          <w:kern w:val="0"/>
          <w:sz w:val="24"/>
        </w:rPr>
      </w:pPr>
      <w:r>
        <w:rPr>
          <w:b/>
          <w:bCs/>
          <w:kern w:val="0"/>
          <w:sz w:val="24"/>
        </w:rPr>
        <w:t>学    分</w:t>
      </w:r>
      <w:r>
        <w:rPr>
          <w:b/>
          <w:kern w:val="0"/>
          <w:sz w:val="24"/>
        </w:rPr>
        <w:t>：</w:t>
      </w:r>
      <w:r>
        <w:rPr>
          <w:rFonts w:hint="eastAsia"/>
          <w:kern w:val="0"/>
          <w:sz w:val="24"/>
        </w:rPr>
        <w:t>2.5</w:t>
      </w:r>
    </w:p>
    <w:p>
      <w:pPr>
        <w:spacing w:line="360" w:lineRule="auto"/>
        <w:ind w:firstLine="482" w:firstLineChars="200"/>
        <w:rPr>
          <w:kern w:val="0"/>
          <w:sz w:val="24"/>
        </w:rPr>
      </w:pPr>
      <w:r>
        <w:rPr>
          <w:b/>
          <w:bCs/>
          <w:kern w:val="0"/>
          <w:sz w:val="24"/>
        </w:rPr>
        <w:t>学    时</w:t>
      </w:r>
      <w:r>
        <w:rPr>
          <w:b/>
          <w:kern w:val="0"/>
          <w:sz w:val="24"/>
        </w:rPr>
        <w:t>：</w:t>
      </w:r>
      <w:r>
        <w:rPr>
          <w:rFonts w:hint="eastAsia"/>
          <w:kern w:val="0"/>
          <w:sz w:val="24"/>
        </w:rPr>
        <w:t>56</w:t>
      </w:r>
      <w:r>
        <w:rPr>
          <w:kern w:val="0"/>
          <w:sz w:val="24"/>
        </w:rPr>
        <w:t>（其中：讲授学时</w:t>
      </w:r>
      <w:r>
        <w:rPr>
          <w:rFonts w:hint="eastAsia"/>
          <w:kern w:val="0"/>
          <w:sz w:val="24"/>
        </w:rPr>
        <w:t>24</w:t>
      </w:r>
      <w:r>
        <w:rPr>
          <w:kern w:val="0"/>
          <w:sz w:val="24"/>
        </w:rPr>
        <w:t>）</w:t>
      </w:r>
    </w:p>
    <w:p>
      <w:pPr>
        <w:spacing w:line="360" w:lineRule="auto"/>
        <w:ind w:firstLine="482" w:firstLineChars="200"/>
        <w:rPr>
          <w:bCs/>
          <w:kern w:val="0"/>
          <w:sz w:val="24"/>
        </w:rPr>
      </w:pPr>
      <w:r>
        <w:rPr>
          <w:b/>
          <w:bCs/>
          <w:kern w:val="0"/>
          <w:sz w:val="24"/>
        </w:rPr>
        <w:t>先修课程</w:t>
      </w:r>
      <w:r>
        <w:rPr>
          <w:b/>
          <w:kern w:val="0"/>
          <w:sz w:val="24"/>
        </w:rPr>
        <w:t>：</w:t>
      </w:r>
      <w:r>
        <w:rPr>
          <w:rFonts w:hint="eastAsia"/>
          <w:sz w:val="24"/>
        </w:rPr>
        <w:t>分析化学、无机化学、物理化学</w:t>
      </w:r>
      <w:r>
        <w:rPr>
          <w:sz w:val="24"/>
        </w:rPr>
        <w:t>等</w:t>
      </w:r>
    </w:p>
    <w:p>
      <w:pPr>
        <w:spacing w:line="360" w:lineRule="auto"/>
        <w:ind w:firstLine="482" w:firstLineChars="200"/>
        <w:rPr>
          <w:kern w:val="0"/>
          <w:sz w:val="24"/>
        </w:rPr>
      </w:pPr>
      <w:r>
        <w:rPr>
          <w:b/>
          <w:bCs/>
          <w:kern w:val="0"/>
          <w:sz w:val="24"/>
        </w:rPr>
        <w:t>适用专业</w:t>
      </w:r>
      <w:r>
        <w:rPr>
          <w:b/>
          <w:kern w:val="0"/>
          <w:sz w:val="24"/>
        </w:rPr>
        <w:t>：</w:t>
      </w:r>
      <w:r>
        <w:rPr>
          <w:rFonts w:hint="eastAsia"/>
          <w:kern w:val="0"/>
          <w:sz w:val="24"/>
        </w:rPr>
        <w:t>化学工程与工艺、应用化学</w:t>
      </w:r>
      <w:r>
        <w:rPr>
          <w:rFonts w:eastAsia="黑体"/>
          <w:sz w:val="24"/>
        </w:rPr>
        <w:t xml:space="preserve">  </w:t>
      </w:r>
      <w:r>
        <w:rPr>
          <w:kern w:val="0"/>
          <w:sz w:val="24"/>
        </w:rPr>
        <w:t xml:space="preserve">                          </w:t>
      </w:r>
    </w:p>
    <w:p>
      <w:pPr>
        <w:spacing w:line="360" w:lineRule="auto"/>
        <w:ind w:firstLine="482" w:firstLineChars="200"/>
        <w:rPr>
          <w:sz w:val="24"/>
        </w:rPr>
      </w:pPr>
      <w:r>
        <w:rPr>
          <w:rFonts w:hint="eastAsia"/>
          <w:b/>
          <w:bCs/>
          <w:kern w:val="0"/>
          <w:sz w:val="24"/>
        </w:rPr>
        <w:t>建议</w:t>
      </w:r>
      <w:r>
        <w:rPr>
          <w:b/>
          <w:bCs/>
          <w:kern w:val="0"/>
          <w:sz w:val="24"/>
        </w:rPr>
        <w:t>教材</w:t>
      </w:r>
      <w:r>
        <w:rPr>
          <w:b/>
          <w:kern w:val="0"/>
          <w:sz w:val="24"/>
        </w:rPr>
        <w:t>：</w:t>
      </w:r>
      <w:r>
        <w:rPr>
          <w:sz w:val="24"/>
          <w:szCs w:val="21"/>
        </w:rPr>
        <w:t>《</w:t>
      </w:r>
      <w:r>
        <w:rPr>
          <w:rFonts w:hint="eastAsia"/>
          <w:sz w:val="24"/>
        </w:rPr>
        <w:t>仪器分析实验</w:t>
      </w:r>
      <w:r>
        <w:rPr>
          <w:sz w:val="24"/>
        </w:rPr>
        <w:t>》，</w:t>
      </w:r>
      <w:r>
        <w:rPr>
          <w:rFonts w:hint="eastAsia"/>
          <w:sz w:val="24"/>
        </w:rPr>
        <w:t>张剑荣、余晓冬、屠一锋、方惠群</w:t>
      </w:r>
      <w:r>
        <w:rPr>
          <w:sz w:val="24"/>
        </w:rPr>
        <w:t>，</w:t>
      </w:r>
      <w:r>
        <w:rPr>
          <w:rFonts w:hint="eastAsia"/>
          <w:sz w:val="24"/>
        </w:rPr>
        <w:t>科学</w:t>
      </w:r>
      <w:r>
        <w:rPr>
          <w:sz w:val="24"/>
        </w:rPr>
        <w:t>出版社，</w:t>
      </w:r>
      <w:r>
        <w:rPr>
          <w:rFonts w:hint="eastAsia"/>
          <w:sz w:val="24"/>
        </w:rPr>
        <w:t>2014.12</w:t>
      </w:r>
    </w:p>
    <w:p>
      <w:pPr>
        <w:spacing w:line="360" w:lineRule="auto"/>
        <w:ind w:firstLine="482" w:firstLineChars="200"/>
        <w:rPr>
          <w:kern w:val="0"/>
          <w:sz w:val="24"/>
        </w:rPr>
      </w:pPr>
      <w:r>
        <w:rPr>
          <w:b/>
          <w:bCs/>
          <w:kern w:val="0"/>
          <w:sz w:val="24"/>
        </w:rPr>
        <w:t>课程归口：</w:t>
      </w:r>
      <w:r>
        <w:rPr>
          <w:rFonts w:hint="eastAsia"/>
          <w:bCs/>
          <w:kern w:val="0"/>
          <w:sz w:val="24"/>
        </w:rPr>
        <w:t>化工与材料</w:t>
      </w:r>
      <w:r>
        <w:rPr>
          <w:kern w:val="0"/>
          <w:sz w:val="24"/>
        </w:rPr>
        <w:t>学院</w:t>
      </w:r>
    </w:p>
    <w:p>
      <w:pPr>
        <w:spacing w:line="360" w:lineRule="auto"/>
        <w:ind w:firstLine="482" w:firstLineChars="200"/>
        <w:rPr>
          <w:kern w:val="0"/>
          <w:sz w:val="24"/>
        </w:rPr>
      </w:pPr>
      <w:r>
        <w:rPr>
          <w:rFonts w:hint="eastAsia"/>
          <w:b/>
          <w:bCs/>
          <w:kern w:val="0"/>
          <w:sz w:val="24"/>
        </w:rPr>
        <w:t>课程团队：</w:t>
      </w:r>
      <w:r>
        <w:rPr>
          <w:rFonts w:hint="eastAsia"/>
          <w:kern w:val="0"/>
          <w:sz w:val="24"/>
        </w:rPr>
        <w:t>壮亚峰、吴泽颖、李殷、丁琳琳、赵晓蕾等</w:t>
      </w:r>
    </w:p>
    <w:p>
      <w:pPr>
        <w:spacing w:line="360" w:lineRule="auto"/>
        <w:ind w:firstLine="482" w:firstLineChars="200"/>
        <w:rPr>
          <w:bCs/>
          <w:kern w:val="0"/>
          <w:sz w:val="24"/>
        </w:rPr>
      </w:pPr>
      <w:r>
        <w:rPr>
          <w:b/>
          <w:bCs/>
          <w:kern w:val="0"/>
          <w:sz w:val="24"/>
        </w:rPr>
        <w:t>课程的性质与任务</w:t>
      </w:r>
      <w:r>
        <w:rPr>
          <w:rFonts w:hint="eastAsia"/>
          <w:b/>
          <w:bCs/>
          <w:kern w:val="0"/>
          <w:sz w:val="24"/>
        </w:rPr>
        <w:t>：</w:t>
      </w:r>
      <w:r>
        <w:rPr>
          <w:sz w:val="24"/>
        </w:rPr>
        <w:t>本课程是</w:t>
      </w:r>
      <w:r>
        <w:rPr>
          <w:rFonts w:hint="eastAsia"/>
          <w:kern w:val="0"/>
          <w:sz w:val="24"/>
        </w:rPr>
        <w:t>化学工程与工艺和应用化学</w:t>
      </w:r>
      <w:r>
        <w:rPr>
          <w:sz w:val="24"/>
        </w:rPr>
        <w:t>专业的一门</w:t>
      </w:r>
      <w:r>
        <w:rPr>
          <w:rFonts w:hint="eastAsia"/>
          <w:sz w:val="24"/>
        </w:rPr>
        <w:t>专业基础课</w:t>
      </w:r>
      <w:r>
        <w:rPr>
          <w:sz w:val="24"/>
        </w:rPr>
        <w:t>。</w:t>
      </w:r>
      <w:r>
        <w:rPr>
          <w:rFonts w:hint="eastAsia"/>
          <w:sz w:val="24"/>
        </w:rPr>
        <w:t>通过本课程的学习，使学生在已学过化学分析、物理化学等课程的基础上，学习和掌握仪器分析方法的基本理论、各类仪器分析的基本原理、仪器构造和定性定量分析方法，培养学生应用各类仪器分析方法解决对无机、有机化合物进行物质成分和结构分析（定性或定量）的能力，同时培养学生</w:t>
      </w:r>
      <w:r>
        <w:rPr>
          <w:rFonts w:hint="eastAsia"/>
          <w:bCs/>
          <w:color w:val="000000"/>
          <w:sz w:val="24"/>
        </w:rPr>
        <w:t>具有辩证思维能力，树立理论联系实际的科学观，为学生毕业后从事相关工作打下良好的基础。</w:t>
      </w:r>
    </w:p>
    <w:p>
      <w:pPr>
        <w:numPr>
          <w:ilvl w:val="0"/>
          <w:numId w:val="1"/>
        </w:numPr>
        <w:spacing w:line="360" w:lineRule="auto"/>
        <w:ind w:firstLine="562" w:firstLineChars="200"/>
        <w:rPr>
          <w:b/>
          <w:sz w:val="28"/>
          <w:szCs w:val="28"/>
        </w:rPr>
      </w:pPr>
      <w:r>
        <w:rPr>
          <w:b/>
          <w:sz w:val="28"/>
          <w:szCs w:val="28"/>
        </w:rPr>
        <w:t>课程目标对毕业要求观测点的支撑</w:t>
      </w:r>
    </w:p>
    <w:tbl>
      <w:tblPr>
        <w:tblStyle w:val="1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118"/>
        <w:gridCol w:w="2292"/>
        <w:gridCol w:w="3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38" w:type="dxa"/>
            <w:noWrap/>
            <w:vAlign w:val="center"/>
          </w:tcPr>
          <w:p>
            <w:pPr>
              <w:widowControl/>
              <w:jc w:val="center"/>
              <w:rPr>
                <w:b/>
                <w:bCs/>
                <w:kern w:val="0"/>
                <w:szCs w:val="21"/>
              </w:rPr>
            </w:pPr>
            <w:r>
              <w:rPr>
                <w:b/>
                <w:bCs/>
                <w:kern w:val="0"/>
                <w:szCs w:val="21"/>
              </w:rPr>
              <w:t>序号</w:t>
            </w:r>
          </w:p>
        </w:tc>
        <w:tc>
          <w:tcPr>
            <w:tcW w:w="3118" w:type="dxa"/>
            <w:noWrap/>
            <w:vAlign w:val="center"/>
          </w:tcPr>
          <w:p>
            <w:pPr>
              <w:widowControl/>
              <w:jc w:val="center"/>
              <w:rPr>
                <w:b/>
                <w:bCs/>
                <w:kern w:val="0"/>
                <w:szCs w:val="21"/>
              </w:rPr>
            </w:pPr>
            <w:r>
              <w:rPr>
                <w:b/>
                <w:bCs/>
                <w:kern w:val="0"/>
                <w:szCs w:val="21"/>
              </w:rPr>
              <w:t>课程目标</w:t>
            </w:r>
          </w:p>
        </w:tc>
        <w:tc>
          <w:tcPr>
            <w:tcW w:w="2292" w:type="dxa"/>
            <w:noWrap/>
            <w:vAlign w:val="center"/>
          </w:tcPr>
          <w:p>
            <w:pPr>
              <w:widowControl/>
              <w:jc w:val="center"/>
              <w:rPr>
                <w:b/>
                <w:bCs/>
                <w:kern w:val="0"/>
                <w:szCs w:val="21"/>
              </w:rPr>
            </w:pPr>
            <w:r>
              <w:rPr>
                <w:b/>
                <w:bCs/>
                <w:kern w:val="0"/>
                <w:szCs w:val="21"/>
              </w:rPr>
              <w:t>支撑毕业要求观测点</w:t>
            </w:r>
          </w:p>
        </w:tc>
        <w:tc>
          <w:tcPr>
            <w:tcW w:w="3066" w:type="dxa"/>
            <w:noWrap/>
            <w:vAlign w:val="center"/>
          </w:tcPr>
          <w:p>
            <w:pPr>
              <w:widowControl/>
              <w:jc w:val="center"/>
              <w:rPr>
                <w:b/>
                <w:bCs/>
                <w:kern w:val="0"/>
                <w:szCs w:val="21"/>
              </w:rPr>
            </w:pPr>
            <w:r>
              <w:rPr>
                <w:b/>
                <w:bCs/>
                <w:kern w:val="0"/>
                <w:szCs w:val="21"/>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38" w:type="dxa"/>
            <w:noWrap/>
            <w:vAlign w:val="center"/>
          </w:tcPr>
          <w:p>
            <w:pPr>
              <w:widowControl/>
              <w:jc w:val="center"/>
              <w:rPr>
                <w:kern w:val="0"/>
                <w:szCs w:val="21"/>
              </w:rPr>
            </w:pPr>
            <w:r>
              <w:rPr>
                <w:kern w:val="0"/>
                <w:szCs w:val="21"/>
              </w:rPr>
              <w:t>1</w:t>
            </w:r>
          </w:p>
        </w:tc>
        <w:tc>
          <w:tcPr>
            <w:tcW w:w="3118" w:type="dxa"/>
            <w:noWrap/>
            <w:vAlign w:val="center"/>
          </w:tcPr>
          <w:p>
            <w:pPr>
              <w:rPr>
                <w:kern w:val="0"/>
                <w:szCs w:val="21"/>
              </w:rPr>
            </w:pPr>
            <w:r>
              <w:rPr>
                <w:b/>
                <w:kern w:val="0"/>
                <w:szCs w:val="21"/>
              </w:rPr>
              <w:t>目标1：</w:t>
            </w:r>
            <w:r>
              <w:rPr>
                <w:rFonts w:hint="eastAsia"/>
                <w:bCs/>
                <w:kern w:val="0"/>
                <w:szCs w:val="21"/>
              </w:rPr>
              <w:t>能够根据分析任务要求，选择合适的仪器分析方法，能够把所学的仪器分析基本理论、原理、分析方法和技能运用到具体应用实践中去</w:t>
            </w:r>
            <w:r>
              <w:rPr>
                <w:rFonts w:hint="eastAsia"/>
                <w:b/>
                <w:kern w:val="0"/>
                <w:szCs w:val="21"/>
              </w:rPr>
              <w:t>。</w:t>
            </w:r>
          </w:p>
        </w:tc>
        <w:tc>
          <w:tcPr>
            <w:tcW w:w="2292" w:type="dxa"/>
            <w:noWrap/>
            <w:vAlign w:val="center"/>
          </w:tcPr>
          <w:p>
            <w:pPr>
              <w:widowControl/>
              <w:rPr>
                <w:kern w:val="0"/>
                <w:szCs w:val="21"/>
              </w:rPr>
            </w:pPr>
            <w:r>
              <w:rPr>
                <w:b/>
                <w:szCs w:val="21"/>
              </w:rPr>
              <w:t>观测点</w:t>
            </w:r>
            <w:r>
              <w:rPr>
                <w:rFonts w:hint="eastAsia"/>
                <w:b/>
                <w:szCs w:val="21"/>
              </w:rPr>
              <w:t>4.1</w:t>
            </w:r>
            <w:r>
              <w:rPr>
                <w:szCs w:val="21"/>
              </w:rPr>
              <w:t>：</w:t>
            </w:r>
            <w:r>
              <w:rPr>
                <w:rFonts w:hint="eastAsia" w:ascii="宋体" w:hAnsi="宋体" w:cs="宋体"/>
                <w:color w:val="000000"/>
                <w:kern w:val="0"/>
              </w:rPr>
              <w:t>能够比较和选择研究路线，设计实验方案</w:t>
            </w:r>
            <w:r>
              <w:rPr>
                <w:szCs w:val="21"/>
              </w:rPr>
              <w:t>。</w:t>
            </w:r>
          </w:p>
        </w:tc>
        <w:tc>
          <w:tcPr>
            <w:tcW w:w="3066" w:type="dxa"/>
            <w:noWrap/>
            <w:vAlign w:val="center"/>
          </w:tcPr>
          <w:p>
            <w:pPr>
              <w:widowControl/>
              <w:rPr>
                <w:kern w:val="0"/>
                <w:szCs w:val="21"/>
              </w:rPr>
            </w:pPr>
            <w:r>
              <w:rPr>
                <w:b/>
                <w:szCs w:val="21"/>
              </w:rPr>
              <w:t>毕业要求</w:t>
            </w:r>
            <w:r>
              <w:rPr>
                <w:rFonts w:hint="eastAsia"/>
                <w:b/>
                <w:szCs w:val="21"/>
              </w:rPr>
              <w:t>4</w:t>
            </w:r>
            <w:r>
              <w:rPr>
                <w:rFonts w:hint="eastAsia" w:ascii="宋体" w:hAnsi="宋体"/>
                <w:color w:val="000000"/>
                <w:szCs w:val="22"/>
              </w:rPr>
              <w:t>研究：能够基于科学原理并采用科学方法对复杂工程问题进行研究，包括设计实验、分析与解释数据、并通过信息综合得到合理有效的结论。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38" w:type="dxa"/>
            <w:noWrap/>
            <w:vAlign w:val="center"/>
          </w:tcPr>
          <w:p>
            <w:pPr>
              <w:widowControl/>
              <w:jc w:val="center"/>
              <w:rPr>
                <w:kern w:val="0"/>
                <w:szCs w:val="21"/>
              </w:rPr>
            </w:pPr>
            <w:r>
              <w:rPr>
                <w:kern w:val="0"/>
                <w:szCs w:val="21"/>
              </w:rPr>
              <w:t>2</w:t>
            </w:r>
          </w:p>
        </w:tc>
        <w:tc>
          <w:tcPr>
            <w:tcW w:w="3118" w:type="dxa"/>
            <w:noWrap/>
            <w:vAlign w:val="center"/>
          </w:tcPr>
          <w:p>
            <w:pPr>
              <w:widowControl/>
              <w:rPr>
                <w:kern w:val="0"/>
                <w:szCs w:val="21"/>
              </w:rPr>
            </w:pPr>
            <w:r>
              <w:rPr>
                <w:b/>
                <w:kern w:val="0"/>
                <w:szCs w:val="21"/>
              </w:rPr>
              <w:t>目标2：</w:t>
            </w:r>
            <w:r>
              <w:rPr>
                <w:kern w:val="0"/>
                <w:szCs w:val="21"/>
              </w:rPr>
              <w:t>能够</w:t>
            </w:r>
            <w:r>
              <w:rPr>
                <w:rFonts w:hint="eastAsia"/>
                <w:kern w:val="0"/>
                <w:szCs w:val="21"/>
              </w:rPr>
              <w:t>能理解并掌握仪器分析方法的基本原理、理论、仪器构造和定性定量分析方法。</w:t>
            </w:r>
          </w:p>
        </w:tc>
        <w:tc>
          <w:tcPr>
            <w:tcW w:w="2292" w:type="dxa"/>
            <w:noWrap/>
            <w:vAlign w:val="center"/>
          </w:tcPr>
          <w:p>
            <w:pPr>
              <w:widowControl/>
              <w:rPr>
                <w:kern w:val="0"/>
                <w:szCs w:val="21"/>
              </w:rPr>
            </w:pPr>
            <w:r>
              <w:rPr>
                <w:b/>
                <w:color w:val="000000"/>
                <w:kern w:val="0"/>
                <w:szCs w:val="21"/>
              </w:rPr>
              <w:t>观测点</w:t>
            </w:r>
            <w:r>
              <w:rPr>
                <w:rFonts w:hint="eastAsia"/>
                <w:b/>
                <w:szCs w:val="21"/>
              </w:rPr>
              <w:t>5</w:t>
            </w:r>
            <w:r>
              <w:rPr>
                <w:b/>
                <w:szCs w:val="21"/>
              </w:rPr>
              <w:t>.</w:t>
            </w:r>
            <w:r>
              <w:rPr>
                <w:rFonts w:hint="eastAsia"/>
                <w:b/>
                <w:szCs w:val="21"/>
              </w:rPr>
              <w:t>1</w:t>
            </w:r>
            <w:r>
              <w:rPr>
                <w:szCs w:val="21"/>
              </w:rPr>
              <w:t>：</w:t>
            </w:r>
            <w:r>
              <w:rPr>
                <w:rFonts w:hint="eastAsia" w:ascii="宋体" w:hAnsi="宋体" w:cs="宋体"/>
                <w:color w:val="000000"/>
                <w:kern w:val="0"/>
                <w:szCs w:val="21"/>
              </w:rPr>
              <w:t>了解化学工程与工艺专业常用的现代仪器、信息技术工具、 工程工具和模拟软件的使用原理和方法，理解其局限性</w:t>
            </w:r>
            <w:r>
              <w:rPr>
                <w:rFonts w:hint="eastAsia"/>
                <w:color w:val="000000"/>
                <w:kern w:val="0"/>
                <w:szCs w:val="21"/>
              </w:rPr>
              <w:t>。</w:t>
            </w:r>
          </w:p>
        </w:tc>
        <w:tc>
          <w:tcPr>
            <w:tcW w:w="3066" w:type="dxa"/>
            <w:noWrap/>
            <w:vAlign w:val="center"/>
          </w:tcPr>
          <w:p>
            <w:pPr>
              <w:widowControl/>
              <w:rPr>
                <w:kern w:val="0"/>
                <w:szCs w:val="21"/>
              </w:rPr>
            </w:pPr>
            <w:r>
              <w:rPr>
                <w:b/>
                <w:color w:val="000000"/>
                <w:kern w:val="0"/>
                <w:szCs w:val="21"/>
              </w:rPr>
              <w:t>毕业要求</w:t>
            </w:r>
            <w:r>
              <w:rPr>
                <w:rFonts w:hint="eastAsia"/>
                <w:b/>
                <w:color w:val="000000"/>
                <w:kern w:val="0"/>
                <w:szCs w:val="21"/>
              </w:rPr>
              <w:t>5</w:t>
            </w:r>
            <w:r>
              <w:rPr>
                <w:rFonts w:hint="eastAsia" w:ascii="宋体" w:hAnsi="宋体"/>
                <w:color w:val="000000"/>
                <w:szCs w:val="22"/>
              </w:rPr>
              <w:t>能够针对复杂工程问题，开发、选择与使用恰当的技术、资源、现代工程工具和信息技术工具，包括对复杂工程问题的预测与模拟，并能够理解其局限性。</w:t>
            </w:r>
          </w:p>
        </w:tc>
      </w:tr>
    </w:tbl>
    <w:p>
      <w:pPr>
        <w:numPr>
          <w:ilvl w:val="0"/>
          <w:numId w:val="1"/>
        </w:numPr>
        <w:spacing w:line="360" w:lineRule="auto"/>
        <w:ind w:firstLine="562" w:firstLineChars="200"/>
        <w:rPr>
          <w:b/>
          <w:sz w:val="28"/>
          <w:szCs w:val="28"/>
        </w:rPr>
      </w:pPr>
      <w:r>
        <w:rPr>
          <w:b/>
          <w:sz w:val="28"/>
          <w:szCs w:val="28"/>
        </w:rPr>
        <w:t>课程内容及要求</w:t>
      </w:r>
    </w:p>
    <w:tbl>
      <w:tblPr>
        <w:tblStyle w:val="10"/>
        <w:tblW w:w="9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5"/>
        <w:gridCol w:w="2616"/>
        <w:gridCol w:w="1130"/>
        <w:gridCol w:w="2017"/>
        <w:gridCol w:w="741"/>
        <w:gridCol w:w="97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vAlign w:val="center"/>
          </w:tcPr>
          <w:p>
            <w:pPr>
              <w:jc w:val="center"/>
              <w:rPr>
                <w:b/>
                <w:bCs/>
                <w:szCs w:val="21"/>
              </w:rPr>
            </w:pPr>
            <w:r>
              <w:rPr>
                <w:b/>
                <w:bCs/>
                <w:szCs w:val="21"/>
              </w:rPr>
              <w:t>序号</w:t>
            </w:r>
          </w:p>
        </w:tc>
        <w:tc>
          <w:tcPr>
            <w:tcW w:w="2632" w:type="dxa"/>
            <w:vAlign w:val="center"/>
          </w:tcPr>
          <w:p>
            <w:pPr>
              <w:jc w:val="center"/>
              <w:rPr>
                <w:b/>
                <w:bCs/>
                <w:szCs w:val="21"/>
              </w:rPr>
            </w:pPr>
            <w:r>
              <w:rPr>
                <w:b/>
                <w:bCs/>
                <w:szCs w:val="21"/>
              </w:rPr>
              <w:t>教学内容</w:t>
            </w:r>
          </w:p>
        </w:tc>
        <w:tc>
          <w:tcPr>
            <w:tcW w:w="1134" w:type="dxa"/>
            <w:vAlign w:val="center"/>
          </w:tcPr>
          <w:p>
            <w:pPr>
              <w:jc w:val="center"/>
              <w:rPr>
                <w:b/>
                <w:bCs/>
                <w:szCs w:val="21"/>
              </w:rPr>
            </w:pPr>
            <w:r>
              <w:rPr>
                <w:b/>
                <w:bCs/>
                <w:szCs w:val="21"/>
              </w:rPr>
              <w:t>思政元素</w:t>
            </w:r>
          </w:p>
        </w:tc>
        <w:tc>
          <w:tcPr>
            <w:tcW w:w="2028" w:type="dxa"/>
            <w:vAlign w:val="center"/>
          </w:tcPr>
          <w:p>
            <w:pPr>
              <w:jc w:val="center"/>
              <w:rPr>
                <w:b/>
                <w:bCs/>
                <w:szCs w:val="21"/>
              </w:rPr>
            </w:pPr>
            <w:r>
              <w:rPr>
                <w:b/>
                <w:bCs/>
                <w:szCs w:val="21"/>
              </w:rPr>
              <w:t>预期学习成果</w:t>
            </w:r>
          </w:p>
        </w:tc>
        <w:tc>
          <w:tcPr>
            <w:tcW w:w="699" w:type="dxa"/>
            <w:vAlign w:val="center"/>
          </w:tcPr>
          <w:p>
            <w:pPr>
              <w:jc w:val="center"/>
              <w:rPr>
                <w:b/>
                <w:bCs/>
                <w:szCs w:val="21"/>
              </w:rPr>
            </w:pPr>
            <w:r>
              <w:rPr>
                <w:b/>
                <w:bCs/>
                <w:szCs w:val="21"/>
              </w:rPr>
              <w:t>教学学时</w:t>
            </w:r>
          </w:p>
        </w:tc>
        <w:tc>
          <w:tcPr>
            <w:tcW w:w="975" w:type="dxa"/>
            <w:vAlign w:val="center"/>
          </w:tcPr>
          <w:p>
            <w:pPr>
              <w:jc w:val="center"/>
              <w:rPr>
                <w:b/>
                <w:bCs/>
                <w:szCs w:val="21"/>
              </w:rPr>
            </w:pPr>
            <w:r>
              <w:rPr>
                <w:b/>
                <w:bCs/>
                <w:szCs w:val="21"/>
              </w:rPr>
              <w:t>教学方式</w:t>
            </w:r>
          </w:p>
        </w:tc>
        <w:tc>
          <w:tcPr>
            <w:tcW w:w="925" w:type="dxa"/>
            <w:vAlign w:val="center"/>
          </w:tcPr>
          <w:p>
            <w:pPr>
              <w:jc w:val="center"/>
              <w:rPr>
                <w:b/>
                <w:bCs/>
                <w:szCs w:val="21"/>
              </w:rPr>
            </w:pPr>
            <w:r>
              <w:rPr>
                <w:b/>
                <w:bCs/>
                <w:szCs w:val="21"/>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vAlign w:val="center"/>
          </w:tcPr>
          <w:p>
            <w:pPr>
              <w:jc w:val="center"/>
              <w:rPr>
                <w:szCs w:val="21"/>
              </w:rPr>
            </w:pPr>
            <w:r>
              <w:rPr>
                <w:szCs w:val="21"/>
              </w:rPr>
              <w:t>1</w:t>
            </w:r>
          </w:p>
        </w:tc>
        <w:tc>
          <w:tcPr>
            <w:tcW w:w="2632" w:type="dxa"/>
            <w:vAlign w:val="center"/>
          </w:tcPr>
          <w:p>
            <w:pPr>
              <w:rPr>
                <w:b/>
                <w:kern w:val="0"/>
                <w:szCs w:val="21"/>
              </w:rPr>
            </w:pPr>
            <w:r>
              <w:rPr>
                <w:rFonts w:hint="eastAsia"/>
                <w:b/>
                <w:kern w:val="0"/>
                <w:szCs w:val="21"/>
              </w:rPr>
              <w:t>实验室一般知识：</w:t>
            </w:r>
            <w:r>
              <w:rPr>
                <w:rFonts w:hint="eastAsia"/>
                <w:bCs/>
                <w:kern w:val="0"/>
                <w:szCs w:val="21"/>
              </w:rPr>
              <w:t>分析实验室安全规则；分析实验室用水的规格和制备、玻璃仪器的洗涤、化学试剂的级别、保管和使用；分析试样的准备、保存和分解；特殊材料的使用、气体钢瓶的使用及注意事项。</w:t>
            </w:r>
            <w:r>
              <w:rPr>
                <w:rFonts w:hint="eastAsia"/>
                <w:b/>
                <w:kern w:val="0"/>
                <w:szCs w:val="21"/>
              </w:rPr>
              <w:t xml:space="preserve"> </w:t>
            </w:r>
          </w:p>
          <w:p>
            <w:pPr>
              <w:rPr>
                <w:kern w:val="0"/>
                <w:szCs w:val="21"/>
              </w:rPr>
            </w:pPr>
            <w:r>
              <w:rPr>
                <w:b/>
                <w:kern w:val="0"/>
                <w:szCs w:val="21"/>
              </w:rPr>
              <w:t>重点和难点：</w:t>
            </w:r>
            <w:r>
              <w:rPr>
                <w:rFonts w:hint="eastAsia"/>
                <w:bCs/>
                <w:kern w:val="0"/>
                <w:szCs w:val="21"/>
              </w:rPr>
              <w:t>分析试样准备、保存和使用的要求。</w:t>
            </w:r>
          </w:p>
        </w:tc>
        <w:tc>
          <w:tcPr>
            <w:tcW w:w="1134" w:type="dxa"/>
            <w:vAlign w:val="center"/>
          </w:tcPr>
          <w:p>
            <w:pPr>
              <w:autoSpaceDE w:val="0"/>
              <w:autoSpaceDN w:val="0"/>
              <w:adjustRightInd w:val="0"/>
              <w:rPr>
                <w:kern w:val="0"/>
                <w:szCs w:val="21"/>
              </w:rPr>
            </w:pPr>
            <w:r>
              <w:rPr>
                <w:rFonts w:hint="eastAsia"/>
                <w:kern w:val="0"/>
                <w:szCs w:val="21"/>
              </w:rPr>
              <w:t>正确使用仪器设备、处理化学试剂的重要性，培养学生具备安全意识和环保意识。</w:t>
            </w:r>
          </w:p>
        </w:tc>
        <w:tc>
          <w:tcPr>
            <w:tcW w:w="2028" w:type="dxa"/>
            <w:vAlign w:val="center"/>
          </w:tcPr>
          <w:p>
            <w:pPr>
              <w:spacing w:line="400" w:lineRule="exact"/>
              <w:rPr>
                <w:kern w:val="0"/>
                <w:szCs w:val="21"/>
              </w:rPr>
            </w:pPr>
            <w:r>
              <w:rPr>
                <w:kern w:val="0"/>
                <w:szCs w:val="21"/>
              </w:rPr>
              <w:t>能够</w:t>
            </w:r>
            <w:r>
              <w:rPr>
                <w:rFonts w:hint="eastAsia"/>
                <w:kern w:val="0"/>
                <w:szCs w:val="21"/>
              </w:rPr>
              <w:t>了解分析实验室安全规则；能够理解准备、保存和使用分析试样的要求和方法；能够了解实验室水、仪器、试剂的使用要求。</w:t>
            </w:r>
          </w:p>
        </w:tc>
        <w:tc>
          <w:tcPr>
            <w:tcW w:w="699" w:type="dxa"/>
            <w:vAlign w:val="center"/>
          </w:tcPr>
          <w:p>
            <w:pPr>
              <w:spacing w:line="312" w:lineRule="auto"/>
              <w:jc w:val="center"/>
              <w:rPr>
                <w:szCs w:val="21"/>
              </w:rPr>
            </w:pPr>
            <w:r>
              <w:rPr>
                <w:rFonts w:hint="eastAsia"/>
                <w:szCs w:val="21"/>
              </w:rPr>
              <w:t>1（讲授）</w:t>
            </w:r>
          </w:p>
        </w:tc>
        <w:tc>
          <w:tcPr>
            <w:tcW w:w="975" w:type="dxa"/>
            <w:vAlign w:val="center"/>
          </w:tcPr>
          <w:p>
            <w:pPr>
              <w:rPr>
                <w:szCs w:val="21"/>
              </w:rPr>
            </w:pPr>
            <w:r>
              <w:rPr>
                <w:szCs w:val="21"/>
              </w:rPr>
              <w:t>讲授/讨论/实例教学等</w:t>
            </w:r>
          </w:p>
        </w:tc>
        <w:tc>
          <w:tcPr>
            <w:tcW w:w="925" w:type="dxa"/>
            <w:vAlign w:val="center"/>
          </w:tcPr>
          <w:p>
            <w:pPr>
              <w:jc w:val="center"/>
              <w:rPr>
                <w:szCs w:val="21"/>
              </w:rPr>
            </w:pPr>
            <w:r>
              <w:rPr>
                <w:b/>
                <w:kern w:val="0"/>
                <w:szCs w:val="21"/>
              </w:rPr>
              <w:t>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vAlign w:val="center"/>
          </w:tcPr>
          <w:p>
            <w:pPr>
              <w:jc w:val="center"/>
              <w:rPr>
                <w:szCs w:val="21"/>
              </w:rPr>
            </w:pPr>
            <w:r>
              <w:rPr>
                <w:szCs w:val="21"/>
              </w:rPr>
              <w:t>2</w:t>
            </w:r>
          </w:p>
        </w:tc>
        <w:tc>
          <w:tcPr>
            <w:tcW w:w="2632" w:type="dxa"/>
            <w:vAlign w:val="center"/>
          </w:tcPr>
          <w:p>
            <w:pPr>
              <w:rPr>
                <w:bCs/>
                <w:kern w:val="0"/>
                <w:szCs w:val="21"/>
              </w:rPr>
            </w:pPr>
            <w:r>
              <w:rPr>
                <w:rFonts w:hint="eastAsia"/>
                <w:b/>
                <w:kern w:val="0"/>
                <w:szCs w:val="21"/>
              </w:rPr>
              <w:t>原子发射光谱法：</w:t>
            </w:r>
            <w:r>
              <w:rPr>
                <w:rFonts w:hint="eastAsia"/>
                <w:bCs/>
                <w:kern w:val="0"/>
                <w:szCs w:val="21"/>
              </w:rPr>
              <w:t>原子发射光谱的产生原理及其分析方法的基本原理；发射光谱分析仪器的构造、光谱图和电学原理；原子发射光谱的定性分析和半定量分析方法、步骤及其应用；</w:t>
            </w:r>
          </w:p>
          <w:p>
            <w:pPr>
              <w:rPr>
                <w:kern w:val="0"/>
                <w:szCs w:val="21"/>
              </w:rPr>
            </w:pPr>
            <w:r>
              <w:rPr>
                <w:b/>
                <w:kern w:val="0"/>
                <w:szCs w:val="21"/>
              </w:rPr>
              <w:t>重点和难点：</w:t>
            </w:r>
            <w:r>
              <w:rPr>
                <w:rFonts w:hint="eastAsia"/>
                <w:kern w:val="0"/>
                <w:szCs w:val="21"/>
              </w:rPr>
              <w:t>原子发射光谱法产生原理；定性和定量分析方法。</w:t>
            </w:r>
          </w:p>
        </w:tc>
        <w:tc>
          <w:tcPr>
            <w:tcW w:w="1134" w:type="dxa"/>
            <w:vAlign w:val="center"/>
          </w:tcPr>
          <w:p>
            <w:pPr>
              <w:rPr>
                <w:szCs w:val="21"/>
              </w:rPr>
            </w:pPr>
            <w:r>
              <w:rPr>
                <w:rFonts w:hint="eastAsia"/>
                <w:szCs w:val="21"/>
              </w:rPr>
              <w:t>正确的方法选择及实验操作对分析结果的重要性，培养学生具备职业道德和敬业精神。</w:t>
            </w:r>
          </w:p>
        </w:tc>
        <w:tc>
          <w:tcPr>
            <w:tcW w:w="2028" w:type="dxa"/>
            <w:vAlign w:val="center"/>
          </w:tcPr>
          <w:p>
            <w:pPr>
              <w:rPr>
                <w:szCs w:val="21"/>
              </w:rPr>
            </w:pPr>
            <w:r>
              <w:rPr>
                <w:kern w:val="0"/>
                <w:szCs w:val="21"/>
              </w:rPr>
              <w:t>能够理解</w:t>
            </w:r>
            <w:r>
              <w:rPr>
                <w:rFonts w:hint="eastAsia"/>
                <w:kern w:val="0"/>
                <w:szCs w:val="21"/>
              </w:rPr>
              <w:t>原子发射光谱产生原理，以及相对应的仪器结构设计</w:t>
            </w:r>
            <w:r>
              <w:rPr>
                <w:kern w:val="0"/>
                <w:szCs w:val="21"/>
              </w:rPr>
              <w:t>；能够</w:t>
            </w:r>
            <w:r>
              <w:rPr>
                <w:rFonts w:hint="eastAsia"/>
                <w:kern w:val="0"/>
                <w:szCs w:val="21"/>
              </w:rPr>
              <w:t>理解原子发射光谱法的应用范围。</w:t>
            </w:r>
          </w:p>
        </w:tc>
        <w:tc>
          <w:tcPr>
            <w:tcW w:w="699" w:type="dxa"/>
            <w:vAlign w:val="center"/>
          </w:tcPr>
          <w:p>
            <w:pPr>
              <w:spacing w:line="312" w:lineRule="auto"/>
              <w:jc w:val="center"/>
              <w:rPr>
                <w:szCs w:val="21"/>
              </w:rPr>
            </w:pPr>
            <w:r>
              <w:rPr>
                <w:rFonts w:hint="eastAsia"/>
                <w:szCs w:val="21"/>
              </w:rPr>
              <w:t>2（讲授）</w:t>
            </w:r>
          </w:p>
        </w:tc>
        <w:tc>
          <w:tcPr>
            <w:tcW w:w="975" w:type="dxa"/>
            <w:vAlign w:val="center"/>
          </w:tcPr>
          <w:p>
            <w:pPr>
              <w:rPr>
                <w:szCs w:val="21"/>
              </w:rPr>
            </w:pPr>
            <w:r>
              <w:rPr>
                <w:szCs w:val="21"/>
              </w:rPr>
              <w:t>讲授/讨论/实例教学等</w:t>
            </w:r>
          </w:p>
        </w:tc>
        <w:tc>
          <w:tcPr>
            <w:tcW w:w="925" w:type="dxa"/>
            <w:vAlign w:val="center"/>
          </w:tcPr>
          <w:p>
            <w:pPr>
              <w:jc w:val="center"/>
              <w:rPr>
                <w:kern w:val="0"/>
                <w:szCs w:val="21"/>
              </w:rPr>
            </w:pPr>
            <w:r>
              <w:rPr>
                <w:b/>
                <w:kern w:val="0"/>
                <w:szCs w:val="21"/>
              </w:rPr>
              <w:t>目标</w:t>
            </w:r>
            <w:r>
              <w:rPr>
                <w:rFonts w:hint="eastAsia"/>
                <w:b/>
                <w:kern w:val="0"/>
                <w:szCs w:val="21"/>
              </w:rPr>
              <w:t>1</w:t>
            </w:r>
          </w:p>
          <w:p>
            <w:pPr>
              <w:jc w:val="center"/>
              <w:rPr>
                <w:szCs w:val="21"/>
              </w:rPr>
            </w:pPr>
            <w:r>
              <w:rPr>
                <w:b/>
                <w:kern w:val="0"/>
                <w:szCs w:val="21"/>
              </w:rPr>
              <w:t>目标</w:t>
            </w:r>
            <w:r>
              <w:rPr>
                <w:rFonts w:hint="eastAsia"/>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vAlign w:val="center"/>
          </w:tcPr>
          <w:p>
            <w:pPr>
              <w:jc w:val="center"/>
              <w:rPr>
                <w:szCs w:val="21"/>
              </w:rPr>
            </w:pPr>
            <w:r>
              <w:rPr>
                <w:szCs w:val="21"/>
              </w:rPr>
              <w:t>3</w:t>
            </w:r>
          </w:p>
        </w:tc>
        <w:tc>
          <w:tcPr>
            <w:tcW w:w="2632" w:type="dxa"/>
            <w:vAlign w:val="center"/>
          </w:tcPr>
          <w:p>
            <w:pPr>
              <w:rPr>
                <w:kern w:val="0"/>
                <w:szCs w:val="21"/>
              </w:rPr>
            </w:pPr>
            <w:r>
              <w:rPr>
                <w:rFonts w:hint="eastAsia"/>
                <w:b/>
                <w:kern w:val="0"/>
                <w:szCs w:val="21"/>
              </w:rPr>
              <w:t>原子吸收与原子荧光光谱法：</w:t>
            </w:r>
            <w:r>
              <w:rPr>
                <w:rFonts w:hint="eastAsia"/>
                <w:kern w:val="0"/>
                <w:szCs w:val="21"/>
              </w:rPr>
              <w:t>原子吸收光谱法的基本原理；原子吸收光谱仪的构造和各部件的作用原理；原子吸收光谱法的定量分析方法，了解干扰种类及其抑制干扰、提高灵敏度及优化检出限的方法；原子荧光光谱法的基本原理、仪器构造及其分析方法。</w:t>
            </w:r>
          </w:p>
          <w:p>
            <w:pPr>
              <w:rPr>
                <w:kern w:val="0"/>
                <w:szCs w:val="21"/>
              </w:rPr>
            </w:pPr>
            <w:r>
              <w:rPr>
                <w:b/>
                <w:kern w:val="0"/>
                <w:szCs w:val="21"/>
              </w:rPr>
              <w:t>重点和难点：</w:t>
            </w:r>
            <w:r>
              <w:rPr>
                <w:rFonts w:hint="eastAsia"/>
                <w:kern w:val="0"/>
                <w:szCs w:val="21"/>
              </w:rPr>
              <w:t>原子</w:t>
            </w:r>
            <w:r>
              <w:rPr>
                <w:rFonts w:hint="eastAsia"/>
                <w:b/>
                <w:kern w:val="0"/>
                <w:szCs w:val="21"/>
              </w:rPr>
              <w:t>吸收</w:t>
            </w:r>
            <w:r>
              <w:rPr>
                <w:rFonts w:hint="eastAsia"/>
                <w:kern w:val="0"/>
                <w:szCs w:val="21"/>
              </w:rPr>
              <w:t>光谱法产生原理；定量分析方法。</w:t>
            </w:r>
          </w:p>
        </w:tc>
        <w:tc>
          <w:tcPr>
            <w:tcW w:w="1134" w:type="dxa"/>
            <w:vAlign w:val="center"/>
          </w:tcPr>
          <w:p>
            <w:pPr>
              <w:rPr>
                <w:szCs w:val="21"/>
              </w:rPr>
            </w:pPr>
            <w:r>
              <w:rPr>
                <w:rFonts w:hint="eastAsia"/>
                <w:szCs w:val="21"/>
              </w:rPr>
              <w:t>正确的方法选择及实验操作对分析结果的重要性，培养学生具备职业道德和敬业精神。</w:t>
            </w:r>
          </w:p>
        </w:tc>
        <w:tc>
          <w:tcPr>
            <w:tcW w:w="2028" w:type="dxa"/>
            <w:vAlign w:val="center"/>
          </w:tcPr>
          <w:p>
            <w:pPr>
              <w:rPr>
                <w:szCs w:val="21"/>
              </w:rPr>
            </w:pPr>
            <w:r>
              <w:rPr>
                <w:kern w:val="0"/>
                <w:szCs w:val="21"/>
              </w:rPr>
              <w:t>能够理解</w:t>
            </w:r>
            <w:r>
              <w:rPr>
                <w:rFonts w:hint="eastAsia"/>
                <w:kern w:val="0"/>
                <w:szCs w:val="21"/>
              </w:rPr>
              <w:t>原子吸收与原子荧光光谱产生原理，以及相对应的仪器结构设计</w:t>
            </w:r>
            <w:r>
              <w:rPr>
                <w:kern w:val="0"/>
                <w:szCs w:val="21"/>
              </w:rPr>
              <w:t>；能够</w:t>
            </w:r>
            <w:r>
              <w:rPr>
                <w:rFonts w:hint="eastAsia"/>
                <w:kern w:val="0"/>
                <w:szCs w:val="21"/>
              </w:rPr>
              <w:t>掌握原子吸收光谱法进行定性定量分析。</w:t>
            </w:r>
          </w:p>
        </w:tc>
        <w:tc>
          <w:tcPr>
            <w:tcW w:w="699" w:type="dxa"/>
            <w:vAlign w:val="center"/>
          </w:tcPr>
          <w:p>
            <w:pPr>
              <w:spacing w:line="312" w:lineRule="auto"/>
              <w:jc w:val="center"/>
              <w:rPr>
                <w:szCs w:val="21"/>
              </w:rPr>
            </w:pPr>
            <w:r>
              <w:rPr>
                <w:rFonts w:hint="eastAsia"/>
                <w:szCs w:val="21"/>
              </w:rPr>
              <w:t>3（讲授）、8（实验）</w:t>
            </w:r>
          </w:p>
        </w:tc>
        <w:tc>
          <w:tcPr>
            <w:tcW w:w="975" w:type="dxa"/>
            <w:vAlign w:val="center"/>
          </w:tcPr>
          <w:p>
            <w:pPr>
              <w:rPr>
                <w:szCs w:val="21"/>
              </w:rPr>
            </w:pPr>
            <w:r>
              <w:rPr>
                <w:szCs w:val="21"/>
              </w:rPr>
              <w:t>讲授/实验/讨论/等</w:t>
            </w:r>
          </w:p>
        </w:tc>
        <w:tc>
          <w:tcPr>
            <w:tcW w:w="925" w:type="dxa"/>
            <w:vAlign w:val="center"/>
          </w:tcPr>
          <w:p>
            <w:pPr>
              <w:jc w:val="center"/>
              <w:rPr>
                <w:kern w:val="0"/>
                <w:szCs w:val="21"/>
              </w:rPr>
            </w:pPr>
            <w:r>
              <w:rPr>
                <w:b/>
                <w:kern w:val="0"/>
                <w:szCs w:val="21"/>
              </w:rPr>
              <w:t>目标</w:t>
            </w:r>
            <w:r>
              <w:rPr>
                <w:rFonts w:hint="eastAsia"/>
                <w:b/>
                <w:kern w:val="0"/>
                <w:szCs w:val="21"/>
              </w:rPr>
              <w:t>1</w:t>
            </w:r>
          </w:p>
          <w:p>
            <w:pPr>
              <w:jc w:val="center"/>
              <w:rPr>
                <w:szCs w:val="21"/>
              </w:rPr>
            </w:pPr>
            <w:r>
              <w:rPr>
                <w:b/>
                <w:kern w:val="0"/>
                <w:szCs w:val="21"/>
              </w:rPr>
              <w:t>目标</w:t>
            </w:r>
            <w:r>
              <w:rPr>
                <w:rFonts w:hint="eastAsia"/>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vAlign w:val="center"/>
          </w:tcPr>
          <w:p>
            <w:pPr>
              <w:jc w:val="center"/>
              <w:rPr>
                <w:szCs w:val="21"/>
              </w:rPr>
            </w:pPr>
            <w:r>
              <w:rPr>
                <w:szCs w:val="21"/>
              </w:rPr>
              <w:t>4</w:t>
            </w:r>
          </w:p>
        </w:tc>
        <w:tc>
          <w:tcPr>
            <w:tcW w:w="2632" w:type="dxa"/>
            <w:vAlign w:val="center"/>
          </w:tcPr>
          <w:p>
            <w:pPr>
              <w:rPr>
                <w:kern w:val="0"/>
                <w:szCs w:val="21"/>
              </w:rPr>
            </w:pPr>
            <w:r>
              <w:rPr>
                <w:rFonts w:hint="eastAsia"/>
                <w:b/>
                <w:kern w:val="0"/>
                <w:szCs w:val="21"/>
              </w:rPr>
              <w:t>紫外-可见分光光谱法：</w:t>
            </w:r>
            <w:r>
              <w:rPr>
                <w:rFonts w:hint="eastAsia"/>
                <w:kern w:val="0"/>
                <w:szCs w:val="21"/>
              </w:rPr>
              <w:t>紫外-可见分光光谱的产生机理和紫外吸收光谱的特点；理解有机紫外-可见分光光谱法的产生原理及溶剂对紫外-可见分光光谱图的影响；紫外-可见分光光度计的构造及分析方法。</w:t>
            </w:r>
          </w:p>
          <w:p>
            <w:pPr>
              <w:rPr>
                <w:kern w:val="0"/>
                <w:szCs w:val="21"/>
              </w:rPr>
            </w:pPr>
            <w:r>
              <w:rPr>
                <w:b/>
                <w:kern w:val="0"/>
                <w:szCs w:val="21"/>
              </w:rPr>
              <w:t>重点和难点：</w:t>
            </w:r>
            <w:r>
              <w:rPr>
                <w:rFonts w:hint="eastAsia"/>
                <w:kern w:val="0"/>
                <w:szCs w:val="21"/>
              </w:rPr>
              <w:t>紫外-可见分光光谱的产生机理；显色反应。</w:t>
            </w:r>
          </w:p>
        </w:tc>
        <w:tc>
          <w:tcPr>
            <w:tcW w:w="1134" w:type="dxa"/>
            <w:vAlign w:val="center"/>
          </w:tcPr>
          <w:p>
            <w:pPr>
              <w:autoSpaceDE w:val="0"/>
              <w:autoSpaceDN w:val="0"/>
              <w:adjustRightInd w:val="0"/>
              <w:rPr>
                <w:szCs w:val="21"/>
              </w:rPr>
            </w:pPr>
            <w:r>
              <w:rPr>
                <w:rFonts w:hint="eastAsia"/>
                <w:szCs w:val="21"/>
              </w:rPr>
              <w:t>正确的方法选择及实验操作对分析结果的重要性，培养学生具备职业道德和敬业精神。</w:t>
            </w:r>
          </w:p>
        </w:tc>
        <w:tc>
          <w:tcPr>
            <w:tcW w:w="2028" w:type="dxa"/>
            <w:vAlign w:val="center"/>
          </w:tcPr>
          <w:p>
            <w:pPr>
              <w:autoSpaceDE w:val="0"/>
              <w:autoSpaceDN w:val="0"/>
              <w:adjustRightInd w:val="0"/>
              <w:rPr>
                <w:szCs w:val="21"/>
              </w:rPr>
            </w:pPr>
            <w:r>
              <w:rPr>
                <w:kern w:val="0"/>
                <w:szCs w:val="21"/>
              </w:rPr>
              <w:t>能够理解</w:t>
            </w:r>
            <w:r>
              <w:rPr>
                <w:rFonts w:hint="eastAsia"/>
                <w:kern w:val="0"/>
                <w:szCs w:val="21"/>
              </w:rPr>
              <w:t>紫外-可见分光光谱产生原理，以及相对应的仪器结构设计</w:t>
            </w:r>
            <w:r>
              <w:rPr>
                <w:kern w:val="0"/>
                <w:szCs w:val="21"/>
              </w:rPr>
              <w:t>；能够</w:t>
            </w:r>
            <w:r>
              <w:rPr>
                <w:rFonts w:hint="eastAsia"/>
                <w:kern w:val="0"/>
                <w:szCs w:val="21"/>
              </w:rPr>
              <w:t>掌握紫外-可见分光光谱法进行定性定量分析。</w:t>
            </w:r>
          </w:p>
        </w:tc>
        <w:tc>
          <w:tcPr>
            <w:tcW w:w="699" w:type="dxa"/>
            <w:vAlign w:val="center"/>
          </w:tcPr>
          <w:p>
            <w:pPr>
              <w:spacing w:line="312" w:lineRule="auto"/>
              <w:jc w:val="center"/>
              <w:rPr>
                <w:szCs w:val="21"/>
              </w:rPr>
            </w:pPr>
            <w:r>
              <w:rPr>
                <w:rFonts w:hint="eastAsia"/>
                <w:szCs w:val="21"/>
              </w:rPr>
              <w:t>3（讲授）、8（实验）</w:t>
            </w:r>
          </w:p>
        </w:tc>
        <w:tc>
          <w:tcPr>
            <w:tcW w:w="975" w:type="dxa"/>
            <w:vAlign w:val="center"/>
          </w:tcPr>
          <w:p>
            <w:pPr>
              <w:rPr>
                <w:szCs w:val="21"/>
              </w:rPr>
            </w:pPr>
            <w:r>
              <w:rPr>
                <w:szCs w:val="21"/>
              </w:rPr>
              <w:t>讲授/实验/讨论/等</w:t>
            </w:r>
          </w:p>
        </w:tc>
        <w:tc>
          <w:tcPr>
            <w:tcW w:w="925" w:type="dxa"/>
            <w:vAlign w:val="center"/>
          </w:tcPr>
          <w:p>
            <w:pPr>
              <w:jc w:val="center"/>
              <w:rPr>
                <w:kern w:val="0"/>
                <w:szCs w:val="21"/>
              </w:rPr>
            </w:pPr>
            <w:r>
              <w:rPr>
                <w:b/>
                <w:kern w:val="0"/>
                <w:szCs w:val="21"/>
              </w:rPr>
              <w:t>目标</w:t>
            </w:r>
            <w:r>
              <w:rPr>
                <w:rFonts w:hint="eastAsia"/>
                <w:b/>
                <w:kern w:val="0"/>
                <w:szCs w:val="21"/>
              </w:rPr>
              <w:t>1</w:t>
            </w:r>
          </w:p>
          <w:p>
            <w:pPr>
              <w:jc w:val="center"/>
              <w:rPr>
                <w:szCs w:val="21"/>
              </w:rPr>
            </w:pPr>
            <w:r>
              <w:rPr>
                <w:b/>
                <w:kern w:val="0"/>
                <w:szCs w:val="21"/>
              </w:rPr>
              <w:t>目标</w:t>
            </w:r>
            <w:r>
              <w:rPr>
                <w:rFonts w:hint="eastAsia"/>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vAlign w:val="center"/>
          </w:tcPr>
          <w:p>
            <w:pPr>
              <w:jc w:val="center"/>
              <w:rPr>
                <w:szCs w:val="21"/>
              </w:rPr>
            </w:pPr>
            <w:r>
              <w:rPr>
                <w:szCs w:val="21"/>
              </w:rPr>
              <w:t>5</w:t>
            </w:r>
          </w:p>
        </w:tc>
        <w:tc>
          <w:tcPr>
            <w:tcW w:w="2632" w:type="dxa"/>
            <w:vAlign w:val="center"/>
          </w:tcPr>
          <w:p>
            <w:pPr>
              <w:rPr>
                <w:bCs/>
                <w:kern w:val="0"/>
                <w:szCs w:val="21"/>
              </w:rPr>
            </w:pPr>
            <w:r>
              <w:rPr>
                <w:rFonts w:hint="eastAsia"/>
                <w:b/>
                <w:kern w:val="0"/>
                <w:szCs w:val="21"/>
              </w:rPr>
              <w:t>分子荧光光谱法：</w:t>
            </w:r>
            <w:r>
              <w:rPr>
                <w:rFonts w:hint="eastAsia"/>
                <w:bCs/>
                <w:kern w:val="0"/>
                <w:szCs w:val="21"/>
              </w:rPr>
              <w:t>分子荧光的基本原理；分子荧光激发光谱、发射光谱的含义；荧光光谱仪的组成及各部分作用；荧光分析法的主要应用范围。</w:t>
            </w:r>
          </w:p>
          <w:p>
            <w:pPr>
              <w:rPr>
                <w:kern w:val="0"/>
                <w:szCs w:val="21"/>
              </w:rPr>
            </w:pPr>
            <w:r>
              <w:rPr>
                <w:b/>
                <w:kern w:val="0"/>
                <w:szCs w:val="21"/>
              </w:rPr>
              <w:t>重点和难点：</w:t>
            </w:r>
            <w:r>
              <w:rPr>
                <w:rFonts w:hint="eastAsia"/>
                <w:kern w:val="0"/>
                <w:szCs w:val="21"/>
              </w:rPr>
              <w:t>发射光谱和荧光光谱的产生及特点。</w:t>
            </w:r>
          </w:p>
        </w:tc>
        <w:tc>
          <w:tcPr>
            <w:tcW w:w="1134" w:type="dxa"/>
            <w:vAlign w:val="center"/>
          </w:tcPr>
          <w:p>
            <w:pPr>
              <w:rPr>
                <w:szCs w:val="21"/>
              </w:rPr>
            </w:pPr>
            <w:r>
              <w:rPr>
                <w:rFonts w:hint="eastAsia"/>
                <w:szCs w:val="21"/>
              </w:rPr>
              <w:t>正确的方法选择及实验操作对分析结果的重要性，培养学生具备职业道德和敬业精神。</w:t>
            </w:r>
          </w:p>
        </w:tc>
        <w:tc>
          <w:tcPr>
            <w:tcW w:w="2028" w:type="dxa"/>
            <w:vAlign w:val="center"/>
          </w:tcPr>
          <w:p>
            <w:pPr>
              <w:rPr>
                <w:szCs w:val="21"/>
              </w:rPr>
            </w:pPr>
            <w:r>
              <w:rPr>
                <w:kern w:val="0"/>
                <w:szCs w:val="21"/>
              </w:rPr>
              <w:t>能够理解</w:t>
            </w:r>
            <w:r>
              <w:rPr>
                <w:rFonts w:hint="eastAsia"/>
                <w:kern w:val="0"/>
                <w:szCs w:val="21"/>
              </w:rPr>
              <w:t>分子荧光光谱产生原理，以及相对应的仪器结构设计</w:t>
            </w:r>
            <w:r>
              <w:rPr>
                <w:kern w:val="0"/>
                <w:szCs w:val="21"/>
              </w:rPr>
              <w:t>；能够</w:t>
            </w:r>
            <w:r>
              <w:rPr>
                <w:rFonts w:hint="eastAsia"/>
                <w:kern w:val="0"/>
                <w:szCs w:val="21"/>
              </w:rPr>
              <w:t>掌握分子荧光光谱法进行定量分析。</w:t>
            </w:r>
          </w:p>
        </w:tc>
        <w:tc>
          <w:tcPr>
            <w:tcW w:w="699" w:type="dxa"/>
            <w:vAlign w:val="center"/>
          </w:tcPr>
          <w:p>
            <w:pPr>
              <w:spacing w:line="312" w:lineRule="auto"/>
              <w:jc w:val="center"/>
              <w:rPr>
                <w:szCs w:val="21"/>
              </w:rPr>
            </w:pPr>
            <w:r>
              <w:rPr>
                <w:rFonts w:hint="eastAsia"/>
                <w:szCs w:val="21"/>
              </w:rPr>
              <w:t>2（讲授）、8（实验）</w:t>
            </w:r>
          </w:p>
        </w:tc>
        <w:tc>
          <w:tcPr>
            <w:tcW w:w="975" w:type="dxa"/>
            <w:vAlign w:val="center"/>
          </w:tcPr>
          <w:p>
            <w:pPr>
              <w:rPr>
                <w:szCs w:val="21"/>
              </w:rPr>
            </w:pPr>
            <w:r>
              <w:rPr>
                <w:szCs w:val="21"/>
              </w:rPr>
              <w:t>讲授/实验/讨论/等</w:t>
            </w:r>
          </w:p>
        </w:tc>
        <w:tc>
          <w:tcPr>
            <w:tcW w:w="925" w:type="dxa"/>
            <w:vAlign w:val="center"/>
          </w:tcPr>
          <w:p>
            <w:pPr>
              <w:jc w:val="center"/>
              <w:rPr>
                <w:kern w:val="0"/>
                <w:szCs w:val="21"/>
              </w:rPr>
            </w:pPr>
            <w:r>
              <w:rPr>
                <w:b/>
                <w:kern w:val="0"/>
                <w:szCs w:val="21"/>
              </w:rPr>
              <w:t>目标</w:t>
            </w:r>
            <w:r>
              <w:rPr>
                <w:rFonts w:hint="eastAsia"/>
                <w:b/>
                <w:kern w:val="0"/>
                <w:szCs w:val="21"/>
              </w:rPr>
              <w:t>1</w:t>
            </w:r>
          </w:p>
          <w:p>
            <w:pPr>
              <w:jc w:val="center"/>
              <w:rPr>
                <w:szCs w:val="21"/>
              </w:rPr>
            </w:pPr>
            <w:r>
              <w:rPr>
                <w:b/>
                <w:kern w:val="0"/>
                <w:szCs w:val="21"/>
              </w:rPr>
              <w:t>目标</w:t>
            </w:r>
            <w:r>
              <w:rPr>
                <w:rFonts w:hint="eastAsia"/>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vAlign w:val="center"/>
          </w:tcPr>
          <w:p>
            <w:pPr>
              <w:jc w:val="center"/>
              <w:rPr>
                <w:szCs w:val="21"/>
              </w:rPr>
            </w:pPr>
            <w:r>
              <w:rPr>
                <w:szCs w:val="21"/>
              </w:rPr>
              <w:t>6</w:t>
            </w:r>
          </w:p>
        </w:tc>
        <w:tc>
          <w:tcPr>
            <w:tcW w:w="2632" w:type="dxa"/>
            <w:vAlign w:val="center"/>
          </w:tcPr>
          <w:p>
            <w:pPr>
              <w:rPr>
                <w:kern w:val="0"/>
                <w:szCs w:val="21"/>
              </w:rPr>
            </w:pPr>
            <w:r>
              <w:rPr>
                <w:rFonts w:hint="eastAsia"/>
                <w:b/>
                <w:kern w:val="0"/>
                <w:szCs w:val="21"/>
              </w:rPr>
              <w:t>气相色谱法：</w:t>
            </w:r>
            <w:r>
              <w:rPr>
                <w:rFonts w:hint="eastAsia"/>
                <w:bCs/>
                <w:kern w:val="0"/>
                <w:szCs w:val="21"/>
              </w:rPr>
              <w:t>气相色谱法的基本原理；气相色谱仪的主要部件功能；气相色谱法的应用。</w:t>
            </w:r>
          </w:p>
          <w:p>
            <w:pPr>
              <w:rPr>
                <w:kern w:val="0"/>
                <w:szCs w:val="21"/>
              </w:rPr>
            </w:pPr>
            <w:r>
              <w:rPr>
                <w:b/>
                <w:kern w:val="0"/>
                <w:szCs w:val="21"/>
              </w:rPr>
              <w:t>重点和难点：</w:t>
            </w:r>
            <w:r>
              <w:rPr>
                <w:rFonts w:hint="eastAsia"/>
                <w:kern w:val="0"/>
                <w:szCs w:val="21"/>
              </w:rPr>
              <w:t>气相色谱分离原理；分析结果评价。</w:t>
            </w:r>
          </w:p>
        </w:tc>
        <w:tc>
          <w:tcPr>
            <w:tcW w:w="1134" w:type="dxa"/>
            <w:vAlign w:val="center"/>
          </w:tcPr>
          <w:p>
            <w:pPr>
              <w:rPr>
                <w:kern w:val="0"/>
                <w:szCs w:val="21"/>
              </w:rPr>
            </w:pPr>
            <w:r>
              <w:rPr>
                <w:rFonts w:hint="eastAsia"/>
                <w:szCs w:val="21"/>
              </w:rPr>
              <w:t>正确的方法选择及实验操作对分析结果的重要性，培养学生具备职业道德和敬业精神。</w:t>
            </w:r>
          </w:p>
        </w:tc>
        <w:tc>
          <w:tcPr>
            <w:tcW w:w="2028" w:type="dxa"/>
            <w:vAlign w:val="center"/>
          </w:tcPr>
          <w:p>
            <w:pPr>
              <w:rPr>
                <w:kern w:val="0"/>
                <w:szCs w:val="21"/>
              </w:rPr>
            </w:pPr>
            <w:r>
              <w:rPr>
                <w:kern w:val="0"/>
                <w:szCs w:val="21"/>
              </w:rPr>
              <w:t>能够理解</w:t>
            </w:r>
            <w:r>
              <w:rPr>
                <w:rFonts w:hint="eastAsia"/>
                <w:kern w:val="0"/>
                <w:szCs w:val="21"/>
              </w:rPr>
              <w:t>气相色谱法分离原理，以及相对应的仪器结构设计</w:t>
            </w:r>
            <w:r>
              <w:rPr>
                <w:kern w:val="0"/>
                <w:szCs w:val="21"/>
              </w:rPr>
              <w:t>；能够</w:t>
            </w:r>
            <w:r>
              <w:rPr>
                <w:rFonts w:hint="eastAsia"/>
                <w:kern w:val="0"/>
                <w:szCs w:val="21"/>
              </w:rPr>
              <w:t>掌握气相色谱法进行定性和定量分析。</w:t>
            </w:r>
          </w:p>
        </w:tc>
        <w:tc>
          <w:tcPr>
            <w:tcW w:w="699" w:type="dxa"/>
            <w:vAlign w:val="center"/>
          </w:tcPr>
          <w:p>
            <w:pPr>
              <w:spacing w:line="312" w:lineRule="auto"/>
              <w:jc w:val="center"/>
              <w:rPr>
                <w:szCs w:val="21"/>
              </w:rPr>
            </w:pPr>
            <w:r>
              <w:rPr>
                <w:rFonts w:hint="eastAsia"/>
                <w:szCs w:val="21"/>
              </w:rPr>
              <w:t>4（讲授）、2（实验）</w:t>
            </w:r>
          </w:p>
        </w:tc>
        <w:tc>
          <w:tcPr>
            <w:tcW w:w="975" w:type="dxa"/>
            <w:vAlign w:val="center"/>
          </w:tcPr>
          <w:p>
            <w:pPr>
              <w:rPr>
                <w:szCs w:val="21"/>
              </w:rPr>
            </w:pPr>
            <w:r>
              <w:rPr>
                <w:szCs w:val="21"/>
              </w:rPr>
              <w:t>讲授/实验/讨论/等</w:t>
            </w:r>
          </w:p>
        </w:tc>
        <w:tc>
          <w:tcPr>
            <w:tcW w:w="925" w:type="dxa"/>
            <w:vAlign w:val="center"/>
          </w:tcPr>
          <w:p>
            <w:pPr>
              <w:jc w:val="center"/>
              <w:rPr>
                <w:kern w:val="0"/>
                <w:szCs w:val="21"/>
              </w:rPr>
            </w:pPr>
            <w:r>
              <w:rPr>
                <w:b/>
                <w:kern w:val="0"/>
                <w:szCs w:val="21"/>
              </w:rPr>
              <w:t>目标</w:t>
            </w:r>
            <w:r>
              <w:rPr>
                <w:rFonts w:hint="eastAsia"/>
                <w:b/>
                <w:kern w:val="0"/>
                <w:szCs w:val="21"/>
              </w:rPr>
              <w:t>1</w:t>
            </w:r>
          </w:p>
          <w:p>
            <w:pPr>
              <w:jc w:val="center"/>
              <w:rPr>
                <w:szCs w:val="21"/>
              </w:rPr>
            </w:pPr>
            <w:r>
              <w:rPr>
                <w:b/>
                <w:kern w:val="0"/>
                <w:szCs w:val="21"/>
              </w:rPr>
              <w:t>目标</w:t>
            </w:r>
            <w:r>
              <w:rPr>
                <w:rFonts w:hint="eastAsia"/>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vAlign w:val="center"/>
          </w:tcPr>
          <w:p>
            <w:pPr>
              <w:jc w:val="center"/>
              <w:rPr>
                <w:szCs w:val="21"/>
              </w:rPr>
            </w:pPr>
            <w:r>
              <w:rPr>
                <w:szCs w:val="21"/>
              </w:rPr>
              <w:t>7</w:t>
            </w:r>
          </w:p>
        </w:tc>
        <w:tc>
          <w:tcPr>
            <w:tcW w:w="2632" w:type="dxa"/>
            <w:vAlign w:val="center"/>
          </w:tcPr>
          <w:p>
            <w:pPr>
              <w:rPr>
                <w:kern w:val="0"/>
                <w:szCs w:val="21"/>
              </w:rPr>
            </w:pPr>
            <w:r>
              <w:rPr>
                <w:rFonts w:hint="eastAsia"/>
                <w:b/>
                <w:kern w:val="0"/>
                <w:szCs w:val="21"/>
              </w:rPr>
              <w:t>高效液相色谱法：</w:t>
            </w:r>
            <w:r>
              <w:rPr>
                <w:rFonts w:hint="eastAsia"/>
                <w:bCs/>
                <w:kern w:val="0"/>
                <w:szCs w:val="21"/>
              </w:rPr>
              <w:t>高效</w:t>
            </w:r>
            <w:r>
              <w:rPr>
                <w:rFonts w:hint="eastAsia"/>
                <w:kern w:val="0"/>
                <w:szCs w:val="21"/>
              </w:rPr>
              <w:t>液</w:t>
            </w:r>
            <w:r>
              <w:rPr>
                <w:rFonts w:hint="eastAsia"/>
                <w:bCs/>
                <w:kern w:val="0"/>
                <w:szCs w:val="21"/>
              </w:rPr>
              <w:t>相色谱法的基本原理；高效</w:t>
            </w:r>
            <w:r>
              <w:rPr>
                <w:rFonts w:hint="eastAsia"/>
                <w:kern w:val="0"/>
                <w:szCs w:val="21"/>
              </w:rPr>
              <w:t>液</w:t>
            </w:r>
            <w:r>
              <w:rPr>
                <w:rFonts w:hint="eastAsia"/>
                <w:bCs/>
                <w:kern w:val="0"/>
                <w:szCs w:val="21"/>
              </w:rPr>
              <w:t>相色谱仪的主要部件功能；高效</w:t>
            </w:r>
            <w:r>
              <w:rPr>
                <w:rFonts w:hint="eastAsia"/>
                <w:kern w:val="0"/>
                <w:szCs w:val="21"/>
              </w:rPr>
              <w:t>液</w:t>
            </w:r>
            <w:r>
              <w:rPr>
                <w:rFonts w:hint="eastAsia"/>
                <w:bCs/>
                <w:kern w:val="0"/>
                <w:szCs w:val="21"/>
              </w:rPr>
              <w:t>相色谱法的应用。</w:t>
            </w:r>
          </w:p>
          <w:p>
            <w:pPr>
              <w:rPr>
                <w:kern w:val="0"/>
                <w:szCs w:val="21"/>
              </w:rPr>
            </w:pPr>
            <w:r>
              <w:rPr>
                <w:b/>
                <w:kern w:val="0"/>
                <w:szCs w:val="21"/>
              </w:rPr>
              <w:t>重点和难点：</w:t>
            </w:r>
            <w:r>
              <w:rPr>
                <w:rFonts w:hint="eastAsia"/>
                <w:bCs/>
                <w:kern w:val="0"/>
                <w:szCs w:val="21"/>
              </w:rPr>
              <w:t>高效</w:t>
            </w:r>
            <w:r>
              <w:rPr>
                <w:rFonts w:hint="eastAsia"/>
                <w:kern w:val="0"/>
                <w:szCs w:val="21"/>
              </w:rPr>
              <w:t>液相色谱分离原理；分离模式的选择。</w:t>
            </w:r>
          </w:p>
        </w:tc>
        <w:tc>
          <w:tcPr>
            <w:tcW w:w="1134" w:type="dxa"/>
            <w:vAlign w:val="center"/>
          </w:tcPr>
          <w:p>
            <w:pPr>
              <w:rPr>
                <w:kern w:val="0"/>
                <w:szCs w:val="21"/>
              </w:rPr>
            </w:pPr>
            <w:r>
              <w:rPr>
                <w:rFonts w:hint="eastAsia"/>
                <w:szCs w:val="21"/>
              </w:rPr>
              <w:t>正确的方法选择及实验操作对分析结果的重要性，培养学生具备职业道德和敬业精神。</w:t>
            </w:r>
          </w:p>
        </w:tc>
        <w:tc>
          <w:tcPr>
            <w:tcW w:w="2028" w:type="dxa"/>
            <w:vAlign w:val="center"/>
          </w:tcPr>
          <w:p>
            <w:pPr>
              <w:rPr>
                <w:kern w:val="0"/>
                <w:szCs w:val="21"/>
              </w:rPr>
            </w:pPr>
            <w:r>
              <w:rPr>
                <w:kern w:val="0"/>
                <w:szCs w:val="21"/>
              </w:rPr>
              <w:t>能够理解</w:t>
            </w:r>
            <w:r>
              <w:rPr>
                <w:rFonts w:hint="eastAsia"/>
                <w:bCs/>
                <w:kern w:val="0"/>
                <w:szCs w:val="21"/>
              </w:rPr>
              <w:t>高效</w:t>
            </w:r>
            <w:r>
              <w:rPr>
                <w:rFonts w:hint="eastAsia"/>
                <w:kern w:val="0"/>
                <w:szCs w:val="21"/>
              </w:rPr>
              <w:t>液相色谱法分离原理，以及相对应的仪器结构设计</w:t>
            </w:r>
            <w:r>
              <w:rPr>
                <w:kern w:val="0"/>
                <w:szCs w:val="21"/>
              </w:rPr>
              <w:t>；能够</w:t>
            </w:r>
            <w:r>
              <w:rPr>
                <w:rFonts w:hint="eastAsia"/>
                <w:kern w:val="0"/>
                <w:szCs w:val="21"/>
              </w:rPr>
              <w:t>掌握</w:t>
            </w:r>
            <w:r>
              <w:rPr>
                <w:rFonts w:hint="eastAsia"/>
                <w:bCs/>
                <w:kern w:val="0"/>
                <w:szCs w:val="21"/>
              </w:rPr>
              <w:t>高效</w:t>
            </w:r>
            <w:r>
              <w:rPr>
                <w:rFonts w:hint="eastAsia"/>
                <w:kern w:val="0"/>
                <w:szCs w:val="21"/>
              </w:rPr>
              <w:t>液相色谱法进行定性和定量分析。</w:t>
            </w:r>
          </w:p>
        </w:tc>
        <w:tc>
          <w:tcPr>
            <w:tcW w:w="699" w:type="dxa"/>
            <w:vAlign w:val="center"/>
          </w:tcPr>
          <w:p>
            <w:pPr>
              <w:spacing w:line="312" w:lineRule="auto"/>
              <w:jc w:val="center"/>
              <w:rPr>
                <w:szCs w:val="21"/>
              </w:rPr>
            </w:pPr>
            <w:r>
              <w:rPr>
                <w:rFonts w:hint="eastAsia"/>
                <w:szCs w:val="21"/>
              </w:rPr>
              <w:t>4（讲授）、4（实验）</w:t>
            </w:r>
          </w:p>
        </w:tc>
        <w:tc>
          <w:tcPr>
            <w:tcW w:w="975" w:type="dxa"/>
            <w:vAlign w:val="center"/>
          </w:tcPr>
          <w:p>
            <w:pPr>
              <w:rPr>
                <w:szCs w:val="21"/>
              </w:rPr>
            </w:pPr>
            <w:r>
              <w:rPr>
                <w:szCs w:val="21"/>
              </w:rPr>
              <w:t>讲授/实验/讨论/等</w:t>
            </w:r>
          </w:p>
        </w:tc>
        <w:tc>
          <w:tcPr>
            <w:tcW w:w="925" w:type="dxa"/>
            <w:vAlign w:val="center"/>
          </w:tcPr>
          <w:p>
            <w:pPr>
              <w:jc w:val="center"/>
              <w:rPr>
                <w:kern w:val="0"/>
                <w:szCs w:val="21"/>
              </w:rPr>
            </w:pPr>
            <w:r>
              <w:rPr>
                <w:b/>
                <w:kern w:val="0"/>
                <w:szCs w:val="21"/>
              </w:rPr>
              <w:t>目标</w:t>
            </w:r>
            <w:r>
              <w:rPr>
                <w:rFonts w:hint="eastAsia"/>
                <w:b/>
                <w:kern w:val="0"/>
                <w:szCs w:val="21"/>
              </w:rPr>
              <w:t>1</w:t>
            </w:r>
          </w:p>
          <w:p>
            <w:pPr>
              <w:jc w:val="center"/>
              <w:rPr>
                <w:szCs w:val="21"/>
              </w:rPr>
            </w:pPr>
            <w:r>
              <w:rPr>
                <w:b/>
                <w:kern w:val="0"/>
                <w:szCs w:val="21"/>
              </w:rPr>
              <w:t>目标</w:t>
            </w:r>
            <w:r>
              <w:rPr>
                <w:rFonts w:hint="eastAsia"/>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vAlign w:val="center"/>
          </w:tcPr>
          <w:p>
            <w:pPr>
              <w:jc w:val="center"/>
              <w:rPr>
                <w:szCs w:val="21"/>
              </w:rPr>
            </w:pPr>
            <w:r>
              <w:rPr>
                <w:szCs w:val="21"/>
              </w:rPr>
              <w:t>8</w:t>
            </w:r>
          </w:p>
        </w:tc>
        <w:tc>
          <w:tcPr>
            <w:tcW w:w="2632" w:type="dxa"/>
            <w:vAlign w:val="center"/>
          </w:tcPr>
          <w:p>
            <w:pPr>
              <w:rPr>
                <w:kern w:val="0"/>
                <w:szCs w:val="21"/>
              </w:rPr>
            </w:pPr>
            <w:r>
              <w:rPr>
                <w:rFonts w:hint="eastAsia"/>
                <w:b/>
                <w:kern w:val="0"/>
                <w:szCs w:val="21"/>
              </w:rPr>
              <w:t>质谱法：</w:t>
            </w:r>
            <w:r>
              <w:rPr>
                <w:rFonts w:hint="eastAsia"/>
                <w:bCs/>
                <w:kern w:val="0"/>
                <w:szCs w:val="21"/>
              </w:rPr>
              <w:t>质谱法原理及质谱仪主要部件功能；从质谱图或四谱联用正确解析有机化合物的结构。</w:t>
            </w:r>
          </w:p>
          <w:p>
            <w:pPr>
              <w:rPr>
                <w:b/>
                <w:kern w:val="0"/>
                <w:szCs w:val="21"/>
              </w:rPr>
            </w:pPr>
            <w:r>
              <w:rPr>
                <w:b/>
                <w:kern w:val="0"/>
                <w:szCs w:val="21"/>
              </w:rPr>
              <w:t>重点和难点：</w:t>
            </w:r>
            <w:r>
              <w:rPr>
                <w:rFonts w:hint="eastAsia"/>
                <w:kern w:val="0"/>
                <w:szCs w:val="21"/>
              </w:rPr>
              <w:t>质谱扫描模式；分辨率。</w:t>
            </w:r>
          </w:p>
        </w:tc>
        <w:tc>
          <w:tcPr>
            <w:tcW w:w="1134" w:type="dxa"/>
            <w:vAlign w:val="center"/>
          </w:tcPr>
          <w:p>
            <w:pPr>
              <w:autoSpaceDE w:val="0"/>
              <w:autoSpaceDN w:val="0"/>
              <w:adjustRightInd w:val="0"/>
              <w:rPr>
                <w:szCs w:val="21"/>
              </w:rPr>
            </w:pPr>
            <w:r>
              <w:rPr>
                <w:rFonts w:hint="eastAsia"/>
                <w:szCs w:val="21"/>
              </w:rPr>
              <w:t>正确的方法选择及实验操作对分析结果的重要性，培养学生具备职业道德和敬业精神。</w:t>
            </w:r>
          </w:p>
        </w:tc>
        <w:tc>
          <w:tcPr>
            <w:tcW w:w="2028" w:type="dxa"/>
            <w:vAlign w:val="center"/>
          </w:tcPr>
          <w:p>
            <w:pPr>
              <w:autoSpaceDE w:val="0"/>
              <w:autoSpaceDN w:val="0"/>
              <w:adjustRightInd w:val="0"/>
              <w:rPr>
                <w:kern w:val="0"/>
                <w:szCs w:val="21"/>
              </w:rPr>
            </w:pPr>
            <w:r>
              <w:rPr>
                <w:kern w:val="0"/>
                <w:szCs w:val="21"/>
              </w:rPr>
              <w:t>能够理解</w:t>
            </w:r>
            <w:r>
              <w:rPr>
                <w:rFonts w:hint="eastAsia"/>
                <w:bCs/>
                <w:kern w:val="0"/>
                <w:szCs w:val="21"/>
              </w:rPr>
              <w:t>质谱产生</w:t>
            </w:r>
            <w:r>
              <w:rPr>
                <w:rFonts w:hint="eastAsia"/>
                <w:kern w:val="0"/>
                <w:szCs w:val="21"/>
              </w:rPr>
              <w:t>原理，以及相对应的仪器结构设计</w:t>
            </w:r>
            <w:r>
              <w:rPr>
                <w:kern w:val="0"/>
                <w:szCs w:val="21"/>
              </w:rPr>
              <w:t>；能够</w:t>
            </w:r>
            <w:r>
              <w:rPr>
                <w:rFonts w:hint="eastAsia"/>
                <w:kern w:val="0"/>
                <w:szCs w:val="21"/>
              </w:rPr>
              <w:t>掌握</w:t>
            </w:r>
            <w:r>
              <w:rPr>
                <w:rFonts w:hint="eastAsia"/>
                <w:bCs/>
                <w:kern w:val="0"/>
                <w:szCs w:val="21"/>
              </w:rPr>
              <w:t>气相色谱-质谱联用</w:t>
            </w:r>
            <w:r>
              <w:rPr>
                <w:rFonts w:hint="eastAsia"/>
                <w:kern w:val="0"/>
                <w:szCs w:val="21"/>
              </w:rPr>
              <w:t>法进行定性和定量分析。</w:t>
            </w:r>
          </w:p>
        </w:tc>
        <w:tc>
          <w:tcPr>
            <w:tcW w:w="699" w:type="dxa"/>
            <w:vAlign w:val="center"/>
          </w:tcPr>
          <w:p>
            <w:pPr>
              <w:spacing w:line="312" w:lineRule="auto"/>
              <w:jc w:val="center"/>
              <w:rPr>
                <w:szCs w:val="21"/>
              </w:rPr>
            </w:pPr>
            <w:r>
              <w:rPr>
                <w:rFonts w:hint="eastAsia"/>
                <w:szCs w:val="21"/>
              </w:rPr>
              <w:t>2（讲授）、2（实验）</w:t>
            </w:r>
          </w:p>
        </w:tc>
        <w:tc>
          <w:tcPr>
            <w:tcW w:w="975" w:type="dxa"/>
            <w:vAlign w:val="center"/>
          </w:tcPr>
          <w:p>
            <w:pPr>
              <w:rPr>
                <w:szCs w:val="21"/>
              </w:rPr>
            </w:pPr>
            <w:r>
              <w:rPr>
                <w:szCs w:val="21"/>
              </w:rPr>
              <w:t>讲授/实验/讨论/等</w:t>
            </w:r>
          </w:p>
        </w:tc>
        <w:tc>
          <w:tcPr>
            <w:tcW w:w="925" w:type="dxa"/>
            <w:vAlign w:val="center"/>
          </w:tcPr>
          <w:p>
            <w:pPr>
              <w:jc w:val="center"/>
              <w:rPr>
                <w:kern w:val="0"/>
                <w:szCs w:val="21"/>
              </w:rPr>
            </w:pPr>
            <w:r>
              <w:rPr>
                <w:b/>
                <w:kern w:val="0"/>
                <w:szCs w:val="21"/>
              </w:rPr>
              <w:t>目标</w:t>
            </w:r>
            <w:r>
              <w:rPr>
                <w:rFonts w:hint="eastAsia"/>
                <w:b/>
                <w:kern w:val="0"/>
                <w:szCs w:val="21"/>
              </w:rPr>
              <w:t>1</w:t>
            </w:r>
          </w:p>
          <w:p>
            <w:pPr>
              <w:jc w:val="center"/>
              <w:rPr>
                <w:b/>
                <w:kern w:val="0"/>
                <w:szCs w:val="21"/>
              </w:rPr>
            </w:pPr>
            <w:r>
              <w:rPr>
                <w:b/>
                <w:kern w:val="0"/>
                <w:szCs w:val="21"/>
              </w:rPr>
              <w:t>目标</w:t>
            </w:r>
            <w:r>
              <w:rPr>
                <w:rFonts w:hint="eastAsia"/>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vAlign w:val="center"/>
          </w:tcPr>
          <w:p>
            <w:pPr>
              <w:jc w:val="center"/>
              <w:rPr>
                <w:szCs w:val="21"/>
              </w:rPr>
            </w:pPr>
            <w:r>
              <w:rPr>
                <w:rFonts w:hint="eastAsia"/>
                <w:szCs w:val="21"/>
              </w:rPr>
              <w:t>9</w:t>
            </w:r>
          </w:p>
        </w:tc>
        <w:tc>
          <w:tcPr>
            <w:tcW w:w="2632" w:type="dxa"/>
            <w:vAlign w:val="center"/>
          </w:tcPr>
          <w:p>
            <w:pPr>
              <w:rPr>
                <w:kern w:val="0"/>
                <w:szCs w:val="21"/>
              </w:rPr>
            </w:pPr>
            <w:r>
              <w:rPr>
                <w:rFonts w:hint="eastAsia"/>
                <w:b/>
                <w:kern w:val="0"/>
                <w:szCs w:val="21"/>
              </w:rPr>
              <w:t>分析化学中的质量控制与统计分析：</w:t>
            </w:r>
            <w:r>
              <w:rPr>
                <w:rFonts w:hint="eastAsia"/>
                <w:bCs/>
                <w:kern w:val="0"/>
                <w:szCs w:val="21"/>
              </w:rPr>
              <w:t>质量控制目的；方法评价指标；方法验证过程。</w:t>
            </w:r>
          </w:p>
          <w:p>
            <w:pPr>
              <w:rPr>
                <w:kern w:val="0"/>
                <w:szCs w:val="21"/>
              </w:rPr>
            </w:pPr>
            <w:r>
              <w:rPr>
                <w:b/>
                <w:kern w:val="0"/>
                <w:szCs w:val="21"/>
              </w:rPr>
              <w:t>重点和难点：</w:t>
            </w:r>
            <w:r>
              <w:rPr>
                <w:rFonts w:hint="eastAsia"/>
                <w:kern w:val="0"/>
                <w:szCs w:val="21"/>
              </w:rPr>
              <w:t>准确度和精密度；检出限和定量限</w:t>
            </w:r>
          </w:p>
        </w:tc>
        <w:tc>
          <w:tcPr>
            <w:tcW w:w="1134" w:type="dxa"/>
            <w:vAlign w:val="center"/>
          </w:tcPr>
          <w:p>
            <w:pPr>
              <w:autoSpaceDE w:val="0"/>
              <w:autoSpaceDN w:val="0"/>
              <w:adjustRightInd w:val="0"/>
              <w:rPr>
                <w:kern w:val="0"/>
                <w:szCs w:val="21"/>
              </w:rPr>
            </w:pPr>
            <w:r>
              <w:rPr>
                <w:rFonts w:hint="eastAsia"/>
                <w:kern w:val="0"/>
                <w:szCs w:val="21"/>
              </w:rPr>
              <w:t>理解分析质量的重要性，培养学生具备工匠精神。</w:t>
            </w:r>
          </w:p>
        </w:tc>
        <w:tc>
          <w:tcPr>
            <w:tcW w:w="2028" w:type="dxa"/>
            <w:vAlign w:val="center"/>
          </w:tcPr>
          <w:p>
            <w:pPr>
              <w:rPr>
                <w:bCs/>
                <w:kern w:val="0"/>
                <w:szCs w:val="21"/>
              </w:rPr>
            </w:pPr>
            <w:r>
              <w:rPr>
                <w:rFonts w:hint="eastAsia"/>
                <w:bCs/>
                <w:kern w:val="0"/>
                <w:szCs w:val="21"/>
              </w:rPr>
              <w:t>能够理解质量控制的重要性；能够掌握方法评价的指标及实施办法。</w:t>
            </w:r>
          </w:p>
          <w:p>
            <w:pPr>
              <w:autoSpaceDE w:val="0"/>
              <w:autoSpaceDN w:val="0"/>
              <w:adjustRightInd w:val="0"/>
              <w:rPr>
                <w:kern w:val="0"/>
                <w:szCs w:val="21"/>
              </w:rPr>
            </w:pPr>
          </w:p>
        </w:tc>
        <w:tc>
          <w:tcPr>
            <w:tcW w:w="699" w:type="dxa"/>
            <w:vAlign w:val="center"/>
          </w:tcPr>
          <w:p>
            <w:pPr>
              <w:spacing w:line="312" w:lineRule="auto"/>
              <w:jc w:val="center"/>
              <w:rPr>
                <w:szCs w:val="21"/>
              </w:rPr>
            </w:pPr>
            <w:r>
              <w:rPr>
                <w:rFonts w:hint="eastAsia"/>
                <w:szCs w:val="21"/>
              </w:rPr>
              <w:t>3（讲授）</w:t>
            </w:r>
          </w:p>
        </w:tc>
        <w:tc>
          <w:tcPr>
            <w:tcW w:w="975" w:type="dxa"/>
            <w:vAlign w:val="center"/>
          </w:tcPr>
          <w:p>
            <w:pPr>
              <w:rPr>
                <w:szCs w:val="21"/>
              </w:rPr>
            </w:pPr>
            <w:r>
              <w:rPr>
                <w:szCs w:val="21"/>
              </w:rPr>
              <w:t>讲授/</w:t>
            </w:r>
            <w:r>
              <w:rPr>
                <w:rFonts w:hint="eastAsia"/>
                <w:szCs w:val="21"/>
              </w:rPr>
              <w:t>实例</w:t>
            </w:r>
            <w:r>
              <w:rPr>
                <w:szCs w:val="21"/>
              </w:rPr>
              <w:t>/讨论/等</w:t>
            </w:r>
          </w:p>
        </w:tc>
        <w:tc>
          <w:tcPr>
            <w:tcW w:w="925" w:type="dxa"/>
            <w:vAlign w:val="center"/>
          </w:tcPr>
          <w:p>
            <w:pPr>
              <w:jc w:val="center"/>
              <w:rPr>
                <w:szCs w:val="21"/>
              </w:rPr>
            </w:pPr>
            <w:r>
              <w:rPr>
                <w:b/>
                <w:kern w:val="0"/>
                <w:szCs w:val="21"/>
              </w:rPr>
              <w:t>目标</w:t>
            </w:r>
            <w:r>
              <w:rPr>
                <w:rFonts w:hint="eastAsia"/>
                <w:b/>
                <w:kern w:val="0"/>
                <w:szCs w:val="21"/>
              </w:rPr>
              <w:t>1</w:t>
            </w:r>
          </w:p>
        </w:tc>
      </w:tr>
    </w:tbl>
    <w:p>
      <w:pPr>
        <w:spacing w:line="360" w:lineRule="auto"/>
        <w:ind w:firstLine="480" w:firstLineChars="200"/>
        <w:rPr>
          <w:sz w:val="24"/>
        </w:rPr>
      </w:pPr>
    </w:p>
    <w:p>
      <w:pPr>
        <w:spacing w:line="360" w:lineRule="auto"/>
        <w:ind w:firstLine="562" w:firstLineChars="200"/>
        <w:rPr>
          <w:b/>
          <w:sz w:val="28"/>
          <w:szCs w:val="28"/>
        </w:rPr>
      </w:pPr>
      <w:r>
        <w:rPr>
          <w:rFonts w:hint="eastAsia"/>
          <w:b/>
          <w:sz w:val="28"/>
          <w:szCs w:val="28"/>
        </w:rPr>
        <w:t>四</w:t>
      </w:r>
      <w:r>
        <w:rPr>
          <w:b/>
          <w:sz w:val="28"/>
          <w:szCs w:val="28"/>
        </w:rPr>
        <w:t>、</w:t>
      </w:r>
      <w:r>
        <w:rPr>
          <w:rFonts w:hint="eastAsia"/>
          <w:b/>
          <w:sz w:val="28"/>
          <w:szCs w:val="28"/>
        </w:rPr>
        <w:t>课内实验（实践）</w:t>
      </w:r>
    </w:p>
    <w:tbl>
      <w:tblPr>
        <w:tblStyle w:val="10"/>
        <w:tblpPr w:leftFromText="180" w:rightFromText="180" w:vertAnchor="text" w:horzAnchor="page" w:tblpX="1577" w:tblpY="66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784"/>
        <w:gridCol w:w="3568"/>
        <w:gridCol w:w="735"/>
        <w:gridCol w:w="1155"/>
        <w:gridCol w:w="840"/>
        <w:gridCol w:w="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shd w:val="clear" w:color="auto" w:fill="FFFFFF"/>
            <w:vAlign w:val="center"/>
          </w:tcPr>
          <w:p>
            <w:pPr>
              <w:jc w:val="center"/>
              <w:rPr>
                <w:bCs/>
                <w:spacing w:val="-20"/>
                <w:szCs w:val="21"/>
              </w:rPr>
            </w:pPr>
            <w:r>
              <w:rPr>
                <w:bCs/>
                <w:spacing w:val="-20"/>
                <w:szCs w:val="21"/>
              </w:rPr>
              <w:t>序号</w:t>
            </w:r>
          </w:p>
        </w:tc>
        <w:tc>
          <w:tcPr>
            <w:tcW w:w="1784" w:type="dxa"/>
            <w:shd w:val="clear" w:color="auto" w:fill="FFFFFF"/>
            <w:vAlign w:val="center"/>
          </w:tcPr>
          <w:p>
            <w:pPr>
              <w:jc w:val="center"/>
              <w:rPr>
                <w:bCs/>
                <w:szCs w:val="21"/>
              </w:rPr>
            </w:pPr>
            <w:r>
              <w:rPr>
                <w:bCs/>
                <w:szCs w:val="21"/>
              </w:rPr>
              <w:t>实验项目名称</w:t>
            </w:r>
          </w:p>
        </w:tc>
        <w:tc>
          <w:tcPr>
            <w:tcW w:w="3568" w:type="dxa"/>
            <w:shd w:val="clear" w:color="auto" w:fill="FFFFFF"/>
            <w:vAlign w:val="center"/>
          </w:tcPr>
          <w:p>
            <w:pPr>
              <w:jc w:val="center"/>
              <w:rPr>
                <w:bCs/>
                <w:szCs w:val="21"/>
              </w:rPr>
            </w:pPr>
            <w:r>
              <w:rPr>
                <w:bCs/>
                <w:szCs w:val="21"/>
              </w:rPr>
              <w:t>实验内容</w:t>
            </w:r>
            <w:r>
              <w:rPr>
                <w:rFonts w:hint="eastAsia"/>
                <w:bCs/>
                <w:szCs w:val="21"/>
              </w:rPr>
              <w:t>及要求</w:t>
            </w:r>
          </w:p>
        </w:tc>
        <w:tc>
          <w:tcPr>
            <w:tcW w:w="735" w:type="dxa"/>
            <w:shd w:val="clear" w:color="auto" w:fill="FFFFFF"/>
            <w:vAlign w:val="center"/>
          </w:tcPr>
          <w:p>
            <w:pPr>
              <w:jc w:val="center"/>
              <w:rPr>
                <w:bCs/>
                <w:szCs w:val="21"/>
              </w:rPr>
            </w:pPr>
            <w:r>
              <w:rPr>
                <w:bCs/>
                <w:szCs w:val="21"/>
              </w:rPr>
              <w:t>学时</w:t>
            </w:r>
          </w:p>
        </w:tc>
        <w:tc>
          <w:tcPr>
            <w:tcW w:w="1155" w:type="dxa"/>
            <w:shd w:val="clear" w:color="auto" w:fill="FFFFFF"/>
            <w:vAlign w:val="center"/>
          </w:tcPr>
          <w:p>
            <w:pPr>
              <w:jc w:val="center"/>
              <w:rPr>
                <w:bCs/>
                <w:szCs w:val="21"/>
              </w:rPr>
            </w:pPr>
            <w:r>
              <w:rPr>
                <w:bCs/>
                <w:szCs w:val="21"/>
              </w:rPr>
              <w:t>对毕业要求的支撑</w:t>
            </w:r>
          </w:p>
        </w:tc>
        <w:tc>
          <w:tcPr>
            <w:tcW w:w="840" w:type="dxa"/>
            <w:shd w:val="clear" w:color="auto" w:fill="FFFFFF"/>
            <w:tcMar>
              <w:left w:w="28" w:type="dxa"/>
              <w:right w:w="28" w:type="dxa"/>
            </w:tcMar>
            <w:vAlign w:val="center"/>
          </w:tcPr>
          <w:p>
            <w:pPr>
              <w:jc w:val="center"/>
              <w:rPr>
                <w:bCs/>
                <w:szCs w:val="21"/>
              </w:rPr>
            </w:pPr>
            <w:r>
              <w:rPr>
                <w:bCs/>
                <w:szCs w:val="21"/>
              </w:rPr>
              <w:t>类型</w:t>
            </w:r>
          </w:p>
        </w:tc>
        <w:tc>
          <w:tcPr>
            <w:tcW w:w="630" w:type="dxa"/>
            <w:shd w:val="clear" w:color="auto" w:fill="FFFFFF"/>
            <w:tcMar>
              <w:left w:w="28" w:type="dxa"/>
              <w:right w:w="28" w:type="dxa"/>
            </w:tcMar>
            <w:vAlign w:val="center"/>
          </w:tcPr>
          <w:p>
            <w:pPr>
              <w:jc w:val="center"/>
              <w:rPr>
                <w:bCs/>
                <w:szCs w:val="21"/>
              </w:rPr>
            </w:pPr>
            <w:r>
              <w:rPr>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Align w:val="center"/>
          </w:tcPr>
          <w:p>
            <w:pPr>
              <w:jc w:val="center"/>
              <w:rPr>
                <w:bCs/>
                <w:szCs w:val="21"/>
              </w:rPr>
            </w:pPr>
            <w:r>
              <w:rPr>
                <w:bCs/>
                <w:szCs w:val="21"/>
              </w:rPr>
              <w:t>1</w:t>
            </w:r>
          </w:p>
        </w:tc>
        <w:tc>
          <w:tcPr>
            <w:tcW w:w="1784" w:type="dxa"/>
            <w:vAlign w:val="center"/>
          </w:tcPr>
          <w:p>
            <w:pPr>
              <w:jc w:val="center"/>
              <w:rPr>
                <w:bCs/>
                <w:szCs w:val="21"/>
              </w:rPr>
            </w:pPr>
            <w:r>
              <w:rPr>
                <w:rFonts w:hint="eastAsia"/>
                <w:bCs/>
                <w:szCs w:val="21"/>
              </w:rPr>
              <w:t>分光光度法测定维生素B</w:t>
            </w:r>
            <w:r>
              <w:rPr>
                <w:rFonts w:hint="eastAsia"/>
                <w:bCs/>
                <w:szCs w:val="21"/>
                <w:vertAlign w:val="subscript"/>
              </w:rPr>
              <w:t>12</w:t>
            </w:r>
          </w:p>
        </w:tc>
        <w:tc>
          <w:tcPr>
            <w:tcW w:w="3568" w:type="dxa"/>
            <w:vAlign w:val="center"/>
          </w:tcPr>
          <w:p>
            <w:pPr>
              <w:jc w:val="center"/>
              <w:rPr>
                <w:bCs/>
                <w:szCs w:val="21"/>
              </w:rPr>
            </w:pPr>
            <w:r>
              <w:rPr>
                <w:rFonts w:hint="eastAsia"/>
                <w:bCs/>
                <w:szCs w:val="21"/>
              </w:rPr>
              <w:t>采用紫外分光光度法和标准曲线法分析维生素B。</w:t>
            </w:r>
          </w:p>
          <w:p>
            <w:pPr>
              <w:jc w:val="center"/>
              <w:rPr>
                <w:bCs/>
                <w:szCs w:val="21"/>
              </w:rPr>
            </w:pPr>
            <w:r>
              <w:rPr>
                <w:rFonts w:hint="eastAsia"/>
                <w:bCs/>
                <w:szCs w:val="21"/>
              </w:rPr>
              <w:t>了解紫外分光光度计的测定原理、方法及其结构。</w:t>
            </w:r>
          </w:p>
          <w:p>
            <w:pPr>
              <w:jc w:val="center"/>
              <w:rPr>
                <w:bCs/>
                <w:szCs w:val="21"/>
              </w:rPr>
            </w:pPr>
            <w:r>
              <w:rPr>
                <w:rFonts w:hint="eastAsia"/>
                <w:bCs/>
                <w:szCs w:val="21"/>
              </w:rPr>
              <w:t>掌握吸收曲线的绘制。</w:t>
            </w:r>
          </w:p>
          <w:p>
            <w:pPr>
              <w:jc w:val="center"/>
              <w:rPr>
                <w:bCs/>
                <w:szCs w:val="21"/>
              </w:rPr>
            </w:pPr>
            <w:r>
              <w:rPr>
                <w:rFonts w:hint="eastAsia"/>
                <w:bCs/>
                <w:szCs w:val="21"/>
              </w:rPr>
              <w:t>掌握利用标准曲线法进行微量成分紫外分光光度测定的基本方法和有关计算。</w:t>
            </w:r>
          </w:p>
        </w:tc>
        <w:tc>
          <w:tcPr>
            <w:tcW w:w="735" w:type="dxa"/>
            <w:vAlign w:val="center"/>
          </w:tcPr>
          <w:p>
            <w:pPr>
              <w:jc w:val="center"/>
              <w:rPr>
                <w:bCs/>
                <w:szCs w:val="21"/>
              </w:rPr>
            </w:pPr>
            <w:r>
              <w:rPr>
                <w:rFonts w:hint="eastAsia"/>
                <w:bCs/>
                <w:szCs w:val="21"/>
              </w:rPr>
              <w:t>4</w:t>
            </w:r>
          </w:p>
        </w:tc>
        <w:tc>
          <w:tcPr>
            <w:tcW w:w="1155" w:type="dxa"/>
            <w:vAlign w:val="center"/>
          </w:tcPr>
          <w:p>
            <w:pPr>
              <w:jc w:val="center"/>
              <w:rPr>
                <w:bCs/>
                <w:szCs w:val="21"/>
              </w:rPr>
            </w:pPr>
            <w:r>
              <w:rPr>
                <w:rFonts w:hint="eastAsia"/>
                <w:color w:val="000000"/>
                <w:szCs w:val="21"/>
              </w:rPr>
              <w:t>4-1、5-1</w:t>
            </w:r>
          </w:p>
        </w:tc>
        <w:tc>
          <w:tcPr>
            <w:tcW w:w="840" w:type="dxa"/>
            <w:tcMar>
              <w:left w:w="28" w:type="dxa"/>
              <w:right w:w="28" w:type="dxa"/>
            </w:tcMar>
            <w:vAlign w:val="center"/>
          </w:tcPr>
          <w:p>
            <w:pPr>
              <w:jc w:val="center"/>
              <w:rPr>
                <w:szCs w:val="21"/>
              </w:rPr>
            </w:pPr>
            <w:r>
              <w:rPr>
                <w:bCs/>
                <w:szCs w:val="21"/>
              </w:rPr>
              <w:t>综合性</w:t>
            </w:r>
          </w:p>
        </w:tc>
        <w:tc>
          <w:tcPr>
            <w:tcW w:w="630" w:type="dxa"/>
            <w:tcMar>
              <w:left w:w="28" w:type="dxa"/>
              <w:right w:w="28" w:type="dxa"/>
            </w:tcMar>
            <w:vAlign w:val="center"/>
          </w:tcPr>
          <w:p>
            <w:pPr>
              <w:jc w:val="center"/>
              <w:rPr>
                <w:bCs/>
                <w:szCs w:val="21"/>
              </w:rPr>
            </w:pPr>
            <w:r>
              <w:rPr>
                <w:bCs/>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Align w:val="center"/>
          </w:tcPr>
          <w:p>
            <w:pPr>
              <w:jc w:val="center"/>
              <w:rPr>
                <w:bCs/>
                <w:szCs w:val="21"/>
              </w:rPr>
            </w:pPr>
            <w:r>
              <w:rPr>
                <w:rFonts w:hint="eastAsia"/>
                <w:bCs/>
                <w:szCs w:val="21"/>
              </w:rPr>
              <w:t>2</w:t>
            </w:r>
          </w:p>
        </w:tc>
        <w:tc>
          <w:tcPr>
            <w:tcW w:w="1784" w:type="dxa"/>
            <w:vAlign w:val="center"/>
          </w:tcPr>
          <w:p>
            <w:pPr>
              <w:jc w:val="center"/>
              <w:rPr>
                <w:bCs/>
                <w:szCs w:val="21"/>
              </w:rPr>
            </w:pPr>
            <w:r>
              <w:rPr>
                <w:rFonts w:hint="eastAsia"/>
                <w:bCs/>
                <w:szCs w:val="21"/>
              </w:rPr>
              <w:t>邻二氮菲分光光度法测定微量铁</w:t>
            </w:r>
          </w:p>
        </w:tc>
        <w:tc>
          <w:tcPr>
            <w:tcW w:w="3568" w:type="dxa"/>
          </w:tcPr>
          <w:p>
            <w:pPr>
              <w:jc w:val="center"/>
              <w:rPr>
                <w:bCs/>
                <w:szCs w:val="21"/>
              </w:rPr>
            </w:pPr>
            <w:r>
              <w:rPr>
                <w:rFonts w:hint="eastAsia"/>
                <w:bCs/>
                <w:szCs w:val="21"/>
              </w:rPr>
              <w:t>采用显色反应、可见分光光度法和标准曲线法分析微量铁。</w:t>
            </w:r>
          </w:p>
          <w:p>
            <w:pPr>
              <w:jc w:val="center"/>
              <w:rPr>
                <w:bCs/>
                <w:szCs w:val="21"/>
              </w:rPr>
            </w:pPr>
            <w:r>
              <w:rPr>
                <w:rFonts w:hint="eastAsia"/>
                <w:bCs/>
                <w:szCs w:val="21"/>
              </w:rPr>
              <w:t>了解可见分光光度计的测定原理、方法及其结构。</w:t>
            </w:r>
          </w:p>
          <w:p>
            <w:pPr>
              <w:jc w:val="center"/>
              <w:rPr>
                <w:bCs/>
                <w:szCs w:val="21"/>
              </w:rPr>
            </w:pPr>
            <w:r>
              <w:rPr>
                <w:rFonts w:hint="eastAsia"/>
                <w:bCs/>
                <w:szCs w:val="21"/>
              </w:rPr>
              <w:t>掌握利用显色反应、标准曲线法进行微量成分可见分光光度测定的基本方法和有关计算。</w:t>
            </w:r>
          </w:p>
        </w:tc>
        <w:tc>
          <w:tcPr>
            <w:tcW w:w="735" w:type="dxa"/>
            <w:vAlign w:val="center"/>
          </w:tcPr>
          <w:p>
            <w:pPr>
              <w:jc w:val="center"/>
              <w:rPr>
                <w:bCs/>
                <w:szCs w:val="21"/>
              </w:rPr>
            </w:pPr>
            <w:r>
              <w:rPr>
                <w:rFonts w:hint="eastAsia"/>
                <w:bCs/>
                <w:szCs w:val="21"/>
              </w:rPr>
              <w:t>4</w:t>
            </w:r>
          </w:p>
        </w:tc>
        <w:tc>
          <w:tcPr>
            <w:tcW w:w="1155" w:type="dxa"/>
            <w:vAlign w:val="center"/>
          </w:tcPr>
          <w:p>
            <w:pPr>
              <w:jc w:val="center"/>
              <w:rPr>
                <w:bCs/>
                <w:szCs w:val="21"/>
              </w:rPr>
            </w:pPr>
            <w:r>
              <w:rPr>
                <w:rFonts w:hint="eastAsia"/>
                <w:color w:val="000000"/>
                <w:szCs w:val="21"/>
              </w:rPr>
              <w:t>4-1、5-1</w:t>
            </w:r>
          </w:p>
        </w:tc>
        <w:tc>
          <w:tcPr>
            <w:tcW w:w="840" w:type="dxa"/>
            <w:tcMar>
              <w:left w:w="28" w:type="dxa"/>
              <w:right w:w="28" w:type="dxa"/>
            </w:tcMar>
            <w:vAlign w:val="center"/>
          </w:tcPr>
          <w:p>
            <w:pPr>
              <w:jc w:val="center"/>
              <w:rPr>
                <w:szCs w:val="21"/>
              </w:rPr>
            </w:pPr>
            <w:r>
              <w:rPr>
                <w:bCs/>
                <w:szCs w:val="21"/>
              </w:rPr>
              <w:t>综合性</w:t>
            </w:r>
          </w:p>
        </w:tc>
        <w:tc>
          <w:tcPr>
            <w:tcW w:w="630" w:type="dxa"/>
            <w:tcMar>
              <w:left w:w="28" w:type="dxa"/>
              <w:right w:w="28" w:type="dxa"/>
            </w:tcMar>
            <w:vAlign w:val="center"/>
          </w:tcPr>
          <w:p>
            <w:pPr>
              <w:jc w:val="center"/>
              <w:rPr>
                <w:bCs/>
                <w:szCs w:val="21"/>
              </w:rPr>
            </w:pPr>
            <w:r>
              <w:rPr>
                <w:bCs/>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Align w:val="center"/>
          </w:tcPr>
          <w:p>
            <w:pPr>
              <w:jc w:val="center"/>
              <w:rPr>
                <w:bCs/>
                <w:szCs w:val="21"/>
              </w:rPr>
            </w:pPr>
            <w:r>
              <w:rPr>
                <w:rFonts w:hint="eastAsia"/>
                <w:szCs w:val="21"/>
              </w:rPr>
              <w:t>3</w:t>
            </w:r>
          </w:p>
        </w:tc>
        <w:tc>
          <w:tcPr>
            <w:tcW w:w="1784" w:type="dxa"/>
            <w:vAlign w:val="center"/>
          </w:tcPr>
          <w:p>
            <w:pPr>
              <w:jc w:val="center"/>
              <w:rPr>
                <w:bCs/>
                <w:szCs w:val="21"/>
              </w:rPr>
            </w:pPr>
            <w:r>
              <w:rPr>
                <w:rFonts w:hint="eastAsia"/>
                <w:bCs/>
                <w:szCs w:val="21"/>
              </w:rPr>
              <w:t>奎宁的含量测定</w:t>
            </w:r>
          </w:p>
        </w:tc>
        <w:tc>
          <w:tcPr>
            <w:tcW w:w="3568" w:type="dxa"/>
          </w:tcPr>
          <w:p>
            <w:pPr>
              <w:jc w:val="center"/>
              <w:rPr>
                <w:bCs/>
                <w:szCs w:val="21"/>
              </w:rPr>
            </w:pPr>
            <w:r>
              <w:rPr>
                <w:rFonts w:hint="eastAsia"/>
                <w:bCs/>
                <w:szCs w:val="21"/>
              </w:rPr>
              <w:t>利用分子荧光法和标准曲线法分析奎宁。</w:t>
            </w:r>
          </w:p>
          <w:p>
            <w:pPr>
              <w:jc w:val="center"/>
              <w:rPr>
                <w:bCs/>
                <w:szCs w:val="21"/>
              </w:rPr>
            </w:pPr>
            <w:r>
              <w:rPr>
                <w:rFonts w:hint="eastAsia"/>
                <w:bCs/>
                <w:szCs w:val="21"/>
              </w:rPr>
              <w:t>了解分子荧光分光光度计的结构、性能及操作。</w:t>
            </w:r>
          </w:p>
          <w:p>
            <w:pPr>
              <w:jc w:val="center"/>
              <w:rPr>
                <w:bCs/>
                <w:szCs w:val="21"/>
              </w:rPr>
            </w:pPr>
            <w:r>
              <w:rPr>
                <w:rFonts w:hint="eastAsia"/>
                <w:bCs/>
                <w:szCs w:val="21"/>
              </w:rPr>
              <w:t>掌握奎宁激发光谱和荧光光谱的测量方法。</w:t>
            </w:r>
          </w:p>
          <w:p>
            <w:pPr>
              <w:jc w:val="center"/>
              <w:rPr>
                <w:bCs/>
                <w:szCs w:val="21"/>
              </w:rPr>
            </w:pPr>
            <w:r>
              <w:rPr>
                <w:rFonts w:hint="eastAsia"/>
                <w:bCs/>
                <w:szCs w:val="21"/>
              </w:rPr>
              <w:t>掌握利用标准曲线法进行微量成分分子荧光光度测定的基本方法和有关计算。</w:t>
            </w:r>
          </w:p>
        </w:tc>
        <w:tc>
          <w:tcPr>
            <w:tcW w:w="735" w:type="dxa"/>
            <w:vAlign w:val="center"/>
          </w:tcPr>
          <w:p>
            <w:pPr>
              <w:jc w:val="center"/>
              <w:rPr>
                <w:bCs/>
                <w:szCs w:val="21"/>
              </w:rPr>
            </w:pPr>
            <w:r>
              <w:rPr>
                <w:rFonts w:hint="eastAsia"/>
                <w:bCs/>
                <w:szCs w:val="21"/>
              </w:rPr>
              <w:t>4</w:t>
            </w:r>
          </w:p>
        </w:tc>
        <w:tc>
          <w:tcPr>
            <w:tcW w:w="1155" w:type="dxa"/>
            <w:vAlign w:val="center"/>
          </w:tcPr>
          <w:p>
            <w:pPr>
              <w:jc w:val="center"/>
              <w:rPr>
                <w:bCs/>
                <w:szCs w:val="21"/>
              </w:rPr>
            </w:pPr>
            <w:r>
              <w:rPr>
                <w:rFonts w:hint="eastAsia"/>
                <w:color w:val="000000"/>
                <w:szCs w:val="21"/>
              </w:rPr>
              <w:t>4-1、5-1</w:t>
            </w:r>
          </w:p>
        </w:tc>
        <w:tc>
          <w:tcPr>
            <w:tcW w:w="840" w:type="dxa"/>
            <w:tcMar>
              <w:left w:w="28" w:type="dxa"/>
              <w:right w:w="28" w:type="dxa"/>
            </w:tcMar>
            <w:vAlign w:val="center"/>
          </w:tcPr>
          <w:p>
            <w:pPr>
              <w:jc w:val="center"/>
              <w:rPr>
                <w:szCs w:val="21"/>
              </w:rPr>
            </w:pPr>
            <w:r>
              <w:rPr>
                <w:bCs/>
                <w:szCs w:val="21"/>
              </w:rPr>
              <w:t>综合性</w:t>
            </w:r>
          </w:p>
        </w:tc>
        <w:tc>
          <w:tcPr>
            <w:tcW w:w="630" w:type="dxa"/>
            <w:tcMar>
              <w:left w:w="28" w:type="dxa"/>
              <w:right w:w="28" w:type="dxa"/>
            </w:tcMar>
            <w:vAlign w:val="center"/>
          </w:tcPr>
          <w:p>
            <w:pPr>
              <w:jc w:val="center"/>
              <w:rPr>
                <w:bCs/>
                <w:szCs w:val="21"/>
              </w:rPr>
            </w:pPr>
            <w:r>
              <w:rPr>
                <w:bCs/>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Align w:val="center"/>
          </w:tcPr>
          <w:p>
            <w:pPr>
              <w:jc w:val="center"/>
              <w:rPr>
                <w:szCs w:val="21"/>
              </w:rPr>
            </w:pPr>
            <w:r>
              <w:rPr>
                <w:rFonts w:hint="eastAsia"/>
                <w:szCs w:val="21"/>
              </w:rPr>
              <w:t>4</w:t>
            </w:r>
          </w:p>
        </w:tc>
        <w:tc>
          <w:tcPr>
            <w:tcW w:w="1784" w:type="dxa"/>
            <w:vAlign w:val="center"/>
          </w:tcPr>
          <w:p>
            <w:pPr>
              <w:jc w:val="center"/>
              <w:rPr>
                <w:bCs/>
                <w:szCs w:val="21"/>
              </w:rPr>
            </w:pPr>
            <w:r>
              <w:rPr>
                <w:rFonts w:hint="eastAsia"/>
                <w:bCs/>
                <w:szCs w:val="21"/>
              </w:rPr>
              <w:t>分子荧光光谱法测定维生素B</w:t>
            </w:r>
            <w:r>
              <w:rPr>
                <w:rFonts w:hint="eastAsia"/>
                <w:bCs/>
                <w:szCs w:val="21"/>
                <w:vertAlign w:val="subscript"/>
              </w:rPr>
              <w:t>12</w:t>
            </w:r>
          </w:p>
        </w:tc>
        <w:tc>
          <w:tcPr>
            <w:tcW w:w="3568" w:type="dxa"/>
          </w:tcPr>
          <w:p>
            <w:pPr>
              <w:jc w:val="center"/>
              <w:rPr>
                <w:bCs/>
                <w:szCs w:val="21"/>
              </w:rPr>
            </w:pPr>
            <w:r>
              <w:rPr>
                <w:rFonts w:hint="eastAsia"/>
                <w:bCs/>
                <w:szCs w:val="21"/>
              </w:rPr>
              <w:t>利用分子荧光法和标准曲线法分析B</w:t>
            </w:r>
            <w:r>
              <w:rPr>
                <w:rFonts w:hint="eastAsia"/>
                <w:bCs/>
                <w:szCs w:val="21"/>
                <w:vertAlign w:val="subscript"/>
              </w:rPr>
              <w:t>12</w:t>
            </w:r>
            <w:r>
              <w:rPr>
                <w:rFonts w:hint="eastAsia"/>
                <w:bCs/>
                <w:szCs w:val="21"/>
              </w:rPr>
              <w:t>。</w:t>
            </w:r>
          </w:p>
          <w:p>
            <w:pPr>
              <w:jc w:val="center"/>
              <w:rPr>
                <w:bCs/>
                <w:szCs w:val="21"/>
              </w:rPr>
            </w:pPr>
            <w:r>
              <w:rPr>
                <w:rFonts w:hint="eastAsia"/>
                <w:bCs/>
                <w:szCs w:val="21"/>
              </w:rPr>
              <w:t>掌握分子荧光光度法分析微量成分方法的建立。</w:t>
            </w:r>
          </w:p>
          <w:p>
            <w:pPr>
              <w:jc w:val="center"/>
              <w:rPr>
                <w:bCs/>
                <w:szCs w:val="21"/>
              </w:rPr>
            </w:pPr>
            <w:r>
              <w:rPr>
                <w:rFonts w:hint="eastAsia"/>
                <w:bCs/>
                <w:szCs w:val="21"/>
              </w:rPr>
              <w:t>进一步熟悉分子荧光分光光度计的使用。</w:t>
            </w:r>
          </w:p>
          <w:p>
            <w:pPr>
              <w:jc w:val="center"/>
              <w:rPr>
                <w:bCs/>
                <w:szCs w:val="21"/>
              </w:rPr>
            </w:pPr>
            <w:r>
              <w:rPr>
                <w:rFonts w:hint="eastAsia"/>
                <w:bCs/>
                <w:szCs w:val="21"/>
              </w:rPr>
              <w:t>理解紫外分光光度法和分子荧光光度法测定维生素B</w:t>
            </w:r>
            <w:r>
              <w:rPr>
                <w:rFonts w:hint="eastAsia"/>
                <w:bCs/>
                <w:szCs w:val="21"/>
                <w:vertAlign w:val="subscript"/>
              </w:rPr>
              <w:t>12</w:t>
            </w:r>
            <w:r>
              <w:rPr>
                <w:rFonts w:hint="eastAsia"/>
                <w:bCs/>
                <w:szCs w:val="21"/>
              </w:rPr>
              <w:t>灵敏度的区别。</w:t>
            </w:r>
          </w:p>
        </w:tc>
        <w:tc>
          <w:tcPr>
            <w:tcW w:w="735" w:type="dxa"/>
            <w:vAlign w:val="center"/>
          </w:tcPr>
          <w:p>
            <w:pPr>
              <w:jc w:val="center"/>
              <w:rPr>
                <w:bCs/>
                <w:szCs w:val="21"/>
              </w:rPr>
            </w:pPr>
            <w:r>
              <w:rPr>
                <w:rFonts w:hint="eastAsia"/>
                <w:bCs/>
                <w:szCs w:val="21"/>
              </w:rPr>
              <w:t>4</w:t>
            </w:r>
          </w:p>
        </w:tc>
        <w:tc>
          <w:tcPr>
            <w:tcW w:w="1155" w:type="dxa"/>
            <w:vAlign w:val="center"/>
          </w:tcPr>
          <w:p>
            <w:pPr>
              <w:jc w:val="center"/>
              <w:rPr>
                <w:bCs/>
                <w:szCs w:val="21"/>
              </w:rPr>
            </w:pPr>
            <w:r>
              <w:rPr>
                <w:rFonts w:hint="eastAsia"/>
                <w:color w:val="000000"/>
                <w:szCs w:val="21"/>
              </w:rPr>
              <w:t>4-1、5-1</w:t>
            </w:r>
          </w:p>
        </w:tc>
        <w:tc>
          <w:tcPr>
            <w:tcW w:w="840" w:type="dxa"/>
            <w:tcMar>
              <w:left w:w="28" w:type="dxa"/>
              <w:right w:w="28" w:type="dxa"/>
            </w:tcMar>
            <w:vAlign w:val="center"/>
          </w:tcPr>
          <w:p>
            <w:pPr>
              <w:jc w:val="center"/>
              <w:rPr>
                <w:szCs w:val="21"/>
              </w:rPr>
            </w:pPr>
            <w:r>
              <w:rPr>
                <w:rFonts w:hint="eastAsia"/>
                <w:szCs w:val="21"/>
              </w:rPr>
              <w:t>设计性</w:t>
            </w:r>
          </w:p>
        </w:tc>
        <w:tc>
          <w:tcPr>
            <w:tcW w:w="630" w:type="dxa"/>
            <w:tcMar>
              <w:left w:w="28" w:type="dxa"/>
              <w:right w:w="28" w:type="dxa"/>
            </w:tcMar>
            <w:vAlign w:val="center"/>
          </w:tcPr>
          <w:p>
            <w:pPr>
              <w:jc w:val="center"/>
              <w:rPr>
                <w:bCs/>
                <w:szCs w:val="21"/>
              </w:rPr>
            </w:pPr>
            <w:r>
              <w:rPr>
                <w:bCs/>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Align w:val="center"/>
          </w:tcPr>
          <w:p>
            <w:pPr>
              <w:jc w:val="center"/>
              <w:rPr>
                <w:szCs w:val="21"/>
              </w:rPr>
            </w:pPr>
            <w:r>
              <w:rPr>
                <w:rFonts w:hint="eastAsia"/>
                <w:szCs w:val="21"/>
              </w:rPr>
              <w:t>5</w:t>
            </w:r>
          </w:p>
        </w:tc>
        <w:tc>
          <w:tcPr>
            <w:tcW w:w="1784" w:type="dxa"/>
            <w:vAlign w:val="center"/>
          </w:tcPr>
          <w:p>
            <w:pPr>
              <w:jc w:val="center"/>
              <w:rPr>
                <w:bCs/>
                <w:szCs w:val="21"/>
              </w:rPr>
            </w:pPr>
            <w:r>
              <w:rPr>
                <w:rFonts w:hint="eastAsia"/>
                <w:bCs/>
                <w:szCs w:val="21"/>
              </w:rPr>
              <w:t>气相色谱-质谱联用法的定性和定量分析</w:t>
            </w:r>
          </w:p>
        </w:tc>
        <w:tc>
          <w:tcPr>
            <w:tcW w:w="3568" w:type="dxa"/>
          </w:tcPr>
          <w:p>
            <w:pPr>
              <w:jc w:val="center"/>
              <w:rPr>
                <w:bCs/>
                <w:szCs w:val="21"/>
              </w:rPr>
            </w:pPr>
            <w:r>
              <w:rPr>
                <w:rFonts w:hint="eastAsia"/>
                <w:bCs/>
                <w:szCs w:val="21"/>
              </w:rPr>
              <w:t>分别利用气相色谱和质谱进行定性和定量分析。</w:t>
            </w:r>
          </w:p>
          <w:p>
            <w:pPr>
              <w:jc w:val="center"/>
              <w:rPr>
                <w:bCs/>
                <w:szCs w:val="21"/>
              </w:rPr>
            </w:pPr>
            <w:r>
              <w:rPr>
                <w:rFonts w:hint="eastAsia"/>
                <w:bCs/>
                <w:szCs w:val="21"/>
              </w:rPr>
              <w:t>了解气相色谱-质谱联用仪的结构、性能及操作。</w:t>
            </w:r>
          </w:p>
          <w:p>
            <w:pPr>
              <w:jc w:val="center"/>
              <w:rPr>
                <w:bCs/>
                <w:szCs w:val="21"/>
              </w:rPr>
            </w:pPr>
            <w:r>
              <w:rPr>
                <w:rFonts w:hint="eastAsia"/>
                <w:bCs/>
                <w:szCs w:val="21"/>
              </w:rPr>
              <w:t>掌握气相色谱和质谱定性及定量的依据。</w:t>
            </w:r>
          </w:p>
        </w:tc>
        <w:tc>
          <w:tcPr>
            <w:tcW w:w="735" w:type="dxa"/>
            <w:vAlign w:val="center"/>
          </w:tcPr>
          <w:p>
            <w:pPr>
              <w:jc w:val="center"/>
              <w:rPr>
                <w:bCs/>
                <w:szCs w:val="21"/>
              </w:rPr>
            </w:pPr>
            <w:r>
              <w:rPr>
                <w:rFonts w:hint="eastAsia"/>
                <w:bCs/>
                <w:szCs w:val="21"/>
              </w:rPr>
              <w:t>4</w:t>
            </w:r>
          </w:p>
        </w:tc>
        <w:tc>
          <w:tcPr>
            <w:tcW w:w="1155" w:type="dxa"/>
            <w:vAlign w:val="center"/>
          </w:tcPr>
          <w:p>
            <w:pPr>
              <w:jc w:val="center"/>
              <w:rPr>
                <w:bCs/>
                <w:szCs w:val="21"/>
              </w:rPr>
            </w:pPr>
            <w:r>
              <w:rPr>
                <w:rFonts w:hint="eastAsia"/>
                <w:color w:val="000000"/>
                <w:szCs w:val="21"/>
              </w:rPr>
              <w:t>4-1、5-1</w:t>
            </w:r>
          </w:p>
        </w:tc>
        <w:tc>
          <w:tcPr>
            <w:tcW w:w="840" w:type="dxa"/>
            <w:tcMar>
              <w:left w:w="28" w:type="dxa"/>
              <w:right w:w="28" w:type="dxa"/>
            </w:tcMar>
            <w:vAlign w:val="center"/>
          </w:tcPr>
          <w:p>
            <w:pPr>
              <w:jc w:val="center"/>
              <w:rPr>
                <w:szCs w:val="21"/>
              </w:rPr>
            </w:pPr>
            <w:r>
              <w:rPr>
                <w:bCs/>
                <w:szCs w:val="21"/>
              </w:rPr>
              <w:t>综合性</w:t>
            </w:r>
          </w:p>
        </w:tc>
        <w:tc>
          <w:tcPr>
            <w:tcW w:w="630" w:type="dxa"/>
            <w:tcMar>
              <w:left w:w="28" w:type="dxa"/>
              <w:right w:w="28" w:type="dxa"/>
            </w:tcMar>
            <w:vAlign w:val="center"/>
          </w:tcPr>
          <w:p>
            <w:pPr>
              <w:jc w:val="center"/>
              <w:rPr>
                <w:bCs/>
                <w:szCs w:val="21"/>
              </w:rPr>
            </w:pPr>
            <w:r>
              <w:rPr>
                <w:bCs/>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Align w:val="center"/>
          </w:tcPr>
          <w:p>
            <w:pPr>
              <w:jc w:val="center"/>
              <w:rPr>
                <w:szCs w:val="21"/>
              </w:rPr>
            </w:pPr>
            <w:r>
              <w:rPr>
                <w:rFonts w:hint="eastAsia"/>
                <w:szCs w:val="21"/>
              </w:rPr>
              <w:t>6</w:t>
            </w:r>
          </w:p>
        </w:tc>
        <w:tc>
          <w:tcPr>
            <w:tcW w:w="1784" w:type="dxa"/>
            <w:vAlign w:val="center"/>
          </w:tcPr>
          <w:p>
            <w:pPr>
              <w:jc w:val="center"/>
              <w:rPr>
                <w:bCs/>
                <w:szCs w:val="21"/>
              </w:rPr>
            </w:pPr>
            <w:r>
              <w:rPr>
                <w:rFonts w:hint="eastAsia"/>
                <w:bCs/>
                <w:szCs w:val="21"/>
              </w:rPr>
              <w:t>高效液相色谱法的定性和定量分析</w:t>
            </w:r>
          </w:p>
        </w:tc>
        <w:tc>
          <w:tcPr>
            <w:tcW w:w="3568" w:type="dxa"/>
          </w:tcPr>
          <w:p>
            <w:pPr>
              <w:jc w:val="center"/>
              <w:rPr>
                <w:bCs/>
                <w:szCs w:val="21"/>
              </w:rPr>
            </w:pPr>
            <w:r>
              <w:rPr>
                <w:rFonts w:hint="eastAsia"/>
                <w:bCs/>
                <w:szCs w:val="21"/>
              </w:rPr>
              <w:t>利用高效液相色谱法进行定性和定量分析。</w:t>
            </w:r>
          </w:p>
          <w:p>
            <w:pPr>
              <w:jc w:val="center"/>
              <w:rPr>
                <w:bCs/>
                <w:szCs w:val="21"/>
              </w:rPr>
            </w:pPr>
            <w:r>
              <w:rPr>
                <w:rFonts w:hint="eastAsia"/>
                <w:bCs/>
                <w:szCs w:val="21"/>
              </w:rPr>
              <w:t>了解高效液相色谱法的结构、性能及操作。</w:t>
            </w:r>
          </w:p>
          <w:p>
            <w:pPr>
              <w:jc w:val="center"/>
              <w:rPr>
                <w:bCs/>
                <w:szCs w:val="21"/>
              </w:rPr>
            </w:pPr>
            <w:r>
              <w:rPr>
                <w:rFonts w:hint="eastAsia"/>
                <w:bCs/>
                <w:szCs w:val="21"/>
              </w:rPr>
              <w:t>掌握高效液相色谱法定性及定量的依据。</w:t>
            </w:r>
          </w:p>
          <w:p>
            <w:pPr>
              <w:jc w:val="center"/>
              <w:rPr>
                <w:bCs/>
                <w:szCs w:val="21"/>
              </w:rPr>
            </w:pPr>
            <w:r>
              <w:rPr>
                <w:rFonts w:hint="eastAsia"/>
                <w:bCs/>
                <w:szCs w:val="21"/>
              </w:rPr>
              <w:t>掌握内标法定量的基本方法和有关计算。</w:t>
            </w:r>
          </w:p>
        </w:tc>
        <w:tc>
          <w:tcPr>
            <w:tcW w:w="735" w:type="dxa"/>
            <w:vAlign w:val="center"/>
          </w:tcPr>
          <w:p>
            <w:pPr>
              <w:jc w:val="center"/>
              <w:rPr>
                <w:bCs/>
                <w:szCs w:val="21"/>
              </w:rPr>
            </w:pPr>
            <w:r>
              <w:rPr>
                <w:rFonts w:hint="eastAsia"/>
                <w:bCs/>
                <w:szCs w:val="21"/>
              </w:rPr>
              <w:t>4</w:t>
            </w:r>
          </w:p>
        </w:tc>
        <w:tc>
          <w:tcPr>
            <w:tcW w:w="1155" w:type="dxa"/>
            <w:vAlign w:val="center"/>
          </w:tcPr>
          <w:p>
            <w:pPr>
              <w:jc w:val="center"/>
              <w:rPr>
                <w:bCs/>
                <w:szCs w:val="21"/>
              </w:rPr>
            </w:pPr>
            <w:r>
              <w:rPr>
                <w:rFonts w:hint="eastAsia"/>
                <w:color w:val="000000"/>
                <w:szCs w:val="21"/>
              </w:rPr>
              <w:t>4-1、5-1</w:t>
            </w:r>
          </w:p>
        </w:tc>
        <w:tc>
          <w:tcPr>
            <w:tcW w:w="840" w:type="dxa"/>
            <w:tcMar>
              <w:left w:w="28" w:type="dxa"/>
              <w:right w:w="28" w:type="dxa"/>
            </w:tcMar>
            <w:vAlign w:val="center"/>
          </w:tcPr>
          <w:p>
            <w:pPr>
              <w:jc w:val="center"/>
              <w:rPr>
                <w:szCs w:val="21"/>
              </w:rPr>
            </w:pPr>
            <w:r>
              <w:rPr>
                <w:bCs/>
                <w:szCs w:val="21"/>
              </w:rPr>
              <w:t>综合性</w:t>
            </w:r>
          </w:p>
        </w:tc>
        <w:tc>
          <w:tcPr>
            <w:tcW w:w="630" w:type="dxa"/>
            <w:tcMar>
              <w:left w:w="28" w:type="dxa"/>
              <w:right w:w="28" w:type="dxa"/>
            </w:tcMar>
            <w:vAlign w:val="center"/>
          </w:tcPr>
          <w:p>
            <w:pPr>
              <w:jc w:val="center"/>
              <w:rPr>
                <w:bCs/>
                <w:szCs w:val="21"/>
              </w:rPr>
            </w:pPr>
            <w:r>
              <w:rPr>
                <w:bCs/>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Align w:val="center"/>
          </w:tcPr>
          <w:p>
            <w:pPr>
              <w:jc w:val="center"/>
              <w:rPr>
                <w:szCs w:val="21"/>
              </w:rPr>
            </w:pPr>
            <w:r>
              <w:rPr>
                <w:rFonts w:hint="eastAsia"/>
                <w:szCs w:val="21"/>
              </w:rPr>
              <w:t>7</w:t>
            </w:r>
          </w:p>
        </w:tc>
        <w:tc>
          <w:tcPr>
            <w:tcW w:w="1784" w:type="dxa"/>
            <w:vAlign w:val="center"/>
          </w:tcPr>
          <w:p>
            <w:pPr>
              <w:jc w:val="center"/>
              <w:rPr>
                <w:bCs/>
                <w:szCs w:val="21"/>
              </w:rPr>
            </w:pPr>
            <w:r>
              <w:rPr>
                <w:rFonts w:hint="eastAsia"/>
                <w:bCs/>
                <w:szCs w:val="21"/>
              </w:rPr>
              <w:t>原子吸收光谱法测定最佳实验条件的选择</w:t>
            </w:r>
          </w:p>
        </w:tc>
        <w:tc>
          <w:tcPr>
            <w:tcW w:w="3568" w:type="dxa"/>
          </w:tcPr>
          <w:p>
            <w:pPr>
              <w:jc w:val="center"/>
              <w:rPr>
                <w:bCs/>
                <w:szCs w:val="21"/>
              </w:rPr>
            </w:pPr>
            <w:r>
              <w:rPr>
                <w:rFonts w:hint="eastAsia"/>
                <w:bCs/>
                <w:szCs w:val="21"/>
              </w:rPr>
              <w:t>建立原子吸收光谱法测定钙的最佳实验条件。</w:t>
            </w:r>
          </w:p>
          <w:p>
            <w:pPr>
              <w:jc w:val="center"/>
              <w:rPr>
                <w:bCs/>
                <w:szCs w:val="21"/>
              </w:rPr>
            </w:pPr>
            <w:r>
              <w:rPr>
                <w:rFonts w:hint="eastAsia"/>
                <w:bCs/>
                <w:szCs w:val="21"/>
              </w:rPr>
              <w:t>了解原子吸收分光光度计的结构、性能及操作方法。</w:t>
            </w:r>
          </w:p>
          <w:p>
            <w:pPr>
              <w:jc w:val="center"/>
              <w:rPr>
                <w:bCs/>
                <w:szCs w:val="21"/>
              </w:rPr>
            </w:pPr>
            <w:r>
              <w:rPr>
                <w:rFonts w:hint="eastAsia"/>
                <w:bCs/>
                <w:szCs w:val="21"/>
              </w:rPr>
              <w:t>理解实验条件对测定的灵敏度、准确度和干扰情况的影响。</w:t>
            </w:r>
          </w:p>
          <w:p>
            <w:pPr>
              <w:jc w:val="center"/>
              <w:rPr>
                <w:bCs/>
                <w:szCs w:val="21"/>
              </w:rPr>
            </w:pPr>
            <w:r>
              <w:rPr>
                <w:rFonts w:hint="eastAsia"/>
                <w:bCs/>
                <w:szCs w:val="21"/>
              </w:rPr>
              <w:t>掌握最佳条件的选择。</w:t>
            </w:r>
          </w:p>
        </w:tc>
        <w:tc>
          <w:tcPr>
            <w:tcW w:w="735" w:type="dxa"/>
            <w:vAlign w:val="center"/>
          </w:tcPr>
          <w:p>
            <w:pPr>
              <w:jc w:val="center"/>
              <w:rPr>
                <w:bCs/>
                <w:szCs w:val="21"/>
              </w:rPr>
            </w:pPr>
            <w:r>
              <w:rPr>
                <w:rFonts w:hint="eastAsia"/>
                <w:bCs/>
                <w:szCs w:val="21"/>
              </w:rPr>
              <w:t>4</w:t>
            </w:r>
          </w:p>
        </w:tc>
        <w:tc>
          <w:tcPr>
            <w:tcW w:w="1155" w:type="dxa"/>
            <w:vAlign w:val="center"/>
          </w:tcPr>
          <w:p>
            <w:pPr>
              <w:jc w:val="center"/>
              <w:rPr>
                <w:bCs/>
                <w:szCs w:val="21"/>
              </w:rPr>
            </w:pPr>
            <w:r>
              <w:rPr>
                <w:rFonts w:hint="eastAsia"/>
                <w:color w:val="000000"/>
                <w:szCs w:val="21"/>
              </w:rPr>
              <w:t>4-1、5-1</w:t>
            </w:r>
          </w:p>
        </w:tc>
        <w:tc>
          <w:tcPr>
            <w:tcW w:w="840" w:type="dxa"/>
            <w:tcMar>
              <w:left w:w="28" w:type="dxa"/>
              <w:right w:w="28" w:type="dxa"/>
            </w:tcMar>
            <w:vAlign w:val="center"/>
          </w:tcPr>
          <w:p>
            <w:pPr>
              <w:jc w:val="center"/>
              <w:rPr>
                <w:bCs/>
                <w:szCs w:val="21"/>
              </w:rPr>
            </w:pPr>
            <w:r>
              <w:rPr>
                <w:bCs/>
                <w:szCs w:val="21"/>
              </w:rPr>
              <w:t>综合性</w:t>
            </w:r>
          </w:p>
        </w:tc>
        <w:tc>
          <w:tcPr>
            <w:tcW w:w="630" w:type="dxa"/>
            <w:tcMar>
              <w:left w:w="28" w:type="dxa"/>
              <w:right w:w="28" w:type="dxa"/>
            </w:tcMar>
            <w:vAlign w:val="center"/>
          </w:tcPr>
          <w:p>
            <w:pPr>
              <w:jc w:val="center"/>
              <w:rPr>
                <w:bCs/>
                <w:szCs w:val="21"/>
              </w:rPr>
            </w:pPr>
            <w:r>
              <w:rPr>
                <w:bCs/>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Align w:val="center"/>
          </w:tcPr>
          <w:p>
            <w:pPr>
              <w:jc w:val="center"/>
              <w:rPr>
                <w:szCs w:val="21"/>
              </w:rPr>
            </w:pPr>
            <w:r>
              <w:rPr>
                <w:rFonts w:hint="eastAsia"/>
                <w:szCs w:val="21"/>
              </w:rPr>
              <w:t>8</w:t>
            </w:r>
          </w:p>
        </w:tc>
        <w:tc>
          <w:tcPr>
            <w:tcW w:w="1784" w:type="dxa"/>
            <w:vAlign w:val="center"/>
          </w:tcPr>
          <w:p>
            <w:pPr>
              <w:jc w:val="center"/>
              <w:rPr>
                <w:bCs/>
                <w:szCs w:val="21"/>
              </w:rPr>
            </w:pPr>
            <w:r>
              <w:rPr>
                <w:rFonts w:hint="eastAsia"/>
                <w:bCs/>
                <w:szCs w:val="21"/>
              </w:rPr>
              <w:t>原子吸收光谱法测定自来水中的钙</w:t>
            </w:r>
          </w:p>
        </w:tc>
        <w:tc>
          <w:tcPr>
            <w:tcW w:w="3568" w:type="dxa"/>
          </w:tcPr>
          <w:p>
            <w:pPr>
              <w:jc w:val="center"/>
              <w:rPr>
                <w:bCs/>
                <w:szCs w:val="21"/>
              </w:rPr>
            </w:pPr>
            <w:r>
              <w:rPr>
                <w:rFonts w:hint="eastAsia"/>
                <w:bCs/>
                <w:szCs w:val="21"/>
              </w:rPr>
              <w:t>利用原子吸收光谱法和标准曲线法测定自来水中的钙。</w:t>
            </w:r>
          </w:p>
          <w:p>
            <w:pPr>
              <w:jc w:val="center"/>
              <w:rPr>
                <w:bCs/>
                <w:szCs w:val="21"/>
              </w:rPr>
            </w:pPr>
            <w:r>
              <w:rPr>
                <w:rFonts w:hint="eastAsia"/>
                <w:bCs/>
                <w:szCs w:val="21"/>
              </w:rPr>
              <w:t>掌握标准曲线法在实际样品中的应用。</w:t>
            </w:r>
          </w:p>
          <w:p>
            <w:pPr>
              <w:jc w:val="center"/>
              <w:rPr>
                <w:bCs/>
                <w:szCs w:val="21"/>
              </w:rPr>
            </w:pPr>
            <w:r>
              <w:rPr>
                <w:rFonts w:hint="eastAsia"/>
                <w:bCs/>
                <w:szCs w:val="21"/>
              </w:rPr>
              <w:t>进一步熟悉原子吸收分光光度计的使用。</w:t>
            </w:r>
          </w:p>
        </w:tc>
        <w:tc>
          <w:tcPr>
            <w:tcW w:w="735" w:type="dxa"/>
            <w:vAlign w:val="center"/>
          </w:tcPr>
          <w:p>
            <w:pPr>
              <w:jc w:val="center"/>
              <w:rPr>
                <w:bCs/>
                <w:szCs w:val="21"/>
              </w:rPr>
            </w:pPr>
            <w:r>
              <w:rPr>
                <w:rFonts w:hint="eastAsia"/>
                <w:bCs/>
                <w:szCs w:val="21"/>
              </w:rPr>
              <w:t>4</w:t>
            </w:r>
          </w:p>
        </w:tc>
        <w:tc>
          <w:tcPr>
            <w:tcW w:w="1155" w:type="dxa"/>
            <w:vAlign w:val="center"/>
          </w:tcPr>
          <w:p>
            <w:pPr>
              <w:jc w:val="center"/>
              <w:rPr>
                <w:bCs/>
                <w:szCs w:val="21"/>
              </w:rPr>
            </w:pPr>
            <w:r>
              <w:rPr>
                <w:rFonts w:hint="eastAsia"/>
                <w:color w:val="000000"/>
                <w:szCs w:val="21"/>
              </w:rPr>
              <w:t>4-1、5-1</w:t>
            </w:r>
          </w:p>
        </w:tc>
        <w:tc>
          <w:tcPr>
            <w:tcW w:w="840" w:type="dxa"/>
            <w:tcMar>
              <w:left w:w="28" w:type="dxa"/>
              <w:right w:w="28" w:type="dxa"/>
            </w:tcMar>
            <w:vAlign w:val="center"/>
          </w:tcPr>
          <w:p>
            <w:pPr>
              <w:jc w:val="center"/>
              <w:rPr>
                <w:bCs/>
                <w:szCs w:val="21"/>
              </w:rPr>
            </w:pPr>
            <w:r>
              <w:rPr>
                <w:rFonts w:hint="eastAsia"/>
                <w:szCs w:val="21"/>
              </w:rPr>
              <w:t>设计性</w:t>
            </w:r>
          </w:p>
        </w:tc>
        <w:tc>
          <w:tcPr>
            <w:tcW w:w="630" w:type="dxa"/>
            <w:tcMar>
              <w:left w:w="28" w:type="dxa"/>
              <w:right w:w="28" w:type="dxa"/>
            </w:tcMar>
            <w:vAlign w:val="center"/>
          </w:tcPr>
          <w:p>
            <w:pPr>
              <w:jc w:val="center"/>
              <w:rPr>
                <w:bCs/>
                <w:szCs w:val="21"/>
              </w:rPr>
            </w:pPr>
            <w:r>
              <w:rPr>
                <w:bCs/>
                <w:szCs w:val="21"/>
              </w:rPr>
              <w:t>必做</w:t>
            </w:r>
          </w:p>
        </w:tc>
      </w:tr>
    </w:tbl>
    <w:p>
      <w:pPr>
        <w:spacing w:line="360" w:lineRule="auto"/>
        <w:ind w:firstLine="562" w:firstLineChars="200"/>
        <w:rPr>
          <w:b/>
          <w:sz w:val="28"/>
          <w:szCs w:val="28"/>
        </w:rPr>
      </w:pPr>
    </w:p>
    <w:p>
      <w:pPr>
        <w:spacing w:line="360" w:lineRule="auto"/>
        <w:ind w:firstLine="562" w:firstLineChars="200"/>
        <w:rPr>
          <w:b/>
          <w:sz w:val="28"/>
          <w:szCs w:val="28"/>
        </w:rPr>
      </w:pPr>
      <w:r>
        <w:rPr>
          <w:rFonts w:hint="eastAsia"/>
          <w:b/>
          <w:sz w:val="28"/>
          <w:szCs w:val="28"/>
        </w:rPr>
        <w:t>五、课程实施</w:t>
      </w:r>
    </w:p>
    <w:p>
      <w:pPr>
        <w:spacing w:line="360" w:lineRule="auto"/>
        <w:ind w:firstLine="482" w:firstLineChars="200"/>
        <w:rPr>
          <w:b/>
          <w:sz w:val="24"/>
        </w:rPr>
      </w:pPr>
      <w:r>
        <w:rPr>
          <w:rFonts w:hint="eastAsia"/>
          <w:b/>
          <w:sz w:val="24"/>
        </w:rPr>
        <w:t>（一）教学方法与教学手段</w:t>
      </w:r>
    </w:p>
    <w:p>
      <w:pPr>
        <w:spacing w:line="360" w:lineRule="auto"/>
        <w:ind w:firstLine="480" w:firstLineChars="200"/>
        <w:rPr>
          <w:color w:val="000000"/>
          <w:sz w:val="24"/>
        </w:rPr>
      </w:pPr>
      <w:r>
        <w:rPr>
          <w:rFonts w:hint="eastAsia"/>
          <w:color w:val="000000"/>
          <w:sz w:val="24"/>
        </w:rPr>
        <w:t>1.</w:t>
      </w:r>
      <w:r>
        <w:rPr>
          <w:color w:val="000000"/>
          <w:sz w:val="24"/>
        </w:rPr>
        <w:t>采用多媒体教学手段，配合例题的讲解及适当的思考题，保证讲课进度的同时，注意学生的掌握程度和课堂的气氛</w:t>
      </w:r>
      <w:r>
        <w:rPr>
          <w:rFonts w:hint="eastAsia"/>
          <w:color w:val="000000"/>
          <w:sz w:val="24"/>
        </w:rPr>
        <w:t>。</w:t>
      </w:r>
    </w:p>
    <w:p>
      <w:pPr>
        <w:spacing w:line="360" w:lineRule="auto"/>
        <w:ind w:firstLine="480" w:firstLineChars="200"/>
        <w:rPr>
          <w:color w:val="000000"/>
          <w:sz w:val="24"/>
        </w:rPr>
      </w:pPr>
      <w:r>
        <w:rPr>
          <w:rFonts w:hint="eastAsia"/>
          <w:sz w:val="24"/>
        </w:rPr>
        <w:t>2.</w:t>
      </w:r>
      <w:r>
        <w:rPr>
          <w:rFonts w:hint="eastAsia"/>
          <w:color w:val="000000"/>
          <w:sz w:val="24"/>
        </w:rPr>
        <w:t>课程讲授与启案例教学、课堂讨论、设计实验方案、解释实际现象、线上网络教学、实验设计及实施等多种教学方式结合，实行互动研究型教学，重点培养学生的理论素养和实践操作能力。因此，本课程要求课前必须阅读教材的相关部分和参考文献；课上主动参与讨论；课后按时完成布置的作业，积极进行教学互动交流。</w:t>
      </w:r>
    </w:p>
    <w:p>
      <w:pPr>
        <w:spacing w:line="360" w:lineRule="auto"/>
        <w:ind w:firstLine="482" w:firstLineChars="200"/>
        <w:rPr>
          <w:b/>
          <w:sz w:val="24"/>
        </w:rPr>
      </w:pPr>
      <w:r>
        <w:rPr>
          <w:rFonts w:hint="eastAsia"/>
          <w:b/>
          <w:sz w:val="24"/>
        </w:rPr>
        <w:t>（二）课程实施与保障</w:t>
      </w:r>
    </w:p>
    <w:tbl>
      <w:tblPr>
        <w:tblStyle w:val="10"/>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2"/>
        <w:gridCol w:w="1701"/>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3" w:type="dxa"/>
            <w:gridSpan w:val="2"/>
            <w:tcMar>
              <w:left w:w="28" w:type="dxa"/>
              <w:right w:w="28" w:type="dxa"/>
            </w:tcMar>
            <w:vAlign w:val="center"/>
          </w:tcPr>
          <w:p>
            <w:pPr>
              <w:spacing w:line="276" w:lineRule="auto"/>
              <w:jc w:val="center"/>
              <w:rPr>
                <w:szCs w:val="21"/>
              </w:rPr>
            </w:pPr>
            <w:r>
              <w:rPr>
                <w:bCs/>
                <w:szCs w:val="21"/>
              </w:rPr>
              <w:t>主要教学环节</w:t>
            </w:r>
          </w:p>
        </w:tc>
        <w:tc>
          <w:tcPr>
            <w:tcW w:w="6237" w:type="dxa"/>
            <w:vAlign w:val="center"/>
          </w:tcPr>
          <w:p>
            <w:pPr>
              <w:spacing w:line="276" w:lineRule="auto"/>
              <w:jc w:val="center"/>
              <w:rPr>
                <w:szCs w:val="21"/>
              </w:rPr>
            </w:pPr>
            <w:r>
              <w:rPr>
                <w:bCs/>
                <w:szCs w:val="21"/>
              </w:rPr>
              <w:t>质量</w:t>
            </w:r>
            <w:r>
              <w:rPr>
                <w:rFonts w:hint="eastAsia"/>
                <w:bCs/>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582" w:type="dxa"/>
            <w:vAlign w:val="center"/>
          </w:tcPr>
          <w:p>
            <w:pPr>
              <w:spacing w:line="276" w:lineRule="auto"/>
              <w:jc w:val="center"/>
              <w:rPr>
                <w:szCs w:val="21"/>
              </w:rPr>
            </w:pPr>
            <w:r>
              <w:rPr>
                <w:szCs w:val="21"/>
              </w:rPr>
              <w:t>1</w:t>
            </w:r>
          </w:p>
        </w:tc>
        <w:tc>
          <w:tcPr>
            <w:tcW w:w="1701" w:type="dxa"/>
            <w:tcMar>
              <w:left w:w="28" w:type="dxa"/>
              <w:right w:w="28" w:type="dxa"/>
            </w:tcMar>
            <w:vAlign w:val="center"/>
          </w:tcPr>
          <w:p>
            <w:pPr>
              <w:spacing w:line="276" w:lineRule="auto"/>
              <w:jc w:val="center"/>
              <w:rPr>
                <w:szCs w:val="21"/>
              </w:rPr>
            </w:pPr>
            <w:r>
              <w:rPr>
                <w:szCs w:val="21"/>
              </w:rPr>
              <w:t>备课</w:t>
            </w:r>
          </w:p>
        </w:tc>
        <w:tc>
          <w:tcPr>
            <w:tcW w:w="6237" w:type="dxa"/>
            <w:vAlign w:val="center"/>
          </w:tcPr>
          <w:p>
            <w:pPr>
              <w:spacing w:line="276" w:lineRule="auto"/>
              <w:rPr>
                <w:szCs w:val="21"/>
              </w:rPr>
            </w:pPr>
            <w:r>
              <w:rPr>
                <w:rFonts w:hint="eastAsia"/>
                <w:szCs w:val="21"/>
              </w:rPr>
              <w:t>1.</w:t>
            </w:r>
            <w:r>
              <w:rPr>
                <w:szCs w:val="21"/>
              </w:rPr>
              <w:t>掌握本课程教学大纲内容，严格按照教学大纲要求进行课程教学内容的组织。</w:t>
            </w:r>
          </w:p>
          <w:p>
            <w:pPr>
              <w:spacing w:line="276" w:lineRule="auto"/>
              <w:rPr>
                <w:szCs w:val="21"/>
              </w:rPr>
            </w:pPr>
            <w:r>
              <w:rPr>
                <w:rFonts w:hint="eastAsia"/>
                <w:szCs w:val="21"/>
              </w:rPr>
              <w:t>2.</w:t>
            </w:r>
            <w:r>
              <w:rPr>
                <w:szCs w:val="21"/>
              </w:rPr>
              <w:t>熟悉教材各章节，借助专业书籍资料，并依据教学大纲编写授课计划</w:t>
            </w:r>
            <w:r>
              <w:rPr>
                <w:rFonts w:hint="eastAsia"/>
                <w:szCs w:val="21"/>
              </w:rPr>
              <w:t>进度表</w:t>
            </w:r>
          </w:p>
          <w:p>
            <w:pPr>
              <w:spacing w:line="276" w:lineRule="auto"/>
              <w:rPr>
                <w:szCs w:val="21"/>
              </w:rPr>
            </w:pPr>
            <w:r>
              <w:rPr>
                <w:rFonts w:hint="eastAsia"/>
                <w:szCs w:val="21"/>
              </w:rPr>
              <w:t>3.根据</w:t>
            </w:r>
            <w:r>
              <w:rPr>
                <w:szCs w:val="21"/>
              </w:rPr>
              <w:t>各部分</w:t>
            </w:r>
            <w:r>
              <w:rPr>
                <w:rFonts w:hint="eastAsia"/>
                <w:szCs w:val="21"/>
              </w:rPr>
              <w:t>教学</w:t>
            </w:r>
            <w:r>
              <w:rPr>
                <w:szCs w:val="21"/>
              </w:rPr>
              <w:t>内容</w:t>
            </w:r>
            <w:r>
              <w:rPr>
                <w:rFonts w:hint="eastAsia"/>
                <w:szCs w:val="21"/>
              </w:rPr>
              <w:t>，</w:t>
            </w:r>
            <w:r>
              <w:rPr>
                <w:szCs w:val="21"/>
              </w:rPr>
              <w:t>构思授课思路、技巧</w:t>
            </w:r>
            <w:r>
              <w:rPr>
                <w:rFonts w:hint="eastAsia"/>
                <w:szCs w:val="21"/>
              </w:rPr>
              <w:t>，选择合适的</w:t>
            </w:r>
            <w:r>
              <w:rPr>
                <w:szCs w:val="21"/>
              </w:rPr>
              <w:t>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vAlign w:val="center"/>
          </w:tcPr>
          <w:p>
            <w:pPr>
              <w:spacing w:line="276" w:lineRule="auto"/>
              <w:jc w:val="center"/>
              <w:rPr>
                <w:szCs w:val="21"/>
              </w:rPr>
            </w:pPr>
            <w:r>
              <w:rPr>
                <w:szCs w:val="21"/>
              </w:rPr>
              <w:t>2</w:t>
            </w:r>
          </w:p>
        </w:tc>
        <w:tc>
          <w:tcPr>
            <w:tcW w:w="1701" w:type="dxa"/>
            <w:tcMar>
              <w:left w:w="28" w:type="dxa"/>
              <w:right w:w="28" w:type="dxa"/>
            </w:tcMar>
            <w:vAlign w:val="center"/>
          </w:tcPr>
          <w:p>
            <w:pPr>
              <w:spacing w:line="276" w:lineRule="auto"/>
              <w:jc w:val="center"/>
              <w:rPr>
                <w:szCs w:val="21"/>
              </w:rPr>
            </w:pPr>
            <w:r>
              <w:rPr>
                <w:szCs w:val="21"/>
              </w:rPr>
              <w:t>讲授</w:t>
            </w:r>
          </w:p>
        </w:tc>
        <w:tc>
          <w:tcPr>
            <w:tcW w:w="6237" w:type="dxa"/>
            <w:vAlign w:val="center"/>
          </w:tcPr>
          <w:p>
            <w:pPr>
              <w:spacing w:line="276" w:lineRule="auto"/>
              <w:rPr>
                <w:szCs w:val="21"/>
              </w:rPr>
            </w:pPr>
            <w:r>
              <w:rPr>
                <w:rFonts w:hint="eastAsia"/>
                <w:szCs w:val="21"/>
              </w:rPr>
              <w:t>1.</w:t>
            </w:r>
            <w:r>
              <w:rPr>
                <w:szCs w:val="21"/>
              </w:rPr>
              <w:t>要点准确</w:t>
            </w:r>
            <w:r>
              <w:rPr>
                <w:rFonts w:hint="eastAsia"/>
                <w:szCs w:val="21"/>
              </w:rPr>
              <w:t>、</w:t>
            </w:r>
            <w:r>
              <w:rPr>
                <w:szCs w:val="21"/>
              </w:rPr>
              <w:t>推理正确</w:t>
            </w:r>
            <w:r>
              <w:rPr>
                <w:rFonts w:hint="eastAsia"/>
                <w:szCs w:val="21"/>
              </w:rPr>
              <w:t>、</w:t>
            </w:r>
            <w:r>
              <w:rPr>
                <w:szCs w:val="21"/>
              </w:rPr>
              <w:t>条理清晰</w:t>
            </w:r>
            <w:r>
              <w:rPr>
                <w:rFonts w:hint="eastAsia"/>
                <w:szCs w:val="21"/>
              </w:rPr>
              <w:t>、</w:t>
            </w:r>
            <w:r>
              <w:rPr>
                <w:szCs w:val="21"/>
              </w:rPr>
              <w:t>重点突出，</w:t>
            </w:r>
            <w:r>
              <w:rPr>
                <w:rFonts w:hint="eastAsia"/>
                <w:szCs w:val="21"/>
              </w:rPr>
              <w:t>能够</w:t>
            </w:r>
            <w:r>
              <w:rPr>
                <w:szCs w:val="21"/>
              </w:rPr>
              <w:t>理论联系实际，熟练地解答和讲解例题。</w:t>
            </w:r>
          </w:p>
          <w:p>
            <w:pPr>
              <w:spacing w:line="276" w:lineRule="auto"/>
              <w:rPr>
                <w:szCs w:val="21"/>
              </w:rPr>
            </w:pPr>
            <w:r>
              <w:rPr>
                <w:rFonts w:hint="eastAsia"/>
                <w:szCs w:val="21"/>
              </w:rPr>
              <w:t>2.</w:t>
            </w:r>
            <w:r>
              <w:rPr>
                <w:szCs w:val="21"/>
              </w:rPr>
              <w:t>采用多种教学方式（如启发式教学、案例分析教学、讨论式教学、多媒体示范教学等），注重培养学生发现、分析和解决问题的能力。</w:t>
            </w:r>
          </w:p>
          <w:p>
            <w:pPr>
              <w:spacing w:line="276" w:lineRule="auto"/>
              <w:rPr>
                <w:szCs w:val="21"/>
              </w:rPr>
            </w:pPr>
            <w:r>
              <w:rPr>
                <w:rFonts w:hint="eastAsia"/>
                <w:szCs w:val="21"/>
              </w:rPr>
              <w:t>3.能够采用现代信息技术辅助</w:t>
            </w:r>
            <w:r>
              <w:rPr>
                <w:szCs w:val="21"/>
              </w:rPr>
              <w:t>教学。</w:t>
            </w:r>
          </w:p>
          <w:p>
            <w:pPr>
              <w:spacing w:line="276" w:lineRule="auto"/>
              <w:rPr>
                <w:szCs w:val="21"/>
              </w:rPr>
            </w:pPr>
            <w:r>
              <w:rPr>
                <w:rFonts w:hint="eastAsia"/>
                <w:szCs w:val="21"/>
              </w:rPr>
              <w:t>4.</w:t>
            </w:r>
            <w:r>
              <w:rPr>
                <w:szCs w:val="21"/>
              </w:rPr>
              <w:t>表达方式</w:t>
            </w:r>
            <w:r>
              <w:rPr>
                <w:rFonts w:hint="eastAsia"/>
                <w:szCs w:val="21"/>
              </w:rPr>
              <w:t>应能</w:t>
            </w:r>
            <w:r>
              <w:rPr>
                <w:szCs w:val="21"/>
              </w:rPr>
              <w:t>便于学生理解、接受，力求形象生动，使学生在掌握知识的过程中，保持较为浓厚的</w:t>
            </w:r>
            <w:r>
              <w:rPr>
                <w:rFonts w:hint="eastAsia"/>
                <w:szCs w:val="21"/>
              </w:rPr>
              <w:t>学习</w:t>
            </w:r>
            <w:r>
              <w:rPr>
                <w:szCs w:val="21"/>
              </w:rPr>
              <w:t>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jc w:val="center"/>
        </w:trPr>
        <w:tc>
          <w:tcPr>
            <w:tcW w:w="582" w:type="dxa"/>
            <w:vAlign w:val="center"/>
          </w:tcPr>
          <w:p>
            <w:pPr>
              <w:spacing w:line="276" w:lineRule="auto"/>
              <w:jc w:val="center"/>
              <w:rPr>
                <w:szCs w:val="21"/>
              </w:rPr>
            </w:pPr>
            <w:r>
              <w:rPr>
                <w:szCs w:val="21"/>
              </w:rPr>
              <w:t>3</w:t>
            </w:r>
          </w:p>
        </w:tc>
        <w:tc>
          <w:tcPr>
            <w:tcW w:w="1701" w:type="dxa"/>
            <w:tcMar>
              <w:left w:w="28" w:type="dxa"/>
              <w:right w:w="28" w:type="dxa"/>
            </w:tcMar>
            <w:vAlign w:val="center"/>
          </w:tcPr>
          <w:p>
            <w:pPr>
              <w:spacing w:line="276" w:lineRule="auto"/>
              <w:jc w:val="center"/>
              <w:rPr>
                <w:szCs w:val="21"/>
              </w:rPr>
            </w:pPr>
            <w:r>
              <w:rPr>
                <w:szCs w:val="21"/>
              </w:rPr>
              <w:t>作业布置与批改</w:t>
            </w:r>
          </w:p>
        </w:tc>
        <w:tc>
          <w:tcPr>
            <w:tcW w:w="6237" w:type="dxa"/>
            <w:vAlign w:val="center"/>
          </w:tcPr>
          <w:p>
            <w:pPr>
              <w:spacing w:line="276" w:lineRule="auto"/>
              <w:rPr>
                <w:szCs w:val="21"/>
              </w:rPr>
            </w:pPr>
            <w:r>
              <w:rPr>
                <w:szCs w:val="21"/>
              </w:rPr>
              <w:t>学生必须完成</w:t>
            </w:r>
            <w:r>
              <w:rPr>
                <w:rFonts w:hint="eastAsia"/>
                <w:szCs w:val="21"/>
              </w:rPr>
              <w:t>规定</w:t>
            </w:r>
            <w:r>
              <w:rPr>
                <w:szCs w:val="21"/>
              </w:rPr>
              <w:t>数量的作业</w:t>
            </w:r>
            <w:r>
              <w:rPr>
                <w:rFonts w:hint="eastAsia"/>
                <w:szCs w:val="21"/>
              </w:rPr>
              <w:t>，</w:t>
            </w:r>
            <w:r>
              <w:rPr>
                <w:szCs w:val="21"/>
              </w:rPr>
              <w:t>作业必须达到以下基本要求：</w:t>
            </w:r>
          </w:p>
          <w:p>
            <w:pPr>
              <w:spacing w:line="276" w:lineRule="auto"/>
              <w:rPr>
                <w:szCs w:val="21"/>
              </w:rPr>
            </w:pPr>
            <w:r>
              <w:rPr>
                <w:rFonts w:hint="eastAsia"/>
                <w:szCs w:val="21"/>
              </w:rPr>
              <w:t>1.</w:t>
            </w:r>
            <w:r>
              <w:rPr>
                <w:szCs w:val="21"/>
              </w:rPr>
              <w:t>按时按量完成作业，不缺交，不抄袭</w:t>
            </w:r>
            <w:r>
              <w:rPr>
                <w:rFonts w:hint="eastAsia"/>
                <w:szCs w:val="21"/>
              </w:rPr>
              <w:t>。</w:t>
            </w:r>
          </w:p>
          <w:p>
            <w:pPr>
              <w:spacing w:line="276" w:lineRule="auto"/>
              <w:rPr>
                <w:szCs w:val="21"/>
              </w:rPr>
            </w:pPr>
            <w:r>
              <w:rPr>
                <w:rFonts w:hint="eastAsia"/>
                <w:szCs w:val="21"/>
              </w:rPr>
              <w:t>2.书写</w:t>
            </w:r>
            <w:r>
              <w:rPr>
                <w:szCs w:val="21"/>
              </w:rPr>
              <w:t>规范</w:t>
            </w:r>
            <w:r>
              <w:rPr>
                <w:rFonts w:hint="eastAsia"/>
                <w:szCs w:val="21"/>
              </w:rPr>
              <w:t>、</w:t>
            </w:r>
            <w:r>
              <w:rPr>
                <w:szCs w:val="21"/>
              </w:rPr>
              <w:t>清晰</w:t>
            </w:r>
            <w:r>
              <w:rPr>
                <w:rFonts w:hint="eastAsia"/>
                <w:szCs w:val="21"/>
              </w:rPr>
              <w:t>。</w:t>
            </w:r>
          </w:p>
          <w:p>
            <w:pPr>
              <w:spacing w:line="276" w:lineRule="auto"/>
              <w:rPr>
                <w:szCs w:val="21"/>
              </w:rPr>
            </w:pPr>
            <w:r>
              <w:rPr>
                <w:rFonts w:hint="eastAsia"/>
                <w:szCs w:val="21"/>
              </w:rPr>
              <w:t>3.</w:t>
            </w:r>
            <w:r>
              <w:rPr>
                <w:szCs w:val="21"/>
              </w:rPr>
              <w:t>解题方法和步骤正确。</w:t>
            </w:r>
          </w:p>
          <w:p>
            <w:pPr>
              <w:spacing w:line="276" w:lineRule="auto"/>
              <w:rPr>
                <w:szCs w:val="21"/>
              </w:rPr>
            </w:pPr>
            <w:r>
              <w:rPr>
                <w:szCs w:val="21"/>
              </w:rPr>
              <w:t>教师批改</w:t>
            </w:r>
            <w:r>
              <w:rPr>
                <w:rFonts w:hint="eastAsia"/>
                <w:szCs w:val="21"/>
              </w:rPr>
              <w:t>和</w:t>
            </w:r>
            <w:r>
              <w:rPr>
                <w:szCs w:val="21"/>
              </w:rPr>
              <w:t>讲评作业要求如下：</w:t>
            </w:r>
          </w:p>
          <w:p>
            <w:pPr>
              <w:spacing w:line="276" w:lineRule="auto"/>
              <w:rPr>
                <w:szCs w:val="21"/>
              </w:rPr>
            </w:pPr>
            <w:r>
              <w:rPr>
                <w:rFonts w:hint="eastAsia"/>
                <w:szCs w:val="21"/>
              </w:rPr>
              <w:t>1.</w:t>
            </w:r>
            <w:r>
              <w:rPr>
                <w:szCs w:val="21"/>
              </w:rPr>
              <w:t>学生的作业要</w:t>
            </w:r>
            <w:r>
              <w:rPr>
                <w:rFonts w:hint="eastAsia"/>
                <w:szCs w:val="21"/>
              </w:rPr>
              <w:t>按时</w:t>
            </w:r>
            <w:r>
              <w:rPr>
                <w:szCs w:val="21"/>
              </w:rPr>
              <w:t>全</w:t>
            </w:r>
            <w:r>
              <w:rPr>
                <w:rFonts w:hint="eastAsia"/>
                <w:szCs w:val="21"/>
              </w:rPr>
              <w:t>部</w:t>
            </w:r>
            <w:r>
              <w:rPr>
                <w:szCs w:val="21"/>
              </w:rPr>
              <w:t>批改，并</w:t>
            </w:r>
            <w:r>
              <w:rPr>
                <w:rFonts w:hint="eastAsia"/>
                <w:szCs w:val="21"/>
              </w:rPr>
              <w:t>及时进行</w:t>
            </w:r>
            <w:r>
              <w:rPr>
                <w:szCs w:val="21"/>
              </w:rPr>
              <w:t>讲评</w:t>
            </w:r>
            <w:r>
              <w:rPr>
                <w:rFonts w:hint="eastAsia"/>
                <w:szCs w:val="21"/>
              </w:rPr>
              <w:t>。</w:t>
            </w:r>
          </w:p>
          <w:p>
            <w:pPr>
              <w:spacing w:line="276" w:lineRule="auto"/>
              <w:rPr>
                <w:szCs w:val="21"/>
              </w:rPr>
            </w:pPr>
            <w:r>
              <w:rPr>
                <w:rFonts w:hint="eastAsia"/>
                <w:szCs w:val="21"/>
              </w:rPr>
              <w:t>2.</w:t>
            </w:r>
            <w:r>
              <w:rPr>
                <w:szCs w:val="21"/>
              </w:rPr>
              <w:t>教师批改</w:t>
            </w:r>
            <w:r>
              <w:rPr>
                <w:rFonts w:hint="eastAsia"/>
                <w:szCs w:val="21"/>
              </w:rPr>
              <w:t>和</w:t>
            </w:r>
            <w:r>
              <w:rPr>
                <w:szCs w:val="21"/>
              </w:rPr>
              <w:t>讲评作业要认真、细致，按百分制评定成绩并写明日期</w:t>
            </w:r>
            <w:r>
              <w:rPr>
                <w:rFonts w:hint="eastAsia"/>
                <w:szCs w:val="21"/>
              </w:rPr>
              <w:t>。</w:t>
            </w:r>
          </w:p>
          <w:p>
            <w:pPr>
              <w:spacing w:line="276" w:lineRule="auto"/>
              <w:rPr>
                <w:szCs w:val="21"/>
              </w:rPr>
            </w:pPr>
            <w:r>
              <w:rPr>
                <w:rFonts w:hint="eastAsia"/>
                <w:szCs w:val="21"/>
              </w:rPr>
              <w:t>3.</w:t>
            </w:r>
            <w:r>
              <w:rPr>
                <w:szCs w:val="21"/>
              </w:rPr>
              <w:t>学生作业的平均成绩</w:t>
            </w:r>
            <w:r>
              <w:rPr>
                <w:rFonts w:hint="eastAsia"/>
                <w:szCs w:val="21"/>
              </w:rPr>
              <w:t>应</w:t>
            </w:r>
            <w:r>
              <w:rPr>
                <w:szCs w:val="21"/>
              </w:rPr>
              <w:t>作为本课程总评成绩中平时成绩的重要组成部分。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jc w:val="center"/>
        </w:trPr>
        <w:tc>
          <w:tcPr>
            <w:tcW w:w="582" w:type="dxa"/>
            <w:vAlign w:val="center"/>
          </w:tcPr>
          <w:p>
            <w:pPr>
              <w:spacing w:line="276" w:lineRule="auto"/>
              <w:jc w:val="center"/>
              <w:rPr>
                <w:szCs w:val="21"/>
              </w:rPr>
            </w:pPr>
            <w:r>
              <w:rPr>
                <w:rFonts w:hint="eastAsia"/>
                <w:szCs w:val="21"/>
              </w:rPr>
              <w:t>4</w:t>
            </w:r>
          </w:p>
        </w:tc>
        <w:tc>
          <w:tcPr>
            <w:tcW w:w="1701" w:type="dxa"/>
            <w:tcMar>
              <w:left w:w="28" w:type="dxa"/>
              <w:right w:w="28" w:type="dxa"/>
            </w:tcMar>
            <w:vAlign w:val="center"/>
          </w:tcPr>
          <w:p>
            <w:pPr>
              <w:spacing w:line="276" w:lineRule="auto"/>
              <w:jc w:val="center"/>
              <w:rPr>
                <w:szCs w:val="21"/>
              </w:rPr>
            </w:pPr>
            <w:r>
              <w:rPr>
                <w:rFonts w:hint="eastAsia"/>
                <w:szCs w:val="21"/>
              </w:rPr>
              <w:t>课内实验</w:t>
            </w:r>
          </w:p>
        </w:tc>
        <w:tc>
          <w:tcPr>
            <w:tcW w:w="6237" w:type="dxa"/>
            <w:vAlign w:val="center"/>
          </w:tcPr>
          <w:p>
            <w:pPr>
              <w:spacing w:line="276" w:lineRule="auto"/>
              <w:rPr>
                <w:szCs w:val="21"/>
              </w:rPr>
            </w:pPr>
            <w:r>
              <w:rPr>
                <w:szCs w:val="21"/>
              </w:rPr>
              <w:t>学生必须完成</w:t>
            </w:r>
            <w:r>
              <w:rPr>
                <w:rFonts w:hint="eastAsia"/>
                <w:szCs w:val="21"/>
              </w:rPr>
              <w:t>规定</w:t>
            </w:r>
            <w:r>
              <w:rPr>
                <w:szCs w:val="21"/>
              </w:rPr>
              <w:t>数量的</w:t>
            </w:r>
            <w:r>
              <w:rPr>
                <w:rFonts w:hint="eastAsia"/>
                <w:szCs w:val="21"/>
              </w:rPr>
              <w:t>课内实验，课内实验</w:t>
            </w:r>
            <w:r>
              <w:rPr>
                <w:szCs w:val="21"/>
              </w:rPr>
              <w:t>必须达到以下基本要求：</w:t>
            </w:r>
          </w:p>
          <w:p>
            <w:pPr>
              <w:spacing w:line="276" w:lineRule="auto"/>
              <w:rPr>
                <w:szCs w:val="21"/>
              </w:rPr>
            </w:pPr>
            <w:r>
              <w:rPr>
                <w:rFonts w:hint="eastAsia"/>
                <w:szCs w:val="21"/>
              </w:rPr>
              <w:t>1.</w:t>
            </w:r>
            <w:r>
              <w:rPr>
                <w:szCs w:val="21"/>
              </w:rPr>
              <w:t>按时按量完成</w:t>
            </w:r>
            <w:r>
              <w:rPr>
                <w:rFonts w:hint="eastAsia"/>
                <w:szCs w:val="21"/>
              </w:rPr>
              <w:t>预习报告和实验报告</w:t>
            </w:r>
            <w:r>
              <w:rPr>
                <w:szCs w:val="21"/>
              </w:rPr>
              <w:t>，不缺交，不抄袭</w:t>
            </w:r>
            <w:r>
              <w:rPr>
                <w:rFonts w:hint="eastAsia"/>
                <w:szCs w:val="21"/>
              </w:rPr>
              <w:t>。</w:t>
            </w:r>
          </w:p>
          <w:p>
            <w:pPr>
              <w:spacing w:line="276" w:lineRule="auto"/>
              <w:rPr>
                <w:szCs w:val="21"/>
              </w:rPr>
            </w:pPr>
            <w:r>
              <w:rPr>
                <w:rFonts w:hint="eastAsia"/>
                <w:szCs w:val="21"/>
              </w:rPr>
              <w:t>2.书写</w:t>
            </w:r>
            <w:r>
              <w:rPr>
                <w:szCs w:val="21"/>
              </w:rPr>
              <w:t>规范</w:t>
            </w:r>
            <w:r>
              <w:rPr>
                <w:rFonts w:hint="eastAsia"/>
                <w:szCs w:val="21"/>
              </w:rPr>
              <w:t>、</w:t>
            </w:r>
            <w:r>
              <w:rPr>
                <w:szCs w:val="21"/>
              </w:rPr>
              <w:t>清晰</w:t>
            </w:r>
            <w:r>
              <w:rPr>
                <w:rFonts w:hint="eastAsia"/>
                <w:szCs w:val="21"/>
              </w:rPr>
              <w:t>。</w:t>
            </w:r>
          </w:p>
          <w:p>
            <w:pPr>
              <w:spacing w:line="276" w:lineRule="auto"/>
              <w:rPr>
                <w:szCs w:val="21"/>
              </w:rPr>
            </w:pPr>
            <w:r>
              <w:rPr>
                <w:rFonts w:hint="eastAsia"/>
                <w:szCs w:val="21"/>
              </w:rPr>
              <w:t>3.实验</w:t>
            </w:r>
            <w:r>
              <w:rPr>
                <w:szCs w:val="21"/>
              </w:rPr>
              <w:t>步骤</w:t>
            </w:r>
            <w:r>
              <w:rPr>
                <w:rFonts w:hint="eastAsia"/>
                <w:szCs w:val="21"/>
              </w:rPr>
              <w:t>、操作和结果处理</w:t>
            </w:r>
            <w:r>
              <w:rPr>
                <w:szCs w:val="21"/>
              </w:rPr>
              <w:t>正确。</w:t>
            </w:r>
          </w:p>
          <w:p>
            <w:pPr>
              <w:spacing w:line="276" w:lineRule="auto"/>
              <w:rPr>
                <w:szCs w:val="21"/>
              </w:rPr>
            </w:pPr>
            <w:r>
              <w:rPr>
                <w:szCs w:val="21"/>
              </w:rPr>
              <w:t>教师批改</w:t>
            </w:r>
            <w:r>
              <w:rPr>
                <w:rFonts w:hint="eastAsia"/>
                <w:szCs w:val="21"/>
              </w:rPr>
              <w:t>和</w:t>
            </w:r>
            <w:r>
              <w:rPr>
                <w:szCs w:val="21"/>
              </w:rPr>
              <w:t>讲评作业要求如下：</w:t>
            </w:r>
          </w:p>
          <w:p>
            <w:pPr>
              <w:spacing w:line="276" w:lineRule="auto"/>
              <w:rPr>
                <w:szCs w:val="21"/>
              </w:rPr>
            </w:pPr>
            <w:r>
              <w:rPr>
                <w:rFonts w:hint="eastAsia"/>
                <w:szCs w:val="21"/>
              </w:rPr>
              <w:t>1.</w:t>
            </w:r>
            <w:r>
              <w:rPr>
                <w:szCs w:val="21"/>
              </w:rPr>
              <w:t>学生的</w:t>
            </w:r>
            <w:r>
              <w:rPr>
                <w:rFonts w:hint="eastAsia"/>
                <w:szCs w:val="21"/>
              </w:rPr>
              <w:t>预习报告和实验</w:t>
            </w:r>
            <w:r>
              <w:rPr>
                <w:szCs w:val="21"/>
              </w:rPr>
              <w:t>要</w:t>
            </w:r>
            <w:r>
              <w:rPr>
                <w:rFonts w:hint="eastAsia"/>
                <w:szCs w:val="21"/>
              </w:rPr>
              <w:t>按时</w:t>
            </w:r>
            <w:r>
              <w:rPr>
                <w:szCs w:val="21"/>
              </w:rPr>
              <w:t>全</w:t>
            </w:r>
            <w:r>
              <w:rPr>
                <w:rFonts w:hint="eastAsia"/>
                <w:szCs w:val="21"/>
              </w:rPr>
              <w:t>部</w:t>
            </w:r>
            <w:r>
              <w:rPr>
                <w:szCs w:val="21"/>
              </w:rPr>
              <w:t>批改，并</w:t>
            </w:r>
            <w:r>
              <w:rPr>
                <w:rFonts w:hint="eastAsia"/>
                <w:szCs w:val="21"/>
              </w:rPr>
              <w:t>及时进行</w:t>
            </w:r>
            <w:r>
              <w:rPr>
                <w:szCs w:val="21"/>
              </w:rPr>
              <w:t>讲评</w:t>
            </w:r>
            <w:r>
              <w:rPr>
                <w:rFonts w:hint="eastAsia"/>
                <w:szCs w:val="21"/>
              </w:rPr>
              <w:t>。</w:t>
            </w:r>
          </w:p>
          <w:p>
            <w:pPr>
              <w:spacing w:line="276" w:lineRule="auto"/>
              <w:rPr>
                <w:szCs w:val="21"/>
              </w:rPr>
            </w:pPr>
            <w:r>
              <w:rPr>
                <w:rFonts w:hint="eastAsia"/>
                <w:szCs w:val="21"/>
              </w:rPr>
              <w:t>2.</w:t>
            </w:r>
            <w:r>
              <w:rPr>
                <w:szCs w:val="21"/>
              </w:rPr>
              <w:t>教师批改</w:t>
            </w:r>
            <w:r>
              <w:rPr>
                <w:rFonts w:hint="eastAsia"/>
                <w:szCs w:val="21"/>
              </w:rPr>
              <w:t>和</w:t>
            </w:r>
            <w:r>
              <w:rPr>
                <w:szCs w:val="21"/>
              </w:rPr>
              <w:t>讲评</w:t>
            </w:r>
            <w:r>
              <w:rPr>
                <w:rFonts w:hint="eastAsia"/>
                <w:szCs w:val="21"/>
              </w:rPr>
              <w:t>预习报告和实验报告</w:t>
            </w:r>
            <w:r>
              <w:rPr>
                <w:szCs w:val="21"/>
              </w:rPr>
              <w:t>要认真、细致，按百分制评定成绩并写明日期</w:t>
            </w:r>
            <w:r>
              <w:rPr>
                <w:rFonts w:hint="eastAsia"/>
                <w:szCs w:val="21"/>
              </w:rPr>
              <w:t>。</w:t>
            </w:r>
          </w:p>
          <w:p>
            <w:pPr>
              <w:spacing w:line="276" w:lineRule="auto"/>
              <w:rPr>
                <w:szCs w:val="21"/>
              </w:rPr>
            </w:pPr>
            <w:r>
              <w:rPr>
                <w:rFonts w:hint="eastAsia"/>
                <w:szCs w:val="21"/>
              </w:rPr>
              <w:t>3.</w:t>
            </w:r>
            <w:r>
              <w:rPr>
                <w:szCs w:val="21"/>
              </w:rPr>
              <w:t>学生</w:t>
            </w:r>
            <w:r>
              <w:rPr>
                <w:rFonts w:hint="eastAsia"/>
                <w:szCs w:val="21"/>
              </w:rPr>
              <w:t>课内实验</w:t>
            </w:r>
            <w:r>
              <w:rPr>
                <w:szCs w:val="21"/>
              </w:rPr>
              <w:t>的平均成绩</w:t>
            </w:r>
            <w:r>
              <w:rPr>
                <w:rFonts w:hint="eastAsia"/>
                <w:szCs w:val="21"/>
              </w:rPr>
              <w:t>应</w:t>
            </w:r>
            <w:r>
              <w:rPr>
                <w:szCs w:val="21"/>
              </w:rPr>
              <w:t>作为本课程总评成绩中</w:t>
            </w:r>
            <w:r>
              <w:rPr>
                <w:rFonts w:hint="eastAsia"/>
                <w:szCs w:val="21"/>
              </w:rPr>
              <w:t>实验</w:t>
            </w:r>
            <w:r>
              <w:rPr>
                <w:szCs w:val="21"/>
              </w:rPr>
              <w:t>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582" w:type="dxa"/>
            <w:vAlign w:val="center"/>
          </w:tcPr>
          <w:p>
            <w:pPr>
              <w:spacing w:line="276" w:lineRule="auto"/>
              <w:jc w:val="center"/>
              <w:rPr>
                <w:szCs w:val="21"/>
              </w:rPr>
            </w:pPr>
            <w:r>
              <w:rPr>
                <w:rFonts w:hint="eastAsia"/>
                <w:szCs w:val="21"/>
              </w:rPr>
              <w:t>5</w:t>
            </w:r>
          </w:p>
        </w:tc>
        <w:tc>
          <w:tcPr>
            <w:tcW w:w="1701" w:type="dxa"/>
            <w:tcMar>
              <w:left w:w="28" w:type="dxa"/>
              <w:right w:w="28" w:type="dxa"/>
            </w:tcMar>
            <w:vAlign w:val="center"/>
          </w:tcPr>
          <w:p>
            <w:pPr>
              <w:spacing w:line="276" w:lineRule="auto"/>
              <w:jc w:val="center"/>
              <w:rPr>
                <w:szCs w:val="21"/>
              </w:rPr>
            </w:pPr>
            <w:r>
              <w:rPr>
                <w:szCs w:val="21"/>
              </w:rPr>
              <w:t>课外答疑</w:t>
            </w:r>
          </w:p>
        </w:tc>
        <w:tc>
          <w:tcPr>
            <w:tcW w:w="6237" w:type="dxa"/>
            <w:vAlign w:val="center"/>
          </w:tcPr>
          <w:p>
            <w:pPr>
              <w:spacing w:line="276" w:lineRule="auto"/>
              <w:rPr>
                <w:szCs w:val="21"/>
              </w:rPr>
            </w:pPr>
            <w:r>
              <w:rPr>
                <w:szCs w:val="21"/>
              </w:rPr>
              <w:t>为了解学生的学习情况，帮助学生</w:t>
            </w:r>
            <w:r>
              <w:rPr>
                <w:rFonts w:hint="eastAsia"/>
                <w:szCs w:val="21"/>
              </w:rPr>
              <w:t>更好地</w:t>
            </w:r>
            <w:r>
              <w:rPr>
                <w:szCs w:val="21"/>
              </w:rPr>
              <w:t>理解和消化所学知识、改进学习方法和思维方式，培养其独立思考问题的能力，</w:t>
            </w:r>
            <w:r>
              <w:rPr>
                <w:rFonts w:hint="eastAsia"/>
                <w:szCs w:val="21"/>
              </w:rPr>
              <w:t>课外答疑方式、时间、地点要跟学生商量共同确定，灵活安排。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582" w:type="dxa"/>
            <w:vAlign w:val="center"/>
          </w:tcPr>
          <w:p>
            <w:pPr>
              <w:spacing w:line="276" w:lineRule="auto"/>
              <w:jc w:val="center"/>
              <w:rPr>
                <w:szCs w:val="21"/>
              </w:rPr>
            </w:pPr>
            <w:r>
              <w:rPr>
                <w:rFonts w:hint="eastAsia"/>
                <w:szCs w:val="21"/>
              </w:rPr>
              <w:t>6</w:t>
            </w:r>
          </w:p>
        </w:tc>
        <w:tc>
          <w:tcPr>
            <w:tcW w:w="1701" w:type="dxa"/>
            <w:tcMar>
              <w:left w:w="28" w:type="dxa"/>
              <w:right w:w="28" w:type="dxa"/>
            </w:tcMar>
            <w:vAlign w:val="center"/>
          </w:tcPr>
          <w:p>
            <w:pPr>
              <w:spacing w:line="276" w:lineRule="auto"/>
              <w:jc w:val="center"/>
              <w:rPr>
                <w:szCs w:val="21"/>
              </w:rPr>
            </w:pPr>
            <w:r>
              <w:rPr>
                <w:szCs w:val="21"/>
              </w:rPr>
              <w:t>成绩考核</w:t>
            </w:r>
          </w:p>
        </w:tc>
        <w:tc>
          <w:tcPr>
            <w:tcW w:w="6237" w:type="dxa"/>
            <w:vAlign w:val="center"/>
          </w:tcPr>
          <w:p>
            <w:pPr>
              <w:spacing w:line="276" w:lineRule="auto"/>
              <w:rPr>
                <w:szCs w:val="21"/>
              </w:rPr>
            </w:pPr>
            <w:r>
              <w:rPr>
                <w:szCs w:val="21"/>
              </w:rPr>
              <w:t>本课程考核的方式</w:t>
            </w:r>
            <w:r>
              <w:rPr>
                <w:rFonts w:hint="eastAsia"/>
                <w:szCs w:val="21"/>
              </w:rPr>
              <w:t>为闭卷笔试</w:t>
            </w:r>
            <w:r>
              <w:rPr>
                <w:szCs w:val="21"/>
              </w:rPr>
              <w:t>。考试监考</w:t>
            </w:r>
            <w:r>
              <w:rPr>
                <w:rFonts w:hint="eastAsia"/>
                <w:szCs w:val="21"/>
              </w:rPr>
              <w:t>由学院</w:t>
            </w:r>
            <w:r>
              <w:rPr>
                <w:szCs w:val="21"/>
              </w:rPr>
              <w:t>统一安排。有下列情况之一者，总评成绩为不及格：</w:t>
            </w:r>
          </w:p>
          <w:p>
            <w:pPr>
              <w:spacing w:line="276" w:lineRule="auto"/>
              <w:rPr>
                <w:szCs w:val="21"/>
              </w:rPr>
            </w:pPr>
            <w:r>
              <w:rPr>
                <w:rFonts w:hint="eastAsia"/>
                <w:szCs w:val="21"/>
              </w:rPr>
              <w:t>1.</w:t>
            </w:r>
            <w:r>
              <w:rPr>
                <w:szCs w:val="21"/>
              </w:rPr>
              <w:t>缺交作业次数达1/3以上者</w:t>
            </w:r>
            <w:r>
              <w:rPr>
                <w:rFonts w:hint="eastAsia"/>
                <w:szCs w:val="21"/>
              </w:rPr>
              <w:t>。</w:t>
            </w:r>
          </w:p>
          <w:p>
            <w:pPr>
              <w:spacing w:line="276" w:lineRule="auto"/>
              <w:rPr>
                <w:szCs w:val="21"/>
              </w:rPr>
            </w:pPr>
            <w:r>
              <w:rPr>
                <w:rFonts w:hint="eastAsia"/>
                <w:szCs w:val="21"/>
              </w:rPr>
              <w:t>2.</w:t>
            </w:r>
            <w:r>
              <w:rPr>
                <w:szCs w:val="21"/>
              </w:rPr>
              <w:t>缺课次数达本学期总授课学时的1/3以上者</w:t>
            </w:r>
            <w:r>
              <w:rPr>
                <w:rFonts w:hint="eastAsia"/>
                <w:szCs w:val="21"/>
              </w:rPr>
              <w:t>。</w:t>
            </w:r>
          </w:p>
          <w:p>
            <w:pPr>
              <w:spacing w:line="276" w:lineRule="auto"/>
              <w:rPr>
                <w:szCs w:val="21"/>
              </w:rPr>
            </w:pPr>
            <w:r>
              <w:rPr>
                <w:rFonts w:hint="eastAsia"/>
                <w:szCs w:val="21"/>
              </w:rPr>
              <w:t>3.实验考核不及格。</w:t>
            </w:r>
          </w:p>
        </w:tc>
      </w:tr>
    </w:tbl>
    <w:p>
      <w:pPr>
        <w:spacing w:line="360" w:lineRule="auto"/>
        <w:rPr>
          <w:b/>
          <w:sz w:val="28"/>
          <w:szCs w:val="28"/>
        </w:rPr>
      </w:pPr>
      <w:r>
        <w:rPr>
          <w:rFonts w:hint="eastAsia"/>
          <w:b/>
          <w:sz w:val="28"/>
          <w:szCs w:val="28"/>
        </w:rPr>
        <w:t>五、课程</w:t>
      </w:r>
      <w:r>
        <w:rPr>
          <w:b/>
          <w:sz w:val="28"/>
          <w:szCs w:val="28"/>
        </w:rPr>
        <w:t>考核</w:t>
      </w:r>
    </w:p>
    <w:p>
      <w:pPr>
        <w:spacing w:line="360" w:lineRule="auto"/>
        <w:ind w:firstLine="480" w:firstLineChars="200"/>
        <w:rPr>
          <w:sz w:val="24"/>
        </w:rPr>
      </w:pPr>
      <w:r>
        <w:rPr>
          <w:rFonts w:hint="eastAsia"/>
          <w:sz w:val="24"/>
        </w:rPr>
        <w:t>（一）</w:t>
      </w:r>
      <w:r>
        <w:rPr>
          <w:sz w:val="24"/>
        </w:rPr>
        <w:t>课程考核包括期末考试、作业</w:t>
      </w:r>
      <w:r>
        <w:rPr>
          <w:rFonts w:hint="eastAsia"/>
          <w:sz w:val="24"/>
        </w:rPr>
        <w:t>、平时测验</w:t>
      </w:r>
      <w:r>
        <w:rPr>
          <w:sz w:val="24"/>
        </w:rPr>
        <w:t>考核和实验</w:t>
      </w:r>
      <w:r>
        <w:rPr>
          <w:rFonts w:hint="eastAsia"/>
          <w:sz w:val="24"/>
        </w:rPr>
        <w:t>（实践）</w:t>
      </w:r>
      <w:r>
        <w:rPr>
          <w:sz w:val="24"/>
        </w:rPr>
        <w:t>考核</w:t>
      </w:r>
      <w:r>
        <w:rPr>
          <w:rFonts w:hint="eastAsia"/>
          <w:sz w:val="24"/>
        </w:rPr>
        <w:t>等</w:t>
      </w:r>
      <w:r>
        <w:rPr>
          <w:sz w:val="24"/>
        </w:rPr>
        <w:t>，期</w:t>
      </w:r>
      <w:r>
        <w:rPr>
          <w:rFonts w:hint="eastAsia"/>
          <w:sz w:val="24"/>
        </w:rPr>
        <w:t>末</w:t>
      </w:r>
      <w:r>
        <w:rPr>
          <w:sz w:val="24"/>
        </w:rPr>
        <w:t>考试采用</w:t>
      </w:r>
      <w:r>
        <w:rPr>
          <w:rFonts w:hint="eastAsia"/>
          <w:sz w:val="24"/>
        </w:rPr>
        <w:t>开</w:t>
      </w:r>
      <w:r>
        <w:rPr>
          <w:sz w:val="24"/>
        </w:rPr>
        <w:t>卷</w:t>
      </w:r>
      <w:r>
        <w:rPr>
          <w:rFonts w:hint="eastAsia"/>
          <w:sz w:val="24"/>
        </w:rPr>
        <w:t>考试方式</w:t>
      </w:r>
      <w:r>
        <w:rPr>
          <w:sz w:val="24"/>
        </w:rPr>
        <w:t>。</w:t>
      </w:r>
    </w:p>
    <w:p>
      <w:pPr>
        <w:spacing w:line="360" w:lineRule="auto"/>
        <w:ind w:firstLine="480" w:firstLineChars="200"/>
        <w:rPr>
          <w:sz w:val="24"/>
        </w:rPr>
      </w:pPr>
      <w:r>
        <w:rPr>
          <w:rFonts w:hint="eastAsia"/>
          <w:sz w:val="24"/>
        </w:rPr>
        <w:t>（二）</w:t>
      </w:r>
      <w:r>
        <w:rPr>
          <w:sz w:val="24"/>
        </w:rPr>
        <w:t>课程</w:t>
      </w:r>
      <w:r>
        <w:rPr>
          <w:rFonts w:hint="eastAsia"/>
          <w:sz w:val="24"/>
        </w:rPr>
        <w:t>总评</w:t>
      </w:r>
      <w:r>
        <w:rPr>
          <w:sz w:val="24"/>
        </w:rPr>
        <w:t>成绩=平时成绩×</w:t>
      </w:r>
      <w:r>
        <w:rPr>
          <w:rFonts w:hint="eastAsia"/>
          <w:sz w:val="24"/>
        </w:rPr>
        <w:t>10</w:t>
      </w:r>
      <w:r>
        <w:rPr>
          <w:sz w:val="24"/>
        </w:rPr>
        <w:t>% +</w:t>
      </w:r>
      <w:r>
        <w:rPr>
          <w:rFonts w:hint="eastAsia"/>
          <w:sz w:val="24"/>
        </w:rPr>
        <w:t>作业</w:t>
      </w:r>
      <w:r>
        <w:rPr>
          <w:sz w:val="24"/>
        </w:rPr>
        <w:t>×</w:t>
      </w:r>
      <w:r>
        <w:rPr>
          <w:rFonts w:hint="eastAsia"/>
          <w:sz w:val="24"/>
        </w:rPr>
        <w:t>10</w:t>
      </w:r>
      <w:r>
        <w:rPr>
          <w:sz w:val="24"/>
        </w:rPr>
        <w:t xml:space="preserve">% </w:t>
      </w:r>
      <w:r>
        <w:rPr>
          <w:rFonts w:hint="eastAsia"/>
          <w:sz w:val="24"/>
        </w:rPr>
        <w:t>+平时测验</w:t>
      </w:r>
      <w:r>
        <w:rPr>
          <w:sz w:val="24"/>
        </w:rPr>
        <w:t>×</w:t>
      </w:r>
      <w:r>
        <w:rPr>
          <w:rFonts w:hint="eastAsia"/>
          <w:sz w:val="24"/>
        </w:rPr>
        <w:t>10</w:t>
      </w:r>
      <w:r>
        <w:rPr>
          <w:sz w:val="24"/>
        </w:rPr>
        <w:t>%</w:t>
      </w:r>
      <w:r>
        <w:rPr>
          <w:rFonts w:hint="eastAsia"/>
          <w:sz w:val="24"/>
        </w:rPr>
        <w:t>+课内</w:t>
      </w:r>
      <w:r>
        <w:rPr>
          <w:sz w:val="24"/>
        </w:rPr>
        <w:t>实验×</w:t>
      </w:r>
      <w:r>
        <w:rPr>
          <w:rFonts w:hint="eastAsia"/>
          <w:sz w:val="24"/>
        </w:rPr>
        <w:t>30</w:t>
      </w:r>
      <w:r>
        <w:rPr>
          <w:sz w:val="24"/>
        </w:rPr>
        <w:t>%+期末考试成绩×</w:t>
      </w:r>
      <w:r>
        <w:rPr>
          <w:rFonts w:hint="eastAsia"/>
          <w:sz w:val="24"/>
        </w:rPr>
        <w:t>40</w:t>
      </w:r>
      <w:r>
        <w:rPr>
          <w:sz w:val="24"/>
        </w:rPr>
        <w:t>%。具体内容和比例</w:t>
      </w:r>
      <w:r>
        <w:rPr>
          <w:rFonts w:hint="eastAsia"/>
          <w:sz w:val="24"/>
        </w:rPr>
        <w:t>如表所示。</w:t>
      </w:r>
    </w:p>
    <w:tbl>
      <w:tblPr>
        <w:tblStyle w:val="10"/>
        <w:tblpPr w:leftFromText="180" w:rightFromText="180" w:vertAnchor="text" w:horzAnchor="margin" w:tblpXSpec="center" w:tblpY="244"/>
        <w:tblW w:w="91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715"/>
        <w:gridCol w:w="1560"/>
        <w:gridCol w:w="3260"/>
        <w:gridCol w:w="638"/>
        <w:gridCol w:w="638"/>
        <w:gridCol w:w="638"/>
        <w:gridCol w:w="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vMerge w:val="restart"/>
            <w:shd w:val="clear" w:color="auto" w:fill="FFFFFF"/>
            <w:tcMar>
              <w:left w:w="57" w:type="dxa"/>
              <w:right w:w="57" w:type="dxa"/>
            </w:tcMar>
            <w:vAlign w:val="center"/>
          </w:tcPr>
          <w:p>
            <w:pPr>
              <w:pStyle w:val="14"/>
              <w:jc w:val="center"/>
              <w:rPr>
                <w:rFonts w:eastAsia="宋体"/>
              </w:rPr>
            </w:pPr>
            <w:r>
              <w:rPr>
                <w:rFonts w:hint="eastAsia" w:eastAsia="宋体"/>
              </w:rPr>
              <w:t>考核环节</w:t>
            </w:r>
          </w:p>
        </w:tc>
        <w:tc>
          <w:tcPr>
            <w:tcW w:w="715" w:type="dxa"/>
            <w:vMerge w:val="restart"/>
            <w:shd w:val="clear" w:color="auto" w:fill="FFFFFF"/>
            <w:vAlign w:val="center"/>
          </w:tcPr>
          <w:p>
            <w:pPr>
              <w:pStyle w:val="14"/>
              <w:jc w:val="center"/>
              <w:rPr>
                <w:rFonts w:eastAsia="宋体"/>
              </w:rPr>
            </w:pPr>
            <w:r>
              <w:rPr>
                <w:rFonts w:hint="eastAsia" w:eastAsia="宋体"/>
              </w:rPr>
              <w:t>成绩比例</w:t>
            </w:r>
          </w:p>
        </w:tc>
        <w:tc>
          <w:tcPr>
            <w:tcW w:w="4820" w:type="dxa"/>
            <w:gridSpan w:val="2"/>
            <w:vMerge w:val="restart"/>
            <w:shd w:val="clear" w:color="auto" w:fill="FFFFFF"/>
            <w:vAlign w:val="center"/>
          </w:tcPr>
          <w:p>
            <w:pPr>
              <w:pStyle w:val="14"/>
              <w:jc w:val="center"/>
              <w:rPr>
                <w:rFonts w:eastAsia="宋体"/>
              </w:rPr>
            </w:pPr>
            <w:r>
              <w:rPr>
                <w:rFonts w:eastAsia="宋体"/>
              </w:rPr>
              <w:t>考核</w:t>
            </w:r>
            <w:r>
              <w:rPr>
                <w:rFonts w:hint="eastAsia" w:eastAsia="宋体"/>
              </w:rPr>
              <w:t>内容与</w:t>
            </w:r>
            <w:r>
              <w:rPr>
                <w:rFonts w:eastAsia="宋体"/>
              </w:rPr>
              <w:t>评价细则</w:t>
            </w:r>
          </w:p>
        </w:tc>
        <w:tc>
          <w:tcPr>
            <w:tcW w:w="2552" w:type="dxa"/>
            <w:gridSpan w:val="4"/>
            <w:shd w:val="clear" w:color="auto" w:fill="FFFFFF"/>
            <w:vAlign w:val="center"/>
          </w:tcPr>
          <w:p>
            <w:pPr>
              <w:pStyle w:val="14"/>
              <w:jc w:val="center"/>
              <w:rPr>
                <w:rFonts w:eastAsia="宋体"/>
              </w:rPr>
            </w:pPr>
            <w:r>
              <w:rPr>
                <w:rFonts w:hint="eastAsia" w:eastAsia="宋体"/>
              </w:rPr>
              <w:t>支撑目标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vMerge w:val="continue"/>
            <w:shd w:val="clear" w:color="auto" w:fill="FFFFFF"/>
            <w:tcMar>
              <w:left w:w="57" w:type="dxa"/>
              <w:right w:w="57" w:type="dxa"/>
            </w:tcMar>
            <w:vAlign w:val="center"/>
          </w:tcPr>
          <w:p>
            <w:pPr>
              <w:pStyle w:val="14"/>
              <w:jc w:val="center"/>
              <w:rPr>
                <w:rFonts w:eastAsia="宋体"/>
              </w:rPr>
            </w:pPr>
          </w:p>
        </w:tc>
        <w:tc>
          <w:tcPr>
            <w:tcW w:w="715" w:type="dxa"/>
            <w:vMerge w:val="continue"/>
            <w:shd w:val="clear" w:color="auto" w:fill="FFFFFF"/>
            <w:vAlign w:val="center"/>
          </w:tcPr>
          <w:p>
            <w:pPr>
              <w:pStyle w:val="14"/>
              <w:jc w:val="center"/>
              <w:rPr>
                <w:rFonts w:eastAsia="宋体"/>
              </w:rPr>
            </w:pPr>
          </w:p>
        </w:tc>
        <w:tc>
          <w:tcPr>
            <w:tcW w:w="4820" w:type="dxa"/>
            <w:gridSpan w:val="2"/>
            <w:vMerge w:val="continue"/>
            <w:shd w:val="clear" w:color="auto" w:fill="FFFFFF"/>
            <w:vAlign w:val="center"/>
          </w:tcPr>
          <w:p>
            <w:pPr>
              <w:pStyle w:val="14"/>
              <w:jc w:val="center"/>
              <w:rPr>
                <w:rFonts w:eastAsia="宋体"/>
              </w:rPr>
            </w:pPr>
          </w:p>
        </w:tc>
        <w:tc>
          <w:tcPr>
            <w:tcW w:w="638" w:type="dxa"/>
            <w:shd w:val="clear" w:color="auto" w:fill="FFFFFF"/>
            <w:vAlign w:val="center"/>
          </w:tcPr>
          <w:p>
            <w:pPr>
              <w:pStyle w:val="14"/>
              <w:jc w:val="center"/>
              <w:rPr>
                <w:rFonts w:eastAsia="宋体"/>
              </w:rPr>
            </w:pPr>
            <w:r>
              <w:rPr>
                <w:rFonts w:hint="eastAsia" w:eastAsia="宋体"/>
              </w:rPr>
              <w:t>目标1</w:t>
            </w:r>
          </w:p>
        </w:tc>
        <w:tc>
          <w:tcPr>
            <w:tcW w:w="638" w:type="dxa"/>
            <w:shd w:val="clear" w:color="auto" w:fill="FFFFFF"/>
            <w:vAlign w:val="center"/>
          </w:tcPr>
          <w:p>
            <w:pPr>
              <w:pStyle w:val="14"/>
              <w:jc w:val="center"/>
              <w:rPr>
                <w:rFonts w:eastAsia="宋体"/>
              </w:rPr>
            </w:pPr>
            <w:r>
              <w:rPr>
                <w:rFonts w:hint="eastAsia" w:eastAsia="宋体"/>
              </w:rPr>
              <w:t>目标2</w:t>
            </w:r>
          </w:p>
        </w:tc>
        <w:tc>
          <w:tcPr>
            <w:tcW w:w="638" w:type="dxa"/>
            <w:shd w:val="clear" w:color="auto" w:fill="FFFFFF"/>
            <w:vAlign w:val="center"/>
          </w:tcPr>
          <w:p>
            <w:pPr>
              <w:pStyle w:val="14"/>
              <w:jc w:val="center"/>
              <w:rPr>
                <w:rFonts w:eastAsia="宋体"/>
              </w:rPr>
            </w:pPr>
          </w:p>
        </w:tc>
        <w:tc>
          <w:tcPr>
            <w:tcW w:w="638" w:type="dxa"/>
            <w:shd w:val="clear" w:color="auto" w:fill="FFFFFF"/>
            <w:vAlign w:val="center"/>
          </w:tcPr>
          <w:p>
            <w:pPr>
              <w:pStyle w:val="14"/>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shd w:val="clear" w:color="auto" w:fill="FFFFFF"/>
            <w:tcMar>
              <w:left w:w="57" w:type="dxa"/>
              <w:right w:w="57" w:type="dxa"/>
            </w:tcMar>
            <w:vAlign w:val="center"/>
          </w:tcPr>
          <w:p>
            <w:pPr>
              <w:pStyle w:val="14"/>
              <w:jc w:val="center"/>
              <w:rPr>
                <w:rFonts w:eastAsia="宋体"/>
              </w:rPr>
            </w:pPr>
            <w:r>
              <w:rPr>
                <w:rFonts w:hint="eastAsia" w:eastAsia="宋体"/>
              </w:rPr>
              <w:t>平时表现</w:t>
            </w:r>
          </w:p>
        </w:tc>
        <w:tc>
          <w:tcPr>
            <w:tcW w:w="715" w:type="dxa"/>
            <w:shd w:val="clear" w:color="auto" w:fill="FFFFFF"/>
            <w:vAlign w:val="center"/>
          </w:tcPr>
          <w:p>
            <w:pPr>
              <w:pStyle w:val="14"/>
              <w:jc w:val="center"/>
              <w:rPr>
                <w:rFonts w:eastAsia="宋体"/>
              </w:rPr>
            </w:pPr>
            <w:r>
              <w:rPr>
                <w:rFonts w:hint="eastAsia" w:eastAsia="宋体"/>
              </w:rPr>
              <w:t>10%</w:t>
            </w:r>
          </w:p>
        </w:tc>
        <w:tc>
          <w:tcPr>
            <w:tcW w:w="4820" w:type="dxa"/>
            <w:gridSpan w:val="2"/>
            <w:shd w:val="clear" w:color="auto" w:fill="FFFFFF"/>
            <w:vAlign w:val="center"/>
          </w:tcPr>
          <w:p>
            <w:pPr>
              <w:pStyle w:val="14"/>
              <w:rPr>
                <w:rFonts w:eastAsia="宋体"/>
              </w:rPr>
            </w:pPr>
            <w:r>
              <w:rPr>
                <w:rFonts w:hint="eastAsia" w:eastAsia="宋体"/>
              </w:rPr>
              <w:t>课堂不定期点名，考核能否按时到勤，对于旷课、迟到和早退者适当扣分，根据平时课堂笔记、课堂回答问题等情况确定平时表现分数。</w:t>
            </w:r>
          </w:p>
        </w:tc>
        <w:tc>
          <w:tcPr>
            <w:tcW w:w="638" w:type="dxa"/>
            <w:shd w:val="clear" w:color="auto" w:fill="FFFFFF"/>
            <w:vAlign w:val="center"/>
          </w:tcPr>
          <w:p>
            <w:pPr>
              <w:pStyle w:val="14"/>
              <w:jc w:val="center"/>
              <w:rPr>
                <w:rFonts w:eastAsia="宋体"/>
                <w:highlight w:val="yellow"/>
              </w:rPr>
            </w:pPr>
            <w:r>
              <w:rPr>
                <w:rFonts w:hint="eastAsia" w:eastAsia="宋体"/>
              </w:rPr>
              <w:t>5%</w:t>
            </w:r>
          </w:p>
        </w:tc>
        <w:tc>
          <w:tcPr>
            <w:tcW w:w="638" w:type="dxa"/>
            <w:shd w:val="clear" w:color="auto" w:fill="FFFFFF"/>
            <w:vAlign w:val="center"/>
          </w:tcPr>
          <w:p>
            <w:pPr>
              <w:pStyle w:val="14"/>
              <w:jc w:val="center"/>
              <w:rPr>
                <w:rFonts w:eastAsia="宋体"/>
                <w:highlight w:val="yellow"/>
              </w:rPr>
            </w:pPr>
            <w:r>
              <w:rPr>
                <w:rFonts w:hint="eastAsia" w:eastAsia="宋体"/>
              </w:rPr>
              <w:t>5%</w:t>
            </w:r>
          </w:p>
        </w:tc>
        <w:tc>
          <w:tcPr>
            <w:tcW w:w="638" w:type="dxa"/>
            <w:shd w:val="clear" w:color="auto" w:fill="FFFFFF"/>
            <w:vAlign w:val="center"/>
          </w:tcPr>
          <w:p>
            <w:pPr>
              <w:pStyle w:val="14"/>
              <w:jc w:val="center"/>
              <w:rPr>
                <w:rFonts w:eastAsia="宋体"/>
              </w:rPr>
            </w:pPr>
          </w:p>
        </w:tc>
        <w:tc>
          <w:tcPr>
            <w:tcW w:w="638" w:type="dxa"/>
            <w:shd w:val="clear" w:color="auto" w:fill="FFFFFF"/>
            <w:vAlign w:val="center"/>
          </w:tcPr>
          <w:p>
            <w:pPr>
              <w:pStyle w:val="14"/>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shd w:val="clear" w:color="auto" w:fill="FFFFFF"/>
            <w:tcMar>
              <w:left w:w="57" w:type="dxa"/>
              <w:right w:w="57" w:type="dxa"/>
            </w:tcMar>
            <w:vAlign w:val="center"/>
          </w:tcPr>
          <w:p>
            <w:pPr>
              <w:pStyle w:val="14"/>
              <w:jc w:val="center"/>
              <w:rPr>
                <w:rFonts w:eastAsia="宋体"/>
              </w:rPr>
            </w:pPr>
            <w:r>
              <w:rPr>
                <w:rFonts w:eastAsia="宋体"/>
              </w:rPr>
              <w:t>作</w:t>
            </w:r>
            <w:r>
              <w:rPr>
                <w:rFonts w:hint="eastAsia" w:eastAsia="宋体"/>
              </w:rPr>
              <w:t xml:space="preserve">    </w:t>
            </w:r>
            <w:r>
              <w:rPr>
                <w:rFonts w:eastAsia="宋体"/>
              </w:rPr>
              <w:t>业</w:t>
            </w:r>
          </w:p>
        </w:tc>
        <w:tc>
          <w:tcPr>
            <w:tcW w:w="715" w:type="dxa"/>
            <w:shd w:val="clear" w:color="auto" w:fill="FFFFFF"/>
            <w:vAlign w:val="center"/>
          </w:tcPr>
          <w:p>
            <w:pPr>
              <w:pStyle w:val="14"/>
              <w:jc w:val="center"/>
              <w:rPr>
                <w:rFonts w:eastAsia="宋体"/>
              </w:rPr>
            </w:pPr>
            <w:r>
              <w:rPr>
                <w:rFonts w:hint="eastAsia" w:eastAsia="宋体"/>
              </w:rPr>
              <w:t>10</w:t>
            </w:r>
            <w:r>
              <w:rPr>
                <w:rFonts w:eastAsia="宋体"/>
              </w:rPr>
              <w:t>%</w:t>
            </w:r>
          </w:p>
        </w:tc>
        <w:tc>
          <w:tcPr>
            <w:tcW w:w="4820" w:type="dxa"/>
            <w:gridSpan w:val="2"/>
            <w:shd w:val="clear" w:color="auto" w:fill="FFFFFF"/>
            <w:vAlign w:val="center"/>
          </w:tcPr>
          <w:p>
            <w:pPr>
              <w:pStyle w:val="14"/>
              <w:rPr>
                <w:rFonts w:eastAsia="宋体"/>
              </w:rPr>
            </w:pPr>
            <w:r>
              <w:rPr>
                <w:rFonts w:hint="eastAsia" w:eastAsia="宋体"/>
                <w:szCs w:val="21"/>
              </w:rPr>
              <w:t>重点章节对应有思考题和习题，考核学生对每节课知识点的复习、理解和掌握度。对每次作业完成情况做记录并百分制打分。</w:t>
            </w:r>
          </w:p>
        </w:tc>
        <w:tc>
          <w:tcPr>
            <w:tcW w:w="638" w:type="dxa"/>
            <w:shd w:val="clear" w:color="auto" w:fill="FFFFFF"/>
            <w:vAlign w:val="center"/>
          </w:tcPr>
          <w:p>
            <w:pPr>
              <w:pStyle w:val="14"/>
              <w:jc w:val="center"/>
              <w:rPr>
                <w:rFonts w:eastAsia="宋体"/>
              </w:rPr>
            </w:pPr>
            <w:r>
              <w:rPr>
                <w:rFonts w:hint="eastAsia" w:eastAsia="宋体"/>
                <w:color w:val="000000"/>
                <w:szCs w:val="21"/>
              </w:rPr>
              <w:t>5%</w:t>
            </w:r>
          </w:p>
        </w:tc>
        <w:tc>
          <w:tcPr>
            <w:tcW w:w="638" w:type="dxa"/>
            <w:shd w:val="clear" w:color="auto" w:fill="FFFFFF"/>
            <w:vAlign w:val="center"/>
          </w:tcPr>
          <w:p>
            <w:pPr>
              <w:pStyle w:val="14"/>
              <w:jc w:val="center"/>
              <w:rPr>
                <w:rFonts w:eastAsia="宋体"/>
              </w:rPr>
            </w:pPr>
            <w:r>
              <w:rPr>
                <w:rFonts w:hint="eastAsia" w:eastAsia="宋体"/>
                <w:color w:val="000000"/>
                <w:szCs w:val="21"/>
              </w:rPr>
              <w:t>5%</w:t>
            </w:r>
          </w:p>
        </w:tc>
        <w:tc>
          <w:tcPr>
            <w:tcW w:w="638" w:type="dxa"/>
            <w:shd w:val="clear" w:color="auto" w:fill="FFFFFF"/>
            <w:vAlign w:val="center"/>
          </w:tcPr>
          <w:p>
            <w:pPr>
              <w:pStyle w:val="14"/>
              <w:jc w:val="center"/>
              <w:rPr>
                <w:rFonts w:eastAsia="宋体"/>
              </w:rPr>
            </w:pPr>
          </w:p>
        </w:tc>
        <w:tc>
          <w:tcPr>
            <w:tcW w:w="638" w:type="dxa"/>
            <w:shd w:val="clear" w:color="auto" w:fill="FFFFFF"/>
            <w:vAlign w:val="center"/>
          </w:tcPr>
          <w:p>
            <w:pPr>
              <w:pStyle w:val="14"/>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043" w:type="dxa"/>
            <w:shd w:val="clear" w:color="auto" w:fill="auto"/>
            <w:tcMar>
              <w:left w:w="57" w:type="dxa"/>
              <w:right w:w="57" w:type="dxa"/>
            </w:tcMar>
            <w:vAlign w:val="center"/>
          </w:tcPr>
          <w:p>
            <w:pPr>
              <w:pStyle w:val="14"/>
              <w:jc w:val="center"/>
              <w:rPr>
                <w:rFonts w:eastAsia="宋体"/>
              </w:rPr>
            </w:pPr>
            <w:r>
              <w:rPr>
                <w:rFonts w:hint="eastAsia" w:eastAsia="宋体"/>
              </w:rPr>
              <w:t>测    验</w:t>
            </w:r>
          </w:p>
        </w:tc>
        <w:tc>
          <w:tcPr>
            <w:tcW w:w="715" w:type="dxa"/>
            <w:shd w:val="clear" w:color="auto" w:fill="auto"/>
            <w:vAlign w:val="center"/>
          </w:tcPr>
          <w:p>
            <w:pPr>
              <w:pStyle w:val="14"/>
              <w:jc w:val="center"/>
              <w:rPr>
                <w:rFonts w:eastAsia="宋体"/>
              </w:rPr>
            </w:pPr>
            <w:r>
              <w:rPr>
                <w:rFonts w:hint="eastAsia" w:eastAsia="宋体"/>
              </w:rPr>
              <w:t>10%</w:t>
            </w:r>
          </w:p>
        </w:tc>
        <w:tc>
          <w:tcPr>
            <w:tcW w:w="4820" w:type="dxa"/>
            <w:gridSpan w:val="2"/>
            <w:shd w:val="clear" w:color="auto" w:fill="auto"/>
            <w:vAlign w:val="center"/>
          </w:tcPr>
          <w:p>
            <w:pPr>
              <w:pStyle w:val="14"/>
              <w:rPr>
                <w:rFonts w:eastAsia="宋体"/>
                <w:szCs w:val="21"/>
              </w:rPr>
            </w:pPr>
            <w:r>
              <w:rPr>
                <w:rFonts w:hint="eastAsia" w:eastAsia="宋体"/>
                <w:color w:val="000000"/>
                <w:szCs w:val="21"/>
              </w:rPr>
              <w:t>网络课堂测验，考察学生对教学内容的掌握情况，以课堂测试的形式进行。</w:t>
            </w:r>
          </w:p>
        </w:tc>
        <w:tc>
          <w:tcPr>
            <w:tcW w:w="638" w:type="dxa"/>
            <w:shd w:val="clear" w:color="auto" w:fill="FFFFFF"/>
            <w:vAlign w:val="center"/>
          </w:tcPr>
          <w:p>
            <w:pPr>
              <w:jc w:val="center"/>
              <w:rPr>
                <w:color w:val="000000"/>
                <w:szCs w:val="21"/>
              </w:rPr>
            </w:pPr>
            <w:r>
              <w:rPr>
                <w:rFonts w:hint="eastAsia"/>
                <w:color w:val="000000"/>
                <w:szCs w:val="21"/>
              </w:rPr>
              <w:t>5%</w:t>
            </w:r>
          </w:p>
        </w:tc>
        <w:tc>
          <w:tcPr>
            <w:tcW w:w="638" w:type="dxa"/>
            <w:shd w:val="clear" w:color="auto" w:fill="FFFFFF"/>
            <w:vAlign w:val="center"/>
          </w:tcPr>
          <w:p>
            <w:pPr>
              <w:jc w:val="center"/>
              <w:rPr>
                <w:color w:val="000000"/>
                <w:szCs w:val="21"/>
              </w:rPr>
            </w:pPr>
            <w:r>
              <w:rPr>
                <w:rFonts w:hint="eastAsia"/>
                <w:color w:val="000000"/>
                <w:szCs w:val="21"/>
              </w:rPr>
              <w:t>5%</w:t>
            </w:r>
          </w:p>
        </w:tc>
        <w:tc>
          <w:tcPr>
            <w:tcW w:w="638" w:type="dxa"/>
            <w:shd w:val="clear" w:color="auto" w:fill="FFFFFF"/>
            <w:vAlign w:val="center"/>
          </w:tcPr>
          <w:p>
            <w:pPr>
              <w:pStyle w:val="14"/>
              <w:jc w:val="center"/>
              <w:rPr>
                <w:rFonts w:eastAsia="宋体"/>
                <w:color w:val="000000"/>
                <w:szCs w:val="21"/>
              </w:rPr>
            </w:pPr>
          </w:p>
        </w:tc>
        <w:tc>
          <w:tcPr>
            <w:tcW w:w="638" w:type="dxa"/>
            <w:shd w:val="clear" w:color="auto" w:fill="FFFFFF"/>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 w:type="dxa"/>
            <w:shd w:val="clear" w:color="auto" w:fill="auto"/>
            <w:tcMar>
              <w:left w:w="57" w:type="dxa"/>
              <w:right w:w="57" w:type="dxa"/>
            </w:tcMar>
            <w:vAlign w:val="center"/>
          </w:tcPr>
          <w:p>
            <w:pPr>
              <w:pStyle w:val="14"/>
              <w:jc w:val="center"/>
              <w:rPr>
                <w:rFonts w:eastAsia="宋体"/>
              </w:rPr>
            </w:pPr>
            <w:r>
              <w:rPr>
                <w:rFonts w:hint="eastAsia" w:eastAsia="宋体"/>
              </w:rPr>
              <w:t>课内实验</w:t>
            </w:r>
          </w:p>
        </w:tc>
        <w:tc>
          <w:tcPr>
            <w:tcW w:w="715" w:type="dxa"/>
            <w:shd w:val="clear" w:color="auto" w:fill="auto"/>
            <w:vAlign w:val="center"/>
          </w:tcPr>
          <w:p>
            <w:pPr>
              <w:pStyle w:val="14"/>
              <w:jc w:val="center"/>
              <w:rPr>
                <w:rFonts w:eastAsia="宋体"/>
              </w:rPr>
            </w:pPr>
            <w:r>
              <w:rPr>
                <w:rFonts w:hint="eastAsia" w:eastAsia="宋体"/>
              </w:rPr>
              <w:t>30</w:t>
            </w:r>
            <w:r>
              <w:rPr>
                <w:rFonts w:eastAsia="宋体"/>
              </w:rPr>
              <w:t>%</w:t>
            </w:r>
            <w:r>
              <w:rPr>
                <w:rFonts w:hint="eastAsia" w:eastAsia="宋体"/>
              </w:rPr>
              <w:t xml:space="preserve"> </w:t>
            </w:r>
          </w:p>
        </w:tc>
        <w:tc>
          <w:tcPr>
            <w:tcW w:w="4820" w:type="dxa"/>
            <w:gridSpan w:val="2"/>
            <w:shd w:val="clear" w:color="auto" w:fill="auto"/>
            <w:vAlign w:val="center"/>
          </w:tcPr>
          <w:p>
            <w:pPr>
              <w:pStyle w:val="14"/>
              <w:rPr>
                <w:rFonts w:eastAsia="宋体"/>
                <w:color w:val="000000"/>
                <w:szCs w:val="21"/>
              </w:rPr>
            </w:pPr>
            <w:r>
              <w:rPr>
                <w:rFonts w:eastAsia="宋体"/>
                <w:color w:val="000000"/>
              </w:rPr>
              <w:t>完成</w:t>
            </w:r>
            <w:r>
              <w:rPr>
                <w:rFonts w:hint="eastAsia" w:eastAsia="宋体"/>
                <w:color w:val="000000"/>
              </w:rPr>
              <w:t>8</w:t>
            </w:r>
            <w:r>
              <w:rPr>
                <w:rFonts w:eastAsia="宋体"/>
                <w:color w:val="000000"/>
              </w:rPr>
              <w:t>个实验，主要考核学生</w:t>
            </w:r>
            <w:r>
              <w:rPr>
                <w:rFonts w:hint="eastAsia" w:eastAsia="宋体"/>
                <w:color w:val="000000"/>
              </w:rPr>
              <w:t>仪器分析</w:t>
            </w:r>
            <w:r>
              <w:rPr>
                <w:rFonts w:eastAsia="宋体"/>
                <w:color w:val="000000"/>
              </w:rPr>
              <w:t>基础知识</w:t>
            </w:r>
            <w:r>
              <w:rPr>
                <w:rFonts w:hint="eastAsia" w:eastAsia="宋体"/>
                <w:color w:val="000000"/>
              </w:rPr>
              <w:t>进行</w:t>
            </w:r>
            <w:r>
              <w:rPr>
                <w:rFonts w:eastAsia="宋体"/>
                <w:color w:val="000000"/>
              </w:rPr>
              <w:t>实验，并对实验结果进行分析与评价的能力</w:t>
            </w:r>
            <w:r>
              <w:rPr>
                <w:rFonts w:hint="eastAsia" w:eastAsia="宋体"/>
                <w:color w:val="000000"/>
              </w:rPr>
              <w:t>。每个实验按百分制分别给出预习和实验报告的成绩，平均后得到该实验的成绩。</w:t>
            </w:r>
          </w:p>
        </w:tc>
        <w:tc>
          <w:tcPr>
            <w:tcW w:w="638" w:type="dxa"/>
            <w:shd w:val="clear" w:color="auto" w:fill="FFFFFF"/>
            <w:vAlign w:val="center"/>
          </w:tcPr>
          <w:p>
            <w:pPr>
              <w:jc w:val="center"/>
              <w:rPr>
                <w:color w:val="000000"/>
                <w:szCs w:val="21"/>
              </w:rPr>
            </w:pPr>
            <w:r>
              <w:rPr>
                <w:rFonts w:hint="eastAsia"/>
                <w:color w:val="000000"/>
                <w:szCs w:val="21"/>
              </w:rPr>
              <w:t>15%</w:t>
            </w:r>
          </w:p>
        </w:tc>
        <w:tc>
          <w:tcPr>
            <w:tcW w:w="638" w:type="dxa"/>
            <w:shd w:val="clear" w:color="auto" w:fill="FFFFFF"/>
            <w:vAlign w:val="center"/>
          </w:tcPr>
          <w:p>
            <w:pPr>
              <w:jc w:val="center"/>
              <w:rPr>
                <w:color w:val="000000"/>
                <w:szCs w:val="21"/>
              </w:rPr>
            </w:pPr>
            <w:r>
              <w:rPr>
                <w:rFonts w:hint="eastAsia"/>
                <w:color w:val="000000"/>
                <w:szCs w:val="21"/>
              </w:rPr>
              <w:t>15%</w:t>
            </w:r>
          </w:p>
        </w:tc>
        <w:tc>
          <w:tcPr>
            <w:tcW w:w="638" w:type="dxa"/>
            <w:shd w:val="clear" w:color="auto" w:fill="FFFFFF"/>
            <w:vAlign w:val="center"/>
          </w:tcPr>
          <w:p>
            <w:pPr>
              <w:pStyle w:val="14"/>
              <w:jc w:val="center"/>
              <w:rPr>
                <w:rFonts w:eastAsia="宋体"/>
                <w:color w:val="000000"/>
                <w:szCs w:val="21"/>
              </w:rPr>
            </w:pPr>
          </w:p>
        </w:tc>
        <w:tc>
          <w:tcPr>
            <w:tcW w:w="638" w:type="dxa"/>
            <w:shd w:val="clear" w:color="auto" w:fill="FFFFFF"/>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043" w:type="dxa"/>
            <w:vMerge w:val="restart"/>
            <w:shd w:val="clear" w:color="auto" w:fill="auto"/>
            <w:tcMar>
              <w:left w:w="57" w:type="dxa"/>
              <w:right w:w="57" w:type="dxa"/>
            </w:tcMar>
            <w:vAlign w:val="center"/>
          </w:tcPr>
          <w:p>
            <w:pPr>
              <w:pStyle w:val="14"/>
              <w:jc w:val="center"/>
              <w:rPr>
                <w:rFonts w:eastAsia="宋体"/>
              </w:rPr>
            </w:pPr>
            <w:r>
              <w:rPr>
                <w:rFonts w:eastAsia="宋体"/>
              </w:rPr>
              <w:t>期末</w:t>
            </w:r>
            <w:r>
              <w:rPr>
                <w:rFonts w:hint="eastAsia" w:eastAsia="宋体"/>
              </w:rPr>
              <w:t>试卷</w:t>
            </w:r>
          </w:p>
        </w:tc>
        <w:tc>
          <w:tcPr>
            <w:tcW w:w="715" w:type="dxa"/>
            <w:vMerge w:val="restart"/>
            <w:shd w:val="clear" w:color="auto" w:fill="auto"/>
            <w:vAlign w:val="center"/>
          </w:tcPr>
          <w:p>
            <w:pPr>
              <w:pStyle w:val="14"/>
              <w:jc w:val="center"/>
              <w:rPr>
                <w:rFonts w:eastAsia="宋体"/>
              </w:rPr>
            </w:pPr>
            <w:r>
              <w:rPr>
                <w:rFonts w:hint="eastAsia" w:eastAsia="宋体"/>
              </w:rPr>
              <w:t>40</w:t>
            </w:r>
            <w:r>
              <w:rPr>
                <w:rFonts w:eastAsia="宋体"/>
              </w:rPr>
              <w:t>%</w:t>
            </w:r>
            <w:r>
              <w:rPr>
                <w:rFonts w:hint="eastAsia" w:eastAsia="宋体"/>
              </w:rPr>
              <w:t xml:space="preserve"> </w:t>
            </w:r>
          </w:p>
        </w:tc>
        <w:tc>
          <w:tcPr>
            <w:tcW w:w="1560" w:type="dxa"/>
            <w:tcBorders>
              <w:left w:val="single" w:color="auto" w:sz="4" w:space="0"/>
            </w:tcBorders>
            <w:shd w:val="clear" w:color="auto" w:fill="auto"/>
            <w:vAlign w:val="center"/>
          </w:tcPr>
          <w:p>
            <w:pPr>
              <w:pStyle w:val="14"/>
              <w:jc w:val="center"/>
              <w:rPr>
                <w:rFonts w:eastAsia="宋体"/>
                <w:color w:val="000000"/>
                <w:szCs w:val="21"/>
              </w:rPr>
            </w:pPr>
            <w:r>
              <w:rPr>
                <w:rFonts w:hint="eastAsia" w:eastAsia="宋体"/>
                <w:color w:val="000000"/>
                <w:szCs w:val="21"/>
              </w:rPr>
              <w:t>题型</w:t>
            </w:r>
          </w:p>
        </w:tc>
        <w:tc>
          <w:tcPr>
            <w:tcW w:w="3260" w:type="dxa"/>
            <w:tcBorders>
              <w:left w:val="single" w:color="auto" w:sz="4" w:space="0"/>
            </w:tcBorders>
            <w:shd w:val="clear" w:color="auto" w:fill="auto"/>
            <w:vAlign w:val="center"/>
          </w:tcPr>
          <w:p>
            <w:pPr>
              <w:widowControl/>
              <w:jc w:val="center"/>
            </w:pPr>
            <w:r>
              <w:rPr>
                <w:rFonts w:hint="eastAsia"/>
                <w:color w:val="000000"/>
                <w:szCs w:val="21"/>
              </w:rPr>
              <w:t>考核内容及相应试题</w:t>
            </w:r>
          </w:p>
        </w:tc>
        <w:tc>
          <w:tcPr>
            <w:tcW w:w="2552" w:type="dxa"/>
            <w:gridSpan w:val="4"/>
            <w:tcBorders>
              <w:tl2br w:val="single" w:color="auto" w:sz="4" w:space="0"/>
            </w:tcBorders>
            <w:shd w:val="clear" w:color="auto" w:fill="FFFFFF"/>
          </w:tcPr>
          <w:p>
            <w:pPr>
              <w:pStyle w:val="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tcMar>
              <w:left w:w="57" w:type="dxa"/>
              <w:right w:w="57" w:type="dxa"/>
            </w:tcMar>
            <w:vAlign w:val="center"/>
          </w:tcPr>
          <w:p>
            <w:pPr>
              <w:pStyle w:val="14"/>
              <w:jc w:val="center"/>
              <w:rPr>
                <w:rFonts w:eastAsia="宋体"/>
              </w:rPr>
            </w:pPr>
          </w:p>
        </w:tc>
        <w:tc>
          <w:tcPr>
            <w:tcW w:w="715" w:type="dxa"/>
            <w:vMerge w:val="continue"/>
            <w:shd w:val="clear" w:color="auto" w:fill="auto"/>
            <w:vAlign w:val="center"/>
          </w:tcPr>
          <w:p>
            <w:pPr>
              <w:pStyle w:val="14"/>
              <w:jc w:val="center"/>
              <w:rPr>
                <w:rFonts w:eastAsia="宋体"/>
              </w:rPr>
            </w:pPr>
          </w:p>
        </w:tc>
        <w:tc>
          <w:tcPr>
            <w:tcW w:w="1560" w:type="dxa"/>
            <w:tcBorders>
              <w:left w:val="single" w:color="auto" w:sz="4" w:space="0"/>
            </w:tcBorders>
            <w:shd w:val="clear" w:color="auto" w:fill="auto"/>
            <w:vAlign w:val="center"/>
          </w:tcPr>
          <w:p>
            <w:pPr>
              <w:pStyle w:val="14"/>
              <w:jc w:val="center"/>
              <w:rPr>
                <w:rFonts w:eastAsia="宋体"/>
                <w:color w:val="000000"/>
                <w:szCs w:val="21"/>
              </w:rPr>
            </w:pPr>
            <w:r>
              <w:rPr>
                <w:rFonts w:hint="eastAsia" w:eastAsia="宋体"/>
                <w:color w:val="000000"/>
                <w:szCs w:val="21"/>
              </w:rPr>
              <w:t>选择题</w:t>
            </w:r>
          </w:p>
        </w:tc>
        <w:tc>
          <w:tcPr>
            <w:tcW w:w="3260" w:type="dxa"/>
            <w:tcBorders>
              <w:left w:val="single" w:color="auto" w:sz="4" w:space="0"/>
            </w:tcBorders>
            <w:shd w:val="clear" w:color="auto" w:fill="auto"/>
            <w:vAlign w:val="center"/>
          </w:tcPr>
          <w:p>
            <w:pPr>
              <w:pStyle w:val="14"/>
              <w:rPr>
                <w:rFonts w:eastAsia="宋体"/>
                <w:color w:val="000000"/>
                <w:szCs w:val="21"/>
              </w:rPr>
            </w:pPr>
            <w:r>
              <w:rPr>
                <w:rFonts w:hint="eastAsia" w:eastAsia="宋体"/>
                <w:color w:val="000000"/>
                <w:szCs w:val="21"/>
              </w:rPr>
              <w:t>主要考核仪器分析方法的原理和使用范围、仪器构造等</w:t>
            </w:r>
          </w:p>
        </w:tc>
        <w:tc>
          <w:tcPr>
            <w:tcW w:w="638" w:type="dxa"/>
            <w:shd w:val="clear" w:color="auto" w:fill="FFFFFF"/>
            <w:vAlign w:val="center"/>
          </w:tcPr>
          <w:p>
            <w:pPr>
              <w:widowControl/>
              <w:jc w:val="center"/>
            </w:pPr>
            <w:r>
              <w:rPr>
                <w:rFonts w:hint="eastAsia"/>
              </w:rPr>
              <w:t>4%</w:t>
            </w:r>
          </w:p>
        </w:tc>
        <w:tc>
          <w:tcPr>
            <w:tcW w:w="638" w:type="dxa"/>
            <w:shd w:val="clear" w:color="auto" w:fill="FFFFFF"/>
            <w:vAlign w:val="center"/>
          </w:tcPr>
          <w:p>
            <w:pPr>
              <w:widowControl/>
              <w:jc w:val="center"/>
            </w:pPr>
            <w:r>
              <w:rPr>
                <w:rFonts w:hint="eastAsia"/>
              </w:rPr>
              <w:t>4%</w:t>
            </w:r>
          </w:p>
        </w:tc>
        <w:tc>
          <w:tcPr>
            <w:tcW w:w="638" w:type="dxa"/>
            <w:shd w:val="clear" w:color="auto" w:fill="FFFFFF"/>
            <w:vAlign w:val="center"/>
          </w:tcPr>
          <w:p>
            <w:pPr>
              <w:widowControl/>
              <w:jc w:val="center"/>
            </w:pPr>
          </w:p>
        </w:tc>
        <w:tc>
          <w:tcPr>
            <w:tcW w:w="638" w:type="dxa"/>
            <w:shd w:val="clear" w:color="auto" w:fill="FFFFFF"/>
            <w:vAlign w:val="center"/>
          </w:tcPr>
          <w:p>
            <w:pPr>
              <w:widowControl/>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tcMar>
              <w:left w:w="57" w:type="dxa"/>
              <w:right w:w="57" w:type="dxa"/>
            </w:tcMar>
            <w:vAlign w:val="center"/>
          </w:tcPr>
          <w:p>
            <w:pPr>
              <w:pStyle w:val="14"/>
              <w:jc w:val="center"/>
              <w:rPr>
                <w:rFonts w:eastAsia="宋体"/>
              </w:rPr>
            </w:pPr>
          </w:p>
        </w:tc>
        <w:tc>
          <w:tcPr>
            <w:tcW w:w="715" w:type="dxa"/>
            <w:vMerge w:val="continue"/>
            <w:shd w:val="clear" w:color="auto" w:fill="auto"/>
            <w:vAlign w:val="center"/>
          </w:tcPr>
          <w:p>
            <w:pPr>
              <w:pStyle w:val="14"/>
              <w:jc w:val="center"/>
              <w:rPr>
                <w:rFonts w:eastAsia="宋体"/>
              </w:rPr>
            </w:pPr>
          </w:p>
        </w:tc>
        <w:tc>
          <w:tcPr>
            <w:tcW w:w="1560" w:type="dxa"/>
            <w:tcBorders>
              <w:left w:val="single" w:color="auto" w:sz="4" w:space="0"/>
            </w:tcBorders>
            <w:shd w:val="clear" w:color="auto" w:fill="auto"/>
            <w:vAlign w:val="center"/>
          </w:tcPr>
          <w:p>
            <w:pPr>
              <w:pStyle w:val="14"/>
              <w:jc w:val="center"/>
              <w:rPr>
                <w:rFonts w:eastAsia="宋体"/>
                <w:color w:val="000000"/>
                <w:szCs w:val="21"/>
              </w:rPr>
            </w:pPr>
            <w:r>
              <w:rPr>
                <w:rFonts w:hint="eastAsia" w:eastAsia="宋体"/>
                <w:color w:val="000000"/>
                <w:szCs w:val="21"/>
              </w:rPr>
              <w:t>判断</w:t>
            </w:r>
            <w:r>
              <w:rPr>
                <w:rFonts w:eastAsia="宋体"/>
                <w:color w:val="000000"/>
                <w:szCs w:val="21"/>
              </w:rPr>
              <w:t>题</w:t>
            </w:r>
          </w:p>
        </w:tc>
        <w:tc>
          <w:tcPr>
            <w:tcW w:w="3260" w:type="dxa"/>
            <w:tcBorders>
              <w:left w:val="single" w:color="auto" w:sz="4" w:space="0"/>
            </w:tcBorders>
            <w:shd w:val="clear" w:color="auto" w:fill="auto"/>
            <w:vAlign w:val="center"/>
          </w:tcPr>
          <w:p>
            <w:pPr>
              <w:pStyle w:val="14"/>
              <w:rPr>
                <w:rFonts w:eastAsia="宋体"/>
                <w:color w:val="000000"/>
                <w:szCs w:val="21"/>
              </w:rPr>
            </w:pPr>
            <w:r>
              <w:rPr>
                <w:rFonts w:hint="eastAsia" w:eastAsia="宋体"/>
                <w:color w:val="000000"/>
                <w:szCs w:val="21"/>
              </w:rPr>
              <w:t>主要考核仪器分析方法的原理和使用范围、仪器构造等</w:t>
            </w:r>
          </w:p>
        </w:tc>
        <w:tc>
          <w:tcPr>
            <w:tcW w:w="638" w:type="dxa"/>
            <w:shd w:val="clear" w:color="auto" w:fill="FFFFFF"/>
            <w:vAlign w:val="center"/>
          </w:tcPr>
          <w:p>
            <w:pPr>
              <w:widowControl/>
              <w:jc w:val="center"/>
            </w:pPr>
            <w:r>
              <w:rPr>
                <w:rFonts w:hint="eastAsia"/>
              </w:rPr>
              <w:t>4%</w:t>
            </w:r>
          </w:p>
        </w:tc>
        <w:tc>
          <w:tcPr>
            <w:tcW w:w="638" w:type="dxa"/>
            <w:shd w:val="clear" w:color="auto" w:fill="FFFFFF"/>
            <w:vAlign w:val="center"/>
          </w:tcPr>
          <w:p>
            <w:pPr>
              <w:widowControl/>
              <w:jc w:val="center"/>
            </w:pPr>
            <w:r>
              <w:rPr>
                <w:rFonts w:hint="eastAsia"/>
              </w:rPr>
              <w:t>4%</w:t>
            </w:r>
          </w:p>
        </w:tc>
        <w:tc>
          <w:tcPr>
            <w:tcW w:w="638" w:type="dxa"/>
            <w:shd w:val="clear" w:color="auto" w:fill="FFFFFF"/>
            <w:vAlign w:val="center"/>
          </w:tcPr>
          <w:p>
            <w:pPr>
              <w:widowControl/>
              <w:jc w:val="center"/>
            </w:pPr>
          </w:p>
        </w:tc>
        <w:tc>
          <w:tcPr>
            <w:tcW w:w="638" w:type="dxa"/>
            <w:shd w:val="clear" w:color="auto" w:fill="FFFFFF"/>
            <w:vAlign w:val="center"/>
          </w:tcPr>
          <w:p>
            <w:pPr>
              <w:widowControl/>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tcMar>
              <w:left w:w="57" w:type="dxa"/>
              <w:right w:w="57" w:type="dxa"/>
            </w:tcMar>
            <w:vAlign w:val="center"/>
          </w:tcPr>
          <w:p>
            <w:pPr>
              <w:pStyle w:val="14"/>
              <w:jc w:val="center"/>
              <w:rPr>
                <w:rFonts w:eastAsia="宋体"/>
              </w:rPr>
            </w:pPr>
          </w:p>
        </w:tc>
        <w:tc>
          <w:tcPr>
            <w:tcW w:w="715" w:type="dxa"/>
            <w:vMerge w:val="continue"/>
            <w:shd w:val="clear" w:color="auto" w:fill="auto"/>
            <w:vAlign w:val="center"/>
          </w:tcPr>
          <w:p>
            <w:pPr>
              <w:pStyle w:val="14"/>
              <w:jc w:val="center"/>
              <w:rPr>
                <w:rFonts w:eastAsia="宋体"/>
              </w:rPr>
            </w:pPr>
          </w:p>
        </w:tc>
        <w:tc>
          <w:tcPr>
            <w:tcW w:w="1560" w:type="dxa"/>
            <w:tcBorders>
              <w:left w:val="single" w:color="auto" w:sz="4" w:space="0"/>
            </w:tcBorders>
            <w:shd w:val="clear" w:color="auto" w:fill="auto"/>
            <w:vAlign w:val="center"/>
          </w:tcPr>
          <w:p>
            <w:pPr>
              <w:pStyle w:val="14"/>
              <w:jc w:val="center"/>
              <w:rPr>
                <w:rFonts w:eastAsia="宋体"/>
                <w:color w:val="000000"/>
                <w:szCs w:val="21"/>
              </w:rPr>
            </w:pPr>
            <w:r>
              <w:rPr>
                <w:rFonts w:hint="eastAsia" w:eastAsia="宋体"/>
                <w:color w:val="000000"/>
                <w:szCs w:val="21"/>
              </w:rPr>
              <w:t>简答题</w:t>
            </w:r>
          </w:p>
        </w:tc>
        <w:tc>
          <w:tcPr>
            <w:tcW w:w="3260" w:type="dxa"/>
            <w:tcBorders>
              <w:left w:val="single" w:color="auto" w:sz="4" w:space="0"/>
            </w:tcBorders>
            <w:shd w:val="clear" w:color="auto" w:fill="auto"/>
            <w:vAlign w:val="center"/>
          </w:tcPr>
          <w:p>
            <w:pPr>
              <w:pStyle w:val="14"/>
              <w:rPr>
                <w:rFonts w:eastAsia="宋体"/>
                <w:color w:val="000000"/>
                <w:szCs w:val="21"/>
              </w:rPr>
            </w:pPr>
            <w:r>
              <w:rPr>
                <w:rFonts w:hint="eastAsia" w:eastAsia="宋体"/>
                <w:color w:val="000000"/>
                <w:szCs w:val="21"/>
              </w:rPr>
              <w:t>主要考核仪器方法选择、实验方案设计等。</w:t>
            </w:r>
          </w:p>
        </w:tc>
        <w:tc>
          <w:tcPr>
            <w:tcW w:w="638" w:type="dxa"/>
            <w:shd w:val="clear" w:color="auto" w:fill="FFFFFF"/>
            <w:vAlign w:val="center"/>
          </w:tcPr>
          <w:p>
            <w:pPr>
              <w:pStyle w:val="14"/>
              <w:jc w:val="center"/>
              <w:rPr>
                <w:rFonts w:eastAsia="宋体"/>
                <w:color w:val="000000"/>
                <w:szCs w:val="21"/>
              </w:rPr>
            </w:pPr>
            <w:r>
              <w:rPr>
                <w:rFonts w:hint="eastAsia" w:eastAsia="宋体"/>
                <w:color w:val="000000"/>
                <w:szCs w:val="21"/>
              </w:rPr>
              <w:t>8%</w:t>
            </w:r>
          </w:p>
        </w:tc>
        <w:tc>
          <w:tcPr>
            <w:tcW w:w="638" w:type="dxa"/>
            <w:shd w:val="clear" w:color="auto" w:fill="FFFFFF"/>
            <w:vAlign w:val="center"/>
          </w:tcPr>
          <w:p>
            <w:pPr>
              <w:pStyle w:val="14"/>
              <w:jc w:val="center"/>
              <w:rPr>
                <w:rFonts w:eastAsia="宋体"/>
                <w:color w:val="000000"/>
                <w:szCs w:val="21"/>
              </w:rPr>
            </w:pPr>
            <w:r>
              <w:rPr>
                <w:rFonts w:hint="eastAsia" w:eastAsia="宋体"/>
                <w:color w:val="000000"/>
                <w:szCs w:val="21"/>
              </w:rPr>
              <w:t>8%</w:t>
            </w:r>
          </w:p>
        </w:tc>
        <w:tc>
          <w:tcPr>
            <w:tcW w:w="638" w:type="dxa"/>
            <w:shd w:val="clear" w:color="auto" w:fill="FFFFFF"/>
            <w:vAlign w:val="center"/>
          </w:tcPr>
          <w:p>
            <w:pPr>
              <w:pStyle w:val="14"/>
              <w:jc w:val="center"/>
              <w:rPr>
                <w:rFonts w:eastAsia="宋体"/>
                <w:color w:val="000000"/>
                <w:szCs w:val="21"/>
              </w:rPr>
            </w:pPr>
          </w:p>
        </w:tc>
        <w:tc>
          <w:tcPr>
            <w:tcW w:w="638" w:type="dxa"/>
            <w:shd w:val="clear" w:color="auto" w:fill="FFFFFF"/>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tcMar>
              <w:left w:w="57" w:type="dxa"/>
              <w:right w:w="57" w:type="dxa"/>
            </w:tcMar>
            <w:vAlign w:val="center"/>
          </w:tcPr>
          <w:p>
            <w:pPr>
              <w:pStyle w:val="14"/>
              <w:jc w:val="center"/>
              <w:rPr>
                <w:rFonts w:eastAsia="宋体"/>
              </w:rPr>
            </w:pPr>
          </w:p>
        </w:tc>
        <w:tc>
          <w:tcPr>
            <w:tcW w:w="715" w:type="dxa"/>
            <w:vMerge w:val="continue"/>
            <w:shd w:val="clear" w:color="auto" w:fill="auto"/>
            <w:vAlign w:val="center"/>
          </w:tcPr>
          <w:p>
            <w:pPr>
              <w:pStyle w:val="14"/>
              <w:jc w:val="center"/>
              <w:rPr>
                <w:rFonts w:eastAsia="宋体"/>
              </w:rPr>
            </w:pPr>
          </w:p>
        </w:tc>
        <w:tc>
          <w:tcPr>
            <w:tcW w:w="1560" w:type="dxa"/>
            <w:tcBorders>
              <w:left w:val="single" w:color="auto" w:sz="4" w:space="0"/>
            </w:tcBorders>
            <w:shd w:val="clear" w:color="auto" w:fill="auto"/>
            <w:vAlign w:val="center"/>
          </w:tcPr>
          <w:p>
            <w:pPr>
              <w:pStyle w:val="14"/>
              <w:jc w:val="center"/>
              <w:rPr>
                <w:rFonts w:eastAsia="宋体"/>
                <w:color w:val="000000"/>
                <w:szCs w:val="21"/>
              </w:rPr>
            </w:pPr>
            <w:r>
              <w:rPr>
                <w:rFonts w:hint="eastAsia" w:eastAsia="宋体"/>
                <w:color w:val="000000"/>
                <w:szCs w:val="21"/>
              </w:rPr>
              <w:t>计算</w:t>
            </w:r>
            <w:r>
              <w:rPr>
                <w:rFonts w:eastAsia="宋体"/>
                <w:color w:val="000000"/>
                <w:szCs w:val="21"/>
              </w:rPr>
              <w:t>题</w:t>
            </w:r>
          </w:p>
        </w:tc>
        <w:tc>
          <w:tcPr>
            <w:tcW w:w="3260" w:type="dxa"/>
            <w:tcBorders>
              <w:left w:val="single" w:color="auto" w:sz="4" w:space="0"/>
              <w:bottom w:val="single" w:color="auto" w:sz="4" w:space="0"/>
            </w:tcBorders>
            <w:shd w:val="clear" w:color="auto" w:fill="auto"/>
            <w:vAlign w:val="center"/>
          </w:tcPr>
          <w:p>
            <w:pPr>
              <w:pStyle w:val="14"/>
              <w:rPr>
                <w:rFonts w:eastAsia="宋体"/>
                <w:color w:val="000000"/>
                <w:szCs w:val="21"/>
              </w:rPr>
            </w:pPr>
            <w:r>
              <w:rPr>
                <w:rFonts w:hint="eastAsia" w:eastAsia="宋体"/>
                <w:color w:val="000000"/>
                <w:szCs w:val="21"/>
              </w:rPr>
              <w:t>主要考核定量定性方法，方法评价等。</w:t>
            </w:r>
          </w:p>
        </w:tc>
        <w:tc>
          <w:tcPr>
            <w:tcW w:w="638" w:type="dxa"/>
            <w:shd w:val="clear" w:color="auto" w:fill="FFFFFF"/>
            <w:vAlign w:val="center"/>
          </w:tcPr>
          <w:p>
            <w:pPr>
              <w:pStyle w:val="14"/>
              <w:jc w:val="center"/>
              <w:rPr>
                <w:rFonts w:eastAsia="宋体"/>
                <w:color w:val="000000"/>
                <w:szCs w:val="21"/>
              </w:rPr>
            </w:pPr>
            <w:r>
              <w:rPr>
                <w:rFonts w:hint="eastAsia" w:eastAsia="宋体"/>
                <w:color w:val="000000"/>
                <w:szCs w:val="21"/>
              </w:rPr>
              <w:t>4%</w:t>
            </w:r>
          </w:p>
        </w:tc>
        <w:tc>
          <w:tcPr>
            <w:tcW w:w="638" w:type="dxa"/>
            <w:shd w:val="clear" w:color="auto" w:fill="FFFFFF"/>
            <w:vAlign w:val="center"/>
          </w:tcPr>
          <w:p>
            <w:pPr>
              <w:pStyle w:val="14"/>
              <w:jc w:val="center"/>
              <w:rPr>
                <w:rFonts w:eastAsia="宋体"/>
                <w:color w:val="000000"/>
                <w:szCs w:val="21"/>
              </w:rPr>
            </w:pPr>
            <w:r>
              <w:rPr>
                <w:rFonts w:hint="eastAsia" w:eastAsia="宋体"/>
                <w:color w:val="000000"/>
                <w:szCs w:val="21"/>
              </w:rPr>
              <w:t>4%</w:t>
            </w:r>
          </w:p>
        </w:tc>
        <w:tc>
          <w:tcPr>
            <w:tcW w:w="638" w:type="dxa"/>
            <w:shd w:val="clear" w:color="auto" w:fill="FFFFFF"/>
            <w:vAlign w:val="center"/>
          </w:tcPr>
          <w:p>
            <w:pPr>
              <w:pStyle w:val="14"/>
              <w:jc w:val="center"/>
              <w:rPr>
                <w:rFonts w:eastAsia="宋体"/>
                <w:color w:val="000000"/>
                <w:szCs w:val="21"/>
              </w:rPr>
            </w:pPr>
          </w:p>
        </w:tc>
        <w:tc>
          <w:tcPr>
            <w:tcW w:w="638" w:type="dxa"/>
            <w:shd w:val="clear" w:color="auto" w:fill="FFFFFF"/>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043" w:type="dxa"/>
            <w:shd w:val="clear" w:color="auto" w:fill="auto"/>
            <w:tcMar>
              <w:left w:w="57" w:type="dxa"/>
              <w:right w:w="57" w:type="dxa"/>
            </w:tcMar>
            <w:vAlign w:val="center"/>
          </w:tcPr>
          <w:p>
            <w:pPr>
              <w:pStyle w:val="14"/>
              <w:jc w:val="center"/>
              <w:rPr>
                <w:rFonts w:eastAsia="宋体"/>
              </w:rPr>
            </w:pPr>
            <w:r>
              <w:rPr>
                <w:rFonts w:hint="eastAsia" w:eastAsia="宋体"/>
              </w:rPr>
              <w:t>合    计</w:t>
            </w:r>
          </w:p>
        </w:tc>
        <w:tc>
          <w:tcPr>
            <w:tcW w:w="715" w:type="dxa"/>
            <w:shd w:val="clear" w:color="auto" w:fill="auto"/>
            <w:vAlign w:val="center"/>
          </w:tcPr>
          <w:p>
            <w:pPr>
              <w:pStyle w:val="14"/>
              <w:jc w:val="center"/>
              <w:rPr>
                <w:rFonts w:eastAsia="宋体"/>
              </w:rPr>
            </w:pPr>
            <w:r>
              <w:rPr>
                <w:rFonts w:hint="eastAsia" w:eastAsia="宋体"/>
              </w:rPr>
              <w:t>100%</w:t>
            </w:r>
          </w:p>
        </w:tc>
        <w:tc>
          <w:tcPr>
            <w:tcW w:w="4820" w:type="dxa"/>
            <w:gridSpan w:val="2"/>
            <w:tcBorders>
              <w:left w:val="single" w:color="auto" w:sz="4" w:space="0"/>
            </w:tcBorders>
            <w:shd w:val="clear" w:color="auto" w:fill="auto"/>
            <w:vAlign w:val="center"/>
          </w:tcPr>
          <w:p>
            <w:pPr>
              <w:pStyle w:val="14"/>
              <w:rPr>
                <w:rFonts w:eastAsia="宋体"/>
                <w:color w:val="000000"/>
                <w:szCs w:val="21"/>
              </w:rPr>
            </w:pPr>
          </w:p>
        </w:tc>
        <w:tc>
          <w:tcPr>
            <w:tcW w:w="638" w:type="dxa"/>
            <w:shd w:val="clear" w:color="auto" w:fill="FFFFFF"/>
            <w:vAlign w:val="center"/>
          </w:tcPr>
          <w:p>
            <w:pPr>
              <w:pStyle w:val="14"/>
              <w:jc w:val="center"/>
              <w:rPr>
                <w:rFonts w:eastAsia="宋体"/>
                <w:color w:val="000000"/>
                <w:szCs w:val="21"/>
              </w:rPr>
            </w:pPr>
            <w:r>
              <w:rPr>
                <w:rFonts w:hint="eastAsia" w:eastAsia="宋体"/>
                <w:color w:val="000000"/>
                <w:szCs w:val="21"/>
              </w:rPr>
              <w:t>50%</w:t>
            </w:r>
          </w:p>
        </w:tc>
        <w:tc>
          <w:tcPr>
            <w:tcW w:w="638" w:type="dxa"/>
            <w:shd w:val="clear" w:color="auto" w:fill="FFFFFF"/>
            <w:vAlign w:val="center"/>
          </w:tcPr>
          <w:p>
            <w:pPr>
              <w:pStyle w:val="14"/>
              <w:jc w:val="center"/>
              <w:rPr>
                <w:rFonts w:eastAsia="宋体"/>
                <w:color w:val="000000"/>
                <w:szCs w:val="21"/>
              </w:rPr>
            </w:pPr>
            <w:r>
              <w:rPr>
                <w:rFonts w:hint="eastAsia" w:eastAsia="宋体"/>
                <w:color w:val="000000"/>
                <w:szCs w:val="21"/>
              </w:rPr>
              <w:t>50%</w:t>
            </w:r>
          </w:p>
        </w:tc>
        <w:tc>
          <w:tcPr>
            <w:tcW w:w="638" w:type="dxa"/>
            <w:shd w:val="clear" w:color="auto" w:fill="FFFFFF"/>
            <w:vAlign w:val="center"/>
          </w:tcPr>
          <w:p>
            <w:pPr>
              <w:pStyle w:val="14"/>
              <w:jc w:val="center"/>
              <w:rPr>
                <w:rFonts w:eastAsia="宋体"/>
                <w:color w:val="000000"/>
                <w:szCs w:val="21"/>
              </w:rPr>
            </w:pPr>
          </w:p>
        </w:tc>
        <w:tc>
          <w:tcPr>
            <w:tcW w:w="638" w:type="dxa"/>
            <w:shd w:val="clear" w:color="auto" w:fill="FFFFFF"/>
            <w:vAlign w:val="center"/>
          </w:tcPr>
          <w:p>
            <w:pPr>
              <w:pStyle w:val="14"/>
              <w:jc w:val="center"/>
              <w:rPr>
                <w:rFonts w:eastAsia="宋体"/>
                <w:color w:val="000000"/>
                <w:szCs w:val="21"/>
              </w:rPr>
            </w:pPr>
          </w:p>
        </w:tc>
      </w:tr>
    </w:tbl>
    <w:p>
      <w:pPr>
        <w:spacing w:line="360" w:lineRule="auto"/>
        <w:rPr>
          <w:sz w:val="24"/>
          <w:szCs w:val="22"/>
        </w:rPr>
      </w:pPr>
      <w:r>
        <w:rPr>
          <w:rFonts w:hint="eastAsia"/>
          <w:sz w:val="24"/>
          <w:szCs w:val="22"/>
        </w:rPr>
        <w:t>备注：</w:t>
      </w:r>
      <w:r>
        <w:rPr>
          <w:sz w:val="24"/>
          <w:szCs w:val="22"/>
        </w:rPr>
        <w:t>课程目标达成度计算方法如下：</w:t>
      </w:r>
    </w:p>
    <w:p>
      <w:pPr>
        <w:spacing w:line="360" w:lineRule="auto"/>
        <w:jc w:val="center"/>
        <w:rPr>
          <w:sz w:val="24"/>
          <w:szCs w:val="22"/>
        </w:rPr>
      </w:pPr>
      <w:r>
        <w:rPr>
          <w:position w:val="-26"/>
          <w:sz w:val="24"/>
          <w:szCs w:val="22"/>
        </w:rPr>
        <w:object>
          <v:shape id="_x0000_i1030" o:spt="75" type="#_x0000_t75" style="height:32.8pt;width:337.2pt;" o:ole="t" filled="f" o:preferrelative="t" stroked="f" coordsize="21600,21600">
            <v:path/>
            <v:fill on="f" focussize="0,0"/>
            <v:stroke on="f" joinstyle="miter"/>
            <v:imagedata r:id="rId20" o:title=""/>
            <o:lock v:ext="edit" aspectratio="t"/>
            <w10:wrap type="none"/>
            <w10:anchorlock/>
          </v:shape>
          <o:OLEObject Type="Embed" ProgID="Equation.3" ShapeID="_x0000_i1030" DrawAspect="Content" ObjectID="_1468075730" r:id="rId25">
            <o:LockedField>false</o:LockedField>
          </o:OLEObject>
        </w:object>
      </w:r>
    </w:p>
    <w:p>
      <w:pPr>
        <w:spacing w:line="360" w:lineRule="auto"/>
        <w:rPr>
          <w:b/>
          <w:sz w:val="28"/>
          <w:szCs w:val="28"/>
        </w:rPr>
      </w:pPr>
      <w:r>
        <w:rPr>
          <w:b/>
          <w:sz w:val="28"/>
          <w:szCs w:val="28"/>
        </w:rPr>
        <w:t>六、</w:t>
      </w:r>
      <w:r>
        <w:rPr>
          <w:rFonts w:hint="eastAsia"/>
          <w:b/>
          <w:sz w:val="28"/>
          <w:szCs w:val="28"/>
        </w:rPr>
        <w:t>有关说明</w:t>
      </w:r>
    </w:p>
    <w:p>
      <w:pPr>
        <w:spacing w:line="360" w:lineRule="auto"/>
        <w:ind w:firstLine="482" w:firstLineChars="200"/>
        <w:rPr>
          <w:b/>
          <w:color w:val="000000"/>
          <w:sz w:val="24"/>
        </w:rPr>
      </w:pPr>
      <w:r>
        <w:rPr>
          <w:rFonts w:hint="eastAsia"/>
          <w:b/>
          <w:color w:val="000000"/>
          <w:sz w:val="24"/>
        </w:rPr>
        <w:t>（一）持续改进</w:t>
      </w:r>
    </w:p>
    <w:p>
      <w:pPr>
        <w:autoSpaceDE w:val="0"/>
        <w:autoSpaceDN w:val="0"/>
        <w:adjustRightInd w:val="0"/>
        <w:spacing w:line="360" w:lineRule="auto"/>
        <w:ind w:firstLine="480" w:firstLineChars="200"/>
        <w:jc w:val="left"/>
        <w:rPr>
          <w:kern w:val="0"/>
          <w:sz w:val="24"/>
          <w:szCs w:val="21"/>
        </w:rPr>
      </w:pPr>
      <w:r>
        <w:rPr>
          <w:rFonts w:hint="eastAsia"/>
          <w:kern w:val="0"/>
          <w:sz w:val="24"/>
          <w:szCs w:val="21"/>
        </w:rPr>
        <w:t>本课程根据课后作业、实验、考勤、期末考试等考核情况，以及学生、教学督导的反馈意见，及时对教学中不足之处进行改进，并在下一轮课程教学中改进提高。针对课程目标设计出课程考核的方式、内容和评分标准，确保课程内容与教学方式能有效实现课程目标，使得考核结果能够证明课程目标达成。</w:t>
      </w:r>
    </w:p>
    <w:p>
      <w:pPr>
        <w:spacing w:line="360" w:lineRule="auto"/>
        <w:ind w:firstLine="482" w:firstLineChars="200"/>
        <w:rPr>
          <w:b/>
          <w:color w:val="000000"/>
          <w:sz w:val="24"/>
        </w:rPr>
      </w:pPr>
      <w:r>
        <w:rPr>
          <w:rFonts w:hint="eastAsia"/>
          <w:b/>
          <w:color w:val="000000"/>
          <w:sz w:val="24"/>
        </w:rPr>
        <w:t>（二）</w:t>
      </w:r>
      <w:r>
        <w:rPr>
          <w:b/>
          <w:color w:val="000000"/>
          <w:sz w:val="24"/>
        </w:rPr>
        <w:t>参考书目及学习资料</w:t>
      </w:r>
    </w:p>
    <w:p>
      <w:pPr>
        <w:autoSpaceDE w:val="0"/>
        <w:autoSpaceDN w:val="0"/>
        <w:adjustRightInd w:val="0"/>
        <w:spacing w:line="360" w:lineRule="auto"/>
        <w:ind w:firstLine="480" w:firstLineChars="200"/>
        <w:rPr>
          <w:kern w:val="0"/>
          <w:sz w:val="24"/>
          <w:szCs w:val="21"/>
        </w:rPr>
      </w:pPr>
      <w:r>
        <w:rPr>
          <w:rFonts w:hint="eastAsia"/>
          <w:kern w:val="0"/>
          <w:sz w:val="24"/>
          <w:szCs w:val="21"/>
        </w:rPr>
        <w:t>[</w:t>
      </w:r>
      <w:r>
        <w:rPr>
          <w:kern w:val="0"/>
          <w:sz w:val="24"/>
          <w:szCs w:val="21"/>
        </w:rPr>
        <w:t>1</w:t>
      </w:r>
      <w:r>
        <w:rPr>
          <w:rFonts w:hint="eastAsia"/>
          <w:kern w:val="0"/>
          <w:sz w:val="24"/>
          <w:szCs w:val="21"/>
        </w:rPr>
        <w:t xml:space="preserve">] </w:t>
      </w:r>
      <w:r>
        <w:rPr>
          <w:rFonts w:hint="eastAsia"/>
          <w:sz w:val="24"/>
          <w:szCs w:val="22"/>
        </w:rPr>
        <w:t>《仪器分析》，方惠群、于俊生、史坚，科学出版社，2</w:t>
      </w:r>
      <w:r>
        <w:rPr>
          <w:sz w:val="24"/>
          <w:szCs w:val="22"/>
        </w:rPr>
        <w:t>00</w:t>
      </w:r>
      <w:r>
        <w:rPr>
          <w:rFonts w:hint="eastAsia"/>
          <w:sz w:val="24"/>
          <w:szCs w:val="22"/>
        </w:rPr>
        <w:t>2</w:t>
      </w:r>
      <w:r>
        <w:rPr>
          <w:sz w:val="24"/>
          <w:szCs w:val="22"/>
        </w:rPr>
        <w:t>.</w:t>
      </w:r>
      <w:r>
        <w:rPr>
          <w:rFonts w:hint="eastAsia"/>
          <w:sz w:val="24"/>
          <w:szCs w:val="22"/>
        </w:rPr>
        <w:t>2</w:t>
      </w:r>
    </w:p>
    <w:p>
      <w:pPr>
        <w:autoSpaceDE w:val="0"/>
        <w:autoSpaceDN w:val="0"/>
        <w:adjustRightInd w:val="0"/>
        <w:spacing w:line="360" w:lineRule="auto"/>
        <w:ind w:firstLine="480" w:firstLineChars="200"/>
        <w:rPr>
          <w:kern w:val="0"/>
          <w:sz w:val="24"/>
          <w:szCs w:val="21"/>
        </w:rPr>
      </w:pPr>
      <w:r>
        <w:rPr>
          <w:rFonts w:hint="eastAsia"/>
          <w:kern w:val="0"/>
          <w:sz w:val="24"/>
          <w:szCs w:val="21"/>
        </w:rPr>
        <w:t>[</w:t>
      </w:r>
      <w:r>
        <w:rPr>
          <w:kern w:val="0"/>
          <w:sz w:val="24"/>
          <w:szCs w:val="21"/>
        </w:rPr>
        <w:t>2</w:t>
      </w:r>
      <w:r>
        <w:rPr>
          <w:rFonts w:hint="eastAsia"/>
          <w:kern w:val="0"/>
          <w:sz w:val="24"/>
          <w:szCs w:val="21"/>
        </w:rPr>
        <w:t xml:space="preserve">] </w:t>
      </w:r>
      <w:r>
        <w:rPr>
          <w:rFonts w:hint="eastAsia"/>
          <w:sz w:val="24"/>
          <w:szCs w:val="22"/>
        </w:rPr>
        <w:t>《仪器分析（第三版）》，陈浩，科学出版社，2</w:t>
      </w:r>
      <w:r>
        <w:rPr>
          <w:sz w:val="24"/>
          <w:szCs w:val="22"/>
        </w:rPr>
        <w:t>01</w:t>
      </w:r>
      <w:r>
        <w:rPr>
          <w:rFonts w:hint="eastAsia"/>
          <w:sz w:val="24"/>
          <w:szCs w:val="22"/>
        </w:rPr>
        <w:t>8</w:t>
      </w:r>
      <w:r>
        <w:rPr>
          <w:sz w:val="24"/>
          <w:szCs w:val="22"/>
        </w:rPr>
        <w:t>.</w:t>
      </w:r>
      <w:r>
        <w:rPr>
          <w:rFonts w:hint="eastAsia"/>
          <w:sz w:val="24"/>
          <w:szCs w:val="22"/>
        </w:rPr>
        <w:t>9</w:t>
      </w:r>
    </w:p>
    <w:p>
      <w:pPr>
        <w:autoSpaceDE w:val="0"/>
        <w:autoSpaceDN w:val="0"/>
        <w:adjustRightInd w:val="0"/>
        <w:spacing w:line="360" w:lineRule="auto"/>
        <w:ind w:firstLine="480" w:firstLineChars="200"/>
        <w:rPr>
          <w:kern w:val="0"/>
          <w:sz w:val="24"/>
          <w:szCs w:val="21"/>
        </w:rPr>
      </w:pPr>
      <w:r>
        <w:rPr>
          <w:rFonts w:hint="eastAsia"/>
          <w:kern w:val="0"/>
          <w:sz w:val="24"/>
          <w:szCs w:val="21"/>
        </w:rPr>
        <w:t>[3]</w:t>
      </w:r>
      <w:r>
        <w:rPr>
          <w:kern w:val="0"/>
          <w:sz w:val="24"/>
          <w:szCs w:val="21"/>
        </w:rPr>
        <w:t xml:space="preserve"> </w:t>
      </w:r>
      <w:r>
        <w:rPr>
          <w:rFonts w:hint="eastAsia"/>
          <w:sz w:val="24"/>
          <w:szCs w:val="22"/>
        </w:rPr>
        <w:t>《现代仪器分析实验技术：上册》，孙东平、李羽让、纪明中、唐卫华，科学出版社，2018</w:t>
      </w:r>
      <w:r>
        <w:rPr>
          <w:sz w:val="24"/>
          <w:szCs w:val="22"/>
        </w:rPr>
        <w:t>.</w:t>
      </w:r>
      <w:r>
        <w:rPr>
          <w:rFonts w:hint="eastAsia"/>
          <w:sz w:val="24"/>
          <w:szCs w:val="22"/>
        </w:rPr>
        <w:t>8</w:t>
      </w:r>
    </w:p>
    <w:p>
      <w:pPr>
        <w:spacing w:line="360" w:lineRule="auto"/>
        <w:ind w:firstLine="480" w:firstLineChars="200"/>
        <w:rPr>
          <w:sz w:val="24"/>
          <w:szCs w:val="22"/>
        </w:rPr>
      </w:pPr>
    </w:p>
    <w:p>
      <w:pPr>
        <w:autoSpaceDE w:val="0"/>
        <w:autoSpaceDN w:val="0"/>
        <w:adjustRightInd w:val="0"/>
        <w:spacing w:line="360" w:lineRule="auto"/>
        <w:ind w:right="105" w:rightChars="50"/>
        <w:jc w:val="right"/>
        <w:rPr>
          <w:kern w:val="0"/>
          <w:sz w:val="24"/>
          <w:szCs w:val="21"/>
        </w:rPr>
      </w:pPr>
      <w:r>
        <w:rPr>
          <w:kern w:val="0"/>
          <w:sz w:val="24"/>
          <w:szCs w:val="21"/>
        </w:rPr>
        <w:t>执笔人：</w:t>
      </w:r>
      <w:r>
        <w:rPr>
          <w:rFonts w:hint="eastAsia"/>
          <w:kern w:val="0"/>
          <w:sz w:val="24"/>
          <w:szCs w:val="21"/>
        </w:rPr>
        <w:t>吴泽颖</w:t>
      </w:r>
    </w:p>
    <w:p>
      <w:pPr>
        <w:autoSpaceDE w:val="0"/>
        <w:autoSpaceDN w:val="0"/>
        <w:adjustRightInd w:val="0"/>
        <w:spacing w:line="360" w:lineRule="auto"/>
        <w:ind w:right="105" w:rightChars="50"/>
        <w:jc w:val="right"/>
        <w:rPr>
          <w:kern w:val="0"/>
          <w:sz w:val="24"/>
          <w:szCs w:val="21"/>
        </w:rPr>
      </w:pPr>
      <w:r>
        <w:rPr>
          <w:kern w:val="0"/>
          <w:sz w:val="24"/>
          <w:szCs w:val="21"/>
        </w:rPr>
        <w:t>审定人：</w:t>
      </w:r>
      <w:r>
        <w:rPr>
          <w:rFonts w:hint="eastAsia"/>
          <w:kern w:val="0"/>
          <w:sz w:val="24"/>
          <w:szCs w:val="21"/>
        </w:rPr>
        <w:t>陈小卉</w:t>
      </w:r>
    </w:p>
    <w:p>
      <w:pPr>
        <w:autoSpaceDE w:val="0"/>
        <w:autoSpaceDN w:val="0"/>
        <w:adjustRightInd w:val="0"/>
        <w:spacing w:line="360" w:lineRule="auto"/>
        <w:ind w:right="105" w:rightChars="50"/>
        <w:jc w:val="right"/>
        <w:rPr>
          <w:kern w:val="0"/>
          <w:sz w:val="24"/>
          <w:szCs w:val="21"/>
        </w:rPr>
      </w:pPr>
      <w:r>
        <w:rPr>
          <w:rFonts w:hint="eastAsia"/>
          <w:kern w:val="0"/>
          <w:sz w:val="24"/>
          <w:szCs w:val="21"/>
        </w:rPr>
        <w:t>审批</w:t>
      </w:r>
      <w:r>
        <w:rPr>
          <w:kern w:val="0"/>
          <w:sz w:val="24"/>
          <w:szCs w:val="21"/>
        </w:rPr>
        <w:t>人：</w:t>
      </w:r>
      <w:r>
        <w:rPr>
          <w:rFonts w:hint="eastAsia"/>
          <w:kern w:val="0"/>
          <w:sz w:val="24"/>
          <w:szCs w:val="21"/>
        </w:rPr>
        <w:t>吴泽颖</w:t>
      </w:r>
    </w:p>
    <w:p>
      <w:pPr>
        <w:autoSpaceDE w:val="0"/>
        <w:autoSpaceDN w:val="0"/>
        <w:adjustRightInd w:val="0"/>
        <w:spacing w:line="360" w:lineRule="auto"/>
        <w:ind w:right="105" w:rightChars="50"/>
        <w:jc w:val="right"/>
        <w:rPr>
          <w:rFonts w:hint="eastAsia"/>
        </w:rPr>
      </w:pPr>
      <w:r>
        <w:rPr>
          <w:rFonts w:hint="eastAsia"/>
          <w:kern w:val="0"/>
          <w:sz w:val="24"/>
          <w:szCs w:val="21"/>
        </w:rPr>
        <w:t>批准时间：2020.9.1</w:t>
      </w:r>
      <w:r>
        <w:rPr>
          <w:kern w:val="0"/>
          <w:sz w:val="24"/>
          <w:szCs w:val="21"/>
        </w:rPr>
        <w:t xml:space="preserve"> </w:t>
      </w:r>
    </w:p>
    <w:p>
      <w:pPr>
        <w:spacing w:line="312" w:lineRule="auto"/>
        <w:jc w:val="center"/>
        <w:rPr>
          <w:rFonts w:hint="eastAsia"/>
          <w:b/>
          <w:bCs/>
          <w:sz w:val="30"/>
        </w:rPr>
      </w:pPr>
    </w:p>
    <w:p>
      <w:pPr>
        <w:pStyle w:val="3"/>
        <w:bidi w:val="0"/>
        <w:jc w:val="center"/>
      </w:pPr>
      <w:bookmarkStart w:id="104" w:name="_Toc25343"/>
      <w:bookmarkStart w:id="105" w:name="_Toc13712"/>
      <w:r>
        <w:rPr>
          <w:rFonts w:hint="eastAsia"/>
        </w:rPr>
        <w:t>化工环保与安全课程</w:t>
      </w:r>
      <w:r>
        <w:t>教学大纲</w:t>
      </w:r>
      <w:bookmarkEnd w:id="104"/>
      <w:bookmarkEnd w:id="105"/>
    </w:p>
    <w:p>
      <w:pPr>
        <w:spacing w:line="312" w:lineRule="auto"/>
        <w:jc w:val="center"/>
        <w:rPr>
          <w:b/>
          <w:bCs/>
          <w:sz w:val="30"/>
        </w:rPr>
      </w:pPr>
      <w:r>
        <w:rPr>
          <w:b/>
          <w:bCs/>
          <w:sz w:val="30"/>
        </w:rPr>
        <w:t>（</w:t>
      </w:r>
      <w:r>
        <w:rPr>
          <w:b/>
          <w:bCs/>
          <w:sz w:val="30"/>
          <w:szCs w:val="30"/>
        </w:rPr>
        <w:t>Chemical Environmental Protection and Safety</w:t>
      </w:r>
      <w:r>
        <w:rPr>
          <w:b/>
          <w:bCs/>
          <w:sz w:val="30"/>
        </w:rPr>
        <w:t>）</w:t>
      </w:r>
    </w:p>
    <w:p>
      <w:pPr>
        <w:spacing w:line="360" w:lineRule="auto"/>
        <w:ind w:firstLine="551" w:firstLineChars="196"/>
        <w:rPr>
          <w:rFonts w:hint="eastAsia"/>
          <w:b/>
          <w:sz w:val="28"/>
          <w:szCs w:val="28"/>
        </w:rPr>
      </w:pPr>
      <w:r>
        <w:rPr>
          <w:b/>
          <w:sz w:val="28"/>
          <w:szCs w:val="28"/>
        </w:rPr>
        <w:t>一、课程概况</w:t>
      </w:r>
    </w:p>
    <w:p>
      <w:pPr>
        <w:spacing w:line="360" w:lineRule="auto"/>
        <w:ind w:firstLine="482" w:firstLineChars="200"/>
        <w:rPr>
          <w:b/>
          <w:sz w:val="28"/>
          <w:szCs w:val="28"/>
        </w:rPr>
      </w:pPr>
      <w:r>
        <w:rPr>
          <w:b/>
          <w:bCs/>
          <w:kern w:val="0"/>
          <w:sz w:val="24"/>
        </w:rPr>
        <w:t>课程代码</w:t>
      </w:r>
      <w:r>
        <w:rPr>
          <w:b/>
          <w:kern w:val="0"/>
          <w:sz w:val="24"/>
        </w:rPr>
        <w:t>：</w:t>
      </w:r>
      <w:r>
        <w:rPr>
          <w:rFonts w:hint="eastAsia"/>
          <w:b/>
          <w:kern w:val="0"/>
          <w:sz w:val="24"/>
        </w:rPr>
        <w:t>2501014</w:t>
      </w:r>
    </w:p>
    <w:p>
      <w:pPr>
        <w:spacing w:line="360" w:lineRule="auto"/>
        <w:ind w:firstLine="482" w:firstLineChars="200"/>
        <w:rPr>
          <w:kern w:val="0"/>
          <w:sz w:val="24"/>
        </w:rPr>
      </w:pPr>
      <w:r>
        <w:rPr>
          <w:b/>
          <w:bCs/>
          <w:kern w:val="0"/>
          <w:sz w:val="24"/>
        </w:rPr>
        <w:t>学    分</w:t>
      </w:r>
      <w:r>
        <w:rPr>
          <w:b/>
          <w:kern w:val="0"/>
          <w:sz w:val="24"/>
        </w:rPr>
        <w:t>：</w:t>
      </w:r>
      <w:r>
        <w:rPr>
          <w:b/>
          <w:bCs/>
          <w:kern w:val="0"/>
          <w:sz w:val="24"/>
        </w:rPr>
        <w:t>2</w:t>
      </w:r>
    </w:p>
    <w:p>
      <w:pPr>
        <w:spacing w:line="360" w:lineRule="auto"/>
        <w:ind w:firstLine="482" w:firstLineChars="200"/>
        <w:rPr>
          <w:kern w:val="0"/>
          <w:sz w:val="24"/>
        </w:rPr>
      </w:pPr>
      <w:r>
        <w:rPr>
          <w:b/>
          <w:bCs/>
          <w:kern w:val="0"/>
          <w:sz w:val="24"/>
        </w:rPr>
        <w:t>学    时</w:t>
      </w:r>
      <w:r>
        <w:rPr>
          <w:b/>
          <w:kern w:val="0"/>
          <w:sz w:val="24"/>
        </w:rPr>
        <w:t>：</w:t>
      </w:r>
      <w:r>
        <w:rPr>
          <w:rFonts w:hint="eastAsia"/>
          <w:b/>
          <w:kern w:val="0"/>
          <w:sz w:val="24"/>
        </w:rPr>
        <w:t>32</w:t>
      </w:r>
      <w:r>
        <w:rPr>
          <w:kern w:val="0"/>
          <w:sz w:val="24"/>
        </w:rPr>
        <w:t>（其中：讲授学时</w:t>
      </w:r>
      <w:r>
        <w:rPr>
          <w:rFonts w:hint="eastAsia"/>
          <w:kern w:val="0"/>
          <w:sz w:val="24"/>
        </w:rPr>
        <w:t>32，</w:t>
      </w:r>
      <w:r>
        <w:rPr>
          <w:kern w:val="0"/>
          <w:sz w:val="24"/>
        </w:rPr>
        <w:t>实验学时</w:t>
      </w:r>
      <w:r>
        <w:rPr>
          <w:rFonts w:hint="eastAsia"/>
          <w:kern w:val="0"/>
          <w:sz w:val="24"/>
        </w:rPr>
        <w:t>0</w:t>
      </w:r>
      <w:r>
        <w:rPr>
          <w:kern w:val="0"/>
          <w:sz w:val="24"/>
        </w:rPr>
        <w:t>）</w:t>
      </w:r>
    </w:p>
    <w:p>
      <w:pPr>
        <w:spacing w:line="360" w:lineRule="auto"/>
        <w:ind w:firstLine="482" w:firstLineChars="200"/>
        <w:rPr>
          <w:bCs/>
          <w:kern w:val="0"/>
          <w:sz w:val="24"/>
        </w:rPr>
      </w:pPr>
      <w:r>
        <w:rPr>
          <w:b/>
          <w:bCs/>
          <w:kern w:val="0"/>
          <w:sz w:val="24"/>
        </w:rPr>
        <w:t>先修课程</w:t>
      </w:r>
      <w:r>
        <w:rPr>
          <w:b/>
          <w:kern w:val="0"/>
          <w:sz w:val="24"/>
        </w:rPr>
        <w:t>：</w:t>
      </w:r>
      <w:r>
        <w:rPr>
          <w:bCs/>
          <w:kern w:val="0"/>
          <w:sz w:val="24"/>
        </w:rPr>
        <w:t>无机化学、有机化学、分析化学、物理化学、化工原理、化工热力学、化工设备机械基础课程等</w:t>
      </w:r>
    </w:p>
    <w:p>
      <w:pPr>
        <w:spacing w:line="360" w:lineRule="auto"/>
        <w:ind w:firstLine="482" w:firstLineChars="200"/>
        <w:rPr>
          <w:kern w:val="0"/>
          <w:sz w:val="24"/>
        </w:rPr>
      </w:pPr>
      <w:r>
        <w:rPr>
          <w:b/>
          <w:bCs/>
          <w:kern w:val="0"/>
          <w:sz w:val="24"/>
        </w:rPr>
        <w:t>适用专业</w:t>
      </w:r>
      <w:r>
        <w:rPr>
          <w:b/>
          <w:kern w:val="0"/>
          <w:sz w:val="24"/>
        </w:rPr>
        <w:t>：</w:t>
      </w:r>
      <w:r>
        <w:rPr>
          <w:sz w:val="24"/>
        </w:rPr>
        <w:t>化学工程与工艺</w:t>
      </w:r>
      <w:r>
        <w:rPr>
          <w:rFonts w:eastAsia="黑体"/>
          <w:sz w:val="24"/>
        </w:rPr>
        <w:t xml:space="preserve">  </w:t>
      </w:r>
      <w:r>
        <w:rPr>
          <w:kern w:val="0"/>
          <w:sz w:val="24"/>
        </w:rPr>
        <w:t xml:space="preserve">                          </w:t>
      </w:r>
    </w:p>
    <w:p>
      <w:pPr>
        <w:spacing w:line="360" w:lineRule="auto"/>
        <w:ind w:firstLine="482" w:firstLineChars="200"/>
        <w:rPr>
          <w:sz w:val="24"/>
        </w:rPr>
      </w:pPr>
      <w:r>
        <w:rPr>
          <w:b/>
          <w:bCs/>
          <w:kern w:val="0"/>
          <w:sz w:val="24"/>
        </w:rPr>
        <w:t>建议教材</w:t>
      </w:r>
      <w:r>
        <w:rPr>
          <w:b/>
          <w:kern w:val="0"/>
          <w:sz w:val="24"/>
        </w:rPr>
        <w:t>：</w:t>
      </w:r>
      <w:r>
        <w:rPr>
          <w:sz w:val="24"/>
          <w:szCs w:val="21"/>
        </w:rPr>
        <w:t>《</w:t>
      </w:r>
      <w:r>
        <w:rPr>
          <w:sz w:val="24"/>
        </w:rPr>
        <w:t>化工环境保护与安全技术概论》，黄岳元，保宇编著，高等教育出版社，2014.12第二版</w:t>
      </w:r>
    </w:p>
    <w:p>
      <w:pPr>
        <w:spacing w:line="360" w:lineRule="auto"/>
        <w:ind w:firstLine="482" w:firstLineChars="200"/>
        <w:rPr>
          <w:bCs/>
          <w:kern w:val="0"/>
          <w:sz w:val="24"/>
        </w:rPr>
      </w:pPr>
      <w:r>
        <w:rPr>
          <w:b/>
          <w:bCs/>
          <w:kern w:val="0"/>
          <w:sz w:val="24"/>
        </w:rPr>
        <w:t>课程归口：</w:t>
      </w:r>
      <w:r>
        <w:rPr>
          <w:rFonts w:hint="eastAsia"/>
          <w:b/>
          <w:bCs/>
          <w:kern w:val="0"/>
          <w:sz w:val="24"/>
        </w:rPr>
        <w:t>化工与材料学院</w:t>
      </w:r>
    </w:p>
    <w:p>
      <w:pPr>
        <w:spacing w:line="360" w:lineRule="auto"/>
        <w:ind w:firstLine="482" w:firstLineChars="200"/>
        <w:rPr>
          <w:sz w:val="24"/>
        </w:rPr>
      </w:pPr>
      <w:r>
        <w:rPr>
          <w:b/>
          <w:bCs/>
          <w:kern w:val="0"/>
          <w:sz w:val="24"/>
        </w:rPr>
        <w:t>课程的性质与任务</w:t>
      </w:r>
      <w:r>
        <w:rPr>
          <w:rFonts w:hint="eastAsia"/>
          <w:b/>
          <w:bCs/>
          <w:kern w:val="0"/>
          <w:sz w:val="24"/>
        </w:rPr>
        <w:t>：</w:t>
      </w:r>
      <w:r>
        <w:rPr>
          <w:sz w:val="24"/>
        </w:rPr>
        <w:t>化工环保与安全是化学工程与工艺专业的</w:t>
      </w:r>
      <w:r>
        <w:rPr>
          <w:rFonts w:hint="eastAsia"/>
          <w:sz w:val="24"/>
        </w:rPr>
        <w:t>一门</w:t>
      </w:r>
      <w:r>
        <w:rPr>
          <w:sz w:val="24"/>
        </w:rPr>
        <w:t>专业</w:t>
      </w:r>
      <w:r>
        <w:rPr>
          <w:rFonts w:hint="eastAsia"/>
          <w:sz w:val="24"/>
        </w:rPr>
        <w:t>基础</w:t>
      </w:r>
      <w:r>
        <w:rPr>
          <w:sz w:val="24"/>
        </w:rPr>
        <w:t>课程，由</w:t>
      </w:r>
      <w:r>
        <w:rPr>
          <w:bCs/>
          <w:kern w:val="0"/>
          <w:sz w:val="24"/>
        </w:rPr>
        <w:t>化工环保和化工安全两部分内容组成。</w:t>
      </w:r>
      <w:r>
        <w:rPr>
          <w:sz w:val="24"/>
        </w:rPr>
        <w:t>本课程</w:t>
      </w:r>
      <w:r>
        <w:rPr>
          <w:bCs/>
          <w:kern w:val="0"/>
          <w:sz w:val="24"/>
        </w:rPr>
        <w:t>化工环保部分：</w:t>
      </w:r>
      <w:r>
        <w:rPr>
          <w:sz w:val="24"/>
        </w:rPr>
        <w:t>结合化工的特点，比较完整、系统地论述了化工环境保护的基本概念、基础理论和“三废”处理的基本方法，以及化工清洁生产工艺，本课程可以实现培养要求中的“三废”处理的基本技能、化工清洁生产以及化工可持续发展知识和能力要求。</w:t>
      </w:r>
      <w:r>
        <w:rPr>
          <w:bCs/>
          <w:kern w:val="0"/>
          <w:sz w:val="24"/>
        </w:rPr>
        <w:t>化工安全部分：化工安全工程是化学工程的重要组成部分，</w:t>
      </w:r>
      <w:r>
        <w:rPr>
          <w:color w:val="000000"/>
          <w:kern w:val="0"/>
          <w:sz w:val="24"/>
        </w:rPr>
        <w:t>燃烧爆</w:t>
      </w:r>
      <w:r>
        <w:rPr>
          <w:bCs/>
          <w:kern w:val="0"/>
          <w:sz w:val="24"/>
        </w:rPr>
        <w:t>炸原理、物质毒性知识及防火</w:t>
      </w:r>
      <w:r>
        <w:rPr>
          <w:color w:val="000000"/>
          <w:kern w:val="0"/>
          <w:sz w:val="24"/>
        </w:rPr>
        <w:t>防爆防毒措施</w:t>
      </w:r>
      <w:r>
        <w:rPr>
          <w:bCs/>
          <w:kern w:val="0"/>
          <w:sz w:val="24"/>
        </w:rPr>
        <w:t>是化工专业学生必须掌握的基本内容。</w:t>
      </w:r>
      <w:r>
        <w:rPr>
          <w:sz w:val="24"/>
        </w:rPr>
        <w:t>本课程介绍燃烧爆炸、化学品安全和化工设备安全的基础知识和理论，防火防爆和安全设计的基本方法。让学生了解化工生产中存在的各种不安全因素，掌握化工安全的基本理论和和安全设计的基本方法</w:t>
      </w:r>
      <w:r>
        <w:rPr>
          <w:rFonts w:hint="eastAsia"/>
          <w:sz w:val="24"/>
        </w:rPr>
        <w:t>，</w:t>
      </w:r>
      <w:r>
        <w:rPr>
          <w:rFonts w:hint="eastAsia"/>
          <w:bCs/>
          <w:color w:val="000000"/>
          <w:sz w:val="24"/>
        </w:rPr>
        <w:t>培养学生具有辩证思维能力，树立理论联系实际的科学价值观，也为今后从事相关工作打下良好的基础</w:t>
      </w:r>
      <w:r>
        <w:rPr>
          <w:sz w:val="24"/>
        </w:rPr>
        <w:t>。</w:t>
      </w:r>
    </w:p>
    <w:p>
      <w:pPr>
        <w:spacing w:line="360" w:lineRule="auto"/>
        <w:ind w:firstLine="562" w:firstLineChars="200"/>
        <w:rPr>
          <w:b/>
          <w:sz w:val="28"/>
          <w:szCs w:val="28"/>
        </w:rPr>
      </w:pPr>
      <w:r>
        <w:rPr>
          <w:rFonts w:hint="eastAsia"/>
          <w:b/>
          <w:sz w:val="28"/>
          <w:szCs w:val="28"/>
        </w:rPr>
        <w:t>二</w:t>
      </w:r>
      <w:r>
        <w:rPr>
          <w:b/>
          <w:sz w:val="28"/>
          <w:szCs w:val="28"/>
        </w:rPr>
        <w:t>、课程目标对毕业要求观测点的支撑</w:t>
      </w:r>
    </w:p>
    <w:tbl>
      <w:tblPr>
        <w:tblStyle w:val="1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118"/>
        <w:gridCol w:w="2292"/>
        <w:gridCol w:w="3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38" w:type="dxa"/>
            <w:noWrap/>
            <w:vAlign w:val="center"/>
          </w:tcPr>
          <w:p>
            <w:pPr>
              <w:widowControl/>
              <w:jc w:val="center"/>
              <w:rPr>
                <w:b/>
                <w:bCs/>
                <w:kern w:val="0"/>
                <w:szCs w:val="21"/>
              </w:rPr>
            </w:pPr>
            <w:r>
              <w:rPr>
                <w:b/>
                <w:bCs/>
                <w:kern w:val="0"/>
                <w:szCs w:val="21"/>
              </w:rPr>
              <w:t>序号</w:t>
            </w:r>
          </w:p>
        </w:tc>
        <w:tc>
          <w:tcPr>
            <w:tcW w:w="3118" w:type="dxa"/>
            <w:noWrap/>
            <w:vAlign w:val="center"/>
          </w:tcPr>
          <w:p>
            <w:pPr>
              <w:widowControl/>
              <w:jc w:val="center"/>
              <w:rPr>
                <w:rFonts w:hint="eastAsia"/>
                <w:b/>
                <w:bCs/>
                <w:kern w:val="0"/>
                <w:szCs w:val="21"/>
              </w:rPr>
            </w:pPr>
            <w:r>
              <w:rPr>
                <w:b/>
                <w:bCs/>
                <w:kern w:val="0"/>
                <w:szCs w:val="21"/>
              </w:rPr>
              <w:t>课程目标</w:t>
            </w:r>
          </w:p>
        </w:tc>
        <w:tc>
          <w:tcPr>
            <w:tcW w:w="2292" w:type="dxa"/>
            <w:noWrap/>
            <w:vAlign w:val="center"/>
          </w:tcPr>
          <w:p>
            <w:pPr>
              <w:widowControl/>
              <w:jc w:val="center"/>
              <w:rPr>
                <w:b/>
                <w:bCs/>
                <w:kern w:val="0"/>
                <w:szCs w:val="21"/>
              </w:rPr>
            </w:pPr>
            <w:r>
              <w:rPr>
                <w:b/>
                <w:bCs/>
                <w:kern w:val="0"/>
                <w:szCs w:val="21"/>
              </w:rPr>
              <w:t>支撑毕业要求观测点</w:t>
            </w:r>
          </w:p>
        </w:tc>
        <w:tc>
          <w:tcPr>
            <w:tcW w:w="3066" w:type="dxa"/>
            <w:noWrap/>
            <w:vAlign w:val="center"/>
          </w:tcPr>
          <w:p>
            <w:pPr>
              <w:widowControl/>
              <w:jc w:val="center"/>
              <w:rPr>
                <w:rFonts w:hint="eastAsia"/>
                <w:b/>
                <w:bCs/>
                <w:kern w:val="0"/>
                <w:szCs w:val="21"/>
              </w:rPr>
            </w:pPr>
            <w:r>
              <w:rPr>
                <w:b/>
                <w:bCs/>
                <w:kern w:val="0"/>
                <w:szCs w:val="21"/>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38" w:type="dxa"/>
            <w:noWrap/>
            <w:vAlign w:val="center"/>
          </w:tcPr>
          <w:p>
            <w:pPr>
              <w:widowControl/>
              <w:jc w:val="center"/>
              <w:rPr>
                <w:kern w:val="0"/>
                <w:szCs w:val="21"/>
              </w:rPr>
            </w:pPr>
            <w:r>
              <w:rPr>
                <w:kern w:val="0"/>
                <w:szCs w:val="21"/>
              </w:rPr>
              <w:t>1</w:t>
            </w:r>
          </w:p>
        </w:tc>
        <w:tc>
          <w:tcPr>
            <w:tcW w:w="3118" w:type="dxa"/>
            <w:noWrap/>
            <w:vAlign w:val="center"/>
          </w:tcPr>
          <w:p>
            <w:pPr>
              <w:rPr>
                <w:kern w:val="0"/>
                <w:szCs w:val="21"/>
              </w:rPr>
            </w:pPr>
            <w:r>
              <w:rPr>
                <w:b/>
                <w:kern w:val="0"/>
                <w:szCs w:val="21"/>
              </w:rPr>
              <w:t>目标1：</w:t>
            </w:r>
            <w:r>
              <w:rPr>
                <w:bCs/>
                <w:kern w:val="0"/>
                <w:szCs w:val="21"/>
              </w:rPr>
              <w:t>掌握环境、环境科学、环境保护的相关概念，理解环境科学的研究领域与发展、环境工程的研究对象和内容</w:t>
            </w:r>
            <w:r>
              <w:rPr>
                <w:rFonts w:hint="eastAsia"/>
                <w:b/>
                <w:kern w:val="0"/>
                <w:szCs w:val="21"/>
              </w:rPr>
              <w:t>。</w:t>
            </w:r>
          </w:p>
        </w:tc>
        <w:tc>
          <w:tcPr>
            <w:tcW w:w="2292" w:type="dxa"/>
            <w:noWrap/>
            <w:vAlign w:val="center"/>
          </w:tcPr>
          <w:p>
            <w:pPr>
              <w:widowControl/>
              <w:rPr>
                <w:kern w:val="0"/>
                <w:szCs w:val="21"/>
              </w:rPr>
            </w:pPr>
            <w:r>
              <w:rPr>
                <w:b/>
                <w:szCs w:val="21"/>
              </w:rPr>
              <w:t>观测点</w:t>
            </w:r>
            <w:r>
              <w:rPr>
                <w:rFonts w:hint="eastAsia"/>
                <w:b/>
                <w:szCs w:val="21"/>
              </w:rPr>
              <w:t>3.1</w:t>
            </w:r>
            <w:r>
              <w:rPr>
                <w:szCs w:val="21"/>
              </w:rPr>
              <w:t>：</w:t>
            </w:r>
            <w:r>
              <w:rPr>
                <w:rFonts w:hint="eastAsia" w:ascii="宋体" w:hAnsi="宋体" w:cs="宋体"/>
                <w:color w:val="000000"/>
                <w:kern w:val="0"/>
              </w:rPr>
              <w:t>能够比较和选择研究路线，设计实验方案</w:t>
            </w:r>
            <w:r>
              <w:rPr>
                <w:szCs w:val="21"/>
              </w:rPr>
              <w:t>。</w:t>
            </w:r>
          </w:p>
        </w:tc>
        <w:tc>
          <w:tcPr>
            <w:tcW w:w="3066" w:type="dxa"/>
            <w:noWrap/>
            <w:vAlign w:val="center"/>
          </w:tcPr>
          <w:p>
            <w:pPr>
              <w:tabs>
                <w:tab w:val="left" w:pos="0"/>
              </w:tabs>
              <w:ind w:right="100"/>
              <w:rPr>
                <w:szCs w:val="21"/>
              </w:rPr>
            </w:pPr>
            <w:r>
              <w:rPr>
                <w:rFonts w:hint="eastAsia"/>
                <w:b/>
                <w:bCs/>
                <w:szCs w:val="21"/>
              </w:rPr>
              <w:t>毕业要求3</w:t>
            </w:r>
            <w:r>
              <w:rPr>
                <w:b/>
                <w:bCs/>
                <w:szCs w:val="21"/>
              </w:rPr>
              <w:t>设计/开发方案：</w:t>
            </w:r>
            <w:r>
              <w:rPr>
                <w:color w:val="000000"/>
                <w:kern w:val="0"/>
                <w:szCs w:val="21"/>
              </w:rPr>
              <w:t>能够设计针对化学工程与工艺领域复杂工程问题的解决方案，设计满足特定需求的系统、单元（部件）、工艺流程或技术，并能够在设计环节中体现创新意识，考虑社会、健康、安全、法律、文化以及环境等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38" w:type="dxa"/>
            <w:noWrap/>
            <w:vAlign w:val="center"/>
          </w:tcPr>
          <w:p>
            <w:pPr>
              <w:widowControl/>
              <w:jc w:val="center"/>
              <w:rPr>
                <w:kern w:val="0"/>
                <w:szCs w:val="21"/>
              </w:rPr>
            </w:pPr>
            <w:r>
              <w:rPr>
                <w:kern w:val="0"/>
                <w:szCs w:val="21"/>
              </w:rPr>
              <w:t>2</w:t>
            </w:r>
          </w:p>
        </w:tc>
        <w:tc>
          <w:tcPr>
            <w:tcW w:w="3118" w:type="dxa"/>
            <w:noWrap/>
            <w:vAlign w:val="center"/>
          </w:tcPr>
          <w:p>
            <w:pPr>
              <w:widowControl/>
              <w:rPr>
                <w:rFonts w:hint="eastAsia"/>
                <w:kern w:val="0"/>
                <w:szCs w:val="21"/>
              </w:rPr>
            </w:pPr>
            <w:r>
              <w:rPr>
                <w:b/>
                <w:kern w:val="0"/>
                <w:szCs w:val="21"/>
              </w:rPr>
              <w:t>目标2：</w:t>
            </w:r>
            <w:r>
              <w:rPr>
                <w:bCs/>
                <w:kern w:val="0"/>
                <w:szCs w:val="21"/>
              </w:rPr>
              <w:t>了解</w:t>
            </w:r>
            <w:r>
              <w:rPr>
                <w:rFonts w:hint="eastAsia"/>
                <w:bCs/>
                <w:kern w:val="0"/>
                <w:szCs w:val="21"/>
              </w:rPr>
              <w:t>并掌握</w:t>
            </w:r>
            <w:r>
              <w:rPr>
                <w:bCs/>
                <w:kern w:val="0"/>
                <w:szCs w:val="21"/>
              </w:rPr>
              <w:t>化工</w:t>
            </w:r>
            <w:r>
              <w:rPr>
                <w:rFonts w:hint="eastAsia"/>
                <w:bCs/>
                <w:kern w:val="0"/>
                <w:szCs w:val="21"/>
              </w:rPr>
              <w:t>废弃物的特点、分类及处理方法。</w:t>
            </w:r>
          </w:p>
        </w:tc>
        <w:tc>
          <w:tcPr>
            <w:tcW w:w="2292" w:type="dxa"/>
            <w:noWrap/>
            <w:vAlign w:val="center"/>
          </w:tcPr>
          <w:p>
            <w:pPr>
              <w:widowControl/>
              <w:rPr>
                <w:kern w:val="0"/>
                <w:szCs w:val="21"/>
              </w:rPr>
            </w:pPr>
            <w:r>
              <w:rPr>
                <w:b/>
                <w:color w:val="000000"/>
                <w:kern w:val="0"/>
                <w:szCs w:val="21"/>
              </w:rPr>
              <w:t>观测点</w:t>
            </w:r>
            <w:r>
              <w:rPr>
                <w:rFonts w:hint="eastAsia"/>
                <w:b/>
                <w:szCs w:val="21"/>
              </w:rPr>
              <w:t>6</w:t>
            </w:r>
            <w:r>
              <w:rPr>
                <w:b/>
                <w:szCs w:val="21"/>
              </w:rPr>
              <w:t>.</w:t>
            </w:r>
            <w:r>
              <w:rPr>
                <w:rFonts w:hint="eastAsia"/>
                <w:b/>
                <w:szCs w:val="21"/>
              </w:rPr>
              <w:t>2</w:t>
            </w:r>
            <w:r>
              <w:rPr>
                <w:szCs w:val="21"/>
              </w:rPr>
              <w:t>：</w:t>
            </w:r>
            <w:r>
              <w:rPr>
                <w:color w:val="000000"/>
                <w:kern w:val="0"/>
              </w:rPr>
              <w:t>熟悉与化工相关的技术标准、知识产权、产业政策和法律法规，了解企业管理体系</w:t>
            </w:r>
          </w:p>
        </w:tc>
        <w:tc>
          <w:tcPr>
            <w:tcW w:w="3066" w:type="dxa"/>
            <w:noWrap/>
            <w:vAlign w:val="center"/>
          </w:tcPr>
          <w:p>
            <w:pPr>
              <w:tabs>
                <w:tab w:val="left" w:pos="0"/>
              </w:tabs>
              <w:ind w:right="100"/>
              <w:rPr>
                <w:kern w:val="0"/>
                <w:szCs w:val="21"/>
              </w:rPr>
            </w:pPr>
            <w:r>
              <w:rPr>
                <w:b/>
                <w:color w:val="000000"/>
                <w:kern w:val="0"/>
                <w:szCs w:val="21"/>
              </w:rPr>
              <w:t>毕业要求</w:t>
            </w:r>
            <w:r>
              <w:rPr>
                <w:rFonts w:hint="eastAsia"/>
                <w:b/>
                <w:color w:val="000000"/>
                <w:kern w:val="0"/>
                <w:szCs w:val="21"/>
              </w:rPr>
              <w:t>6</w:t>
            </w:r>
            <w:r>
              <w:rPr>
                <w:b/>
                <w:bCs/>
                <w:szCs w:val="21"/>
              </w:rPr>
              <w:t>工程与社会：</w:t>
            </w:r>
            <w:r>
              <w:rPr>
                <w:color w:val="000000"/>
                <w:kern w:val="0"/>
                <w:szCs w:val="21"/>
              </w:rPr>
              <w:t>能够基于化学工程与工艺相关背景知识进行合理分析，评价化学工程与工艺领域的专业工程实践和复杂工程问题解决方案对社会、健康、安全、法律以及文化的影响，并理解应承担的责任。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38" w:type="dxa"/>
            <w:noWrap/>
            <w:vAlign w:val="center"/>
          </w:tcPr>
          <w:p>
            <w:pPr>
              <w:widowControl/>
              <w:jc w:val="center"/>
              <w:rPr>
                <w:rFonts w:hint="eastAsia"/>
                <w:kern w:val="0"/>
                <w:szCs w:val="21"/>
              </w:rPr>
            </w:pPr>
            <w:r>
              <w:rPr>
                <w:rFonts w:hint="eastAsia"/>
                <w:kern w:val="0"/>
                <w:szCs w:val="21"/>
              </w:rPr>
              <w:t>3</w:t>
            </w:r>
          </w:p>
        </w:tc>
        <w:tc>
          <w:tcPr>
            <w:tcW w:w="3118" w:type="dxa"/>
            <w:noWrap/>
            <w:vAlign w:val="center"/>
          </w:tcPr>
          <w:p>
            <w:pPr>
              <w:rPr>
                <w:b/>
                <w:bCs/>
                <w:szCs w:val="21"/>
              </w:rPr>
            </w:pPr>
            <w:r>
              <w:rPr>
                <w:b/>
                <w:bCs/>
                <w:szCs w:val="21"/>
              </w:rPr>
              <w:t>目标</w:t>
            </w:r>
            <w:r>
              <w:rPr>
                <w:rFonts w:hint="eastAsia"/>
                <w:b/>
                <w:bCs/>
                <w:szCs w:val="21"/>
              </w:rPr>
              <w:t>3：</w:t>
            </w:r>
            <w:r>
              <w:rPr>
                <w:szCs w:val="21"/>
              </w:rPr>
              <w:t xml:space="preserve"> </w:t>
            </w:r>
            <w:r>
              <w:rPr>
                <w:bCs/>
                <w:kern w:val="0"/>
                <w:szCs w:val="21"/>
              </w:rPr>
              <w:t>了解化工生产中的安全问题和化工生产对安全的要求，掌握安全工程的基本概念和化工安全工程研究的对象和基本内容。</w:t>
            </w:r>
          </w:p>
        </w:tc>
        <w:tc>
          <w:tcPr>
            <w:tcW w:w="2292" w:type="dxa"/>
            <w:noWrap/>
            <w:vAlign w:val="center"/>
          </w:tcPr>
          <w:p>
            <w:pPr>
              <w:widowControl/>
              <w:rPr>
                <w:rFonts w:hint="eastAsia"/>
                <w:b/>
                <w:bCs/>
                <w:color w:val="000000"/>
                <w:kern w:val="0"/>
              </w:rPr>
            </w:pPr>
            <w:r>
              <w:rPr>
                <w:rFonts w:hint="eastAsia"/>
                <w:b/>
                <w:bCs/>
                <w:color w:val="000000"/>
                <w:kern w:val="0"/>
              </w:rPr>
              <w:t>观测点</w:t>
            </w:r>
            <w:r>
              <w:rPr>
                <w:b/>
                <w:bCs/>
                <w:color w:val="000000"/>
                <w:kern w:val="0"/>
              </w:rPr>
              <w:t>6</w:t>
            </w:r>
            <w:r>
              <w:rPr>
                <w:rFonts w:hint="eastAsia"/>
                <w:b/>
                <w:bCs/>
                <w:color w:val="000000"/>
                <w:kern w:val="0"/>
              </w:rPr>
              <w:t>.3：</w:t>
            </w:r>
            <w:r>
              <w:rPr>
                <w:color w:val="000000"/>
                <w:kern w:val="0"/>
              </w:rPr>
              <w:t>能够识别，量化和分析化工新产品、新技术、新工艺的开发和应对社会、健康、安全、法律以及文化的潜在影响</w:t>
            </w:r>
          </w:p>
        </w:tc>
        <w:tc>
          <w:tcPr>
            <w:tcW w:w="3066" w:type="dxa"/>
            <w:noWrap/>
            <w:vAlign w:val="center"/>
          </w:tcPr>
          <w:p>
            <w:pPr>
              <w:tabs>
                <w:tab w:val="left" w:pos="0"/>
              </w:tabs>
              <w:ind w:right="100"/>
              <w:rPr>
                <w:rFonts w:hint="eastAsia"/>
                <w:b/>
                <w:bCs/>
                <w:szCs w:val="21"/>
              </w:rPr>
            </w:pPr>
            <w:r>
              <w:rPr>
                <w:b/>
                <w:color w:val="000000"/>
                <w:kern w:val="0"/>
                <w:szCs w:val="21"/>
              </w:rPr>
              <w:t>毕业要求</w:t>
            </w:r>
            <w:r>
              <w:rPr>
                <w:rFonts w:hint="eastAsia"/>
                <w:b/>
                <w:color w:val="000000"/>
                <w:kern w:val="0"/>
                <w:szCs w:val="21"/>
              </w:rPr>
              <w:t>6</w:t>
            </w:r>
            <w:r>
              <w:rPr>
                <w:b/>
                <w:bCs/>
                <w:szCs w:val="21"/>
              </w:rPr>
              <w:t>工程与社会：</w:t>
            </w:r>
            <w:r>
              <w:rPr>
                <w:color w:val="000000"/>
                <w:kern w:val="0"/>
                <w:szCs w:val="21"/>
              </w:rPr>
              <w:t>能够基于化学工程与工艺相关背景知识进行合理分析，评价化学工程与工艺领域的专业工程实践和复杂工程问题解决方案对社会、健康、安全、法律以及文化的影响，并理解应承担的责任。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38" w:type="dxa"/>
            <w:noWrap/>
            <w:vAlign w:val="center"/>
          </w:tcPr>
          <w:p>
            <w:pPr>
              <w:widowControl/>
              <w:jc w:val="center"/>
              <w:rPr>
                <w:kern w:val="0"/>
                <w:szCs w:val="21"/>
              </w:rPr>
            </w:pPr>
            <w:r>
              <w:rPr>
                <w:rFonts w:hint="eastAsia"/>
                <w:kern w:val="0"/>
                <w:szCs w:val="21"/>
              </w:rPr>
              <w:t>4</w:t>
            </w:r>
          </w:p>
        </w:tc>
        <w:tc>
          <w:tcPr>
            <w:tcW w:w="3118" w:type="dxa"/>
            <w:noWrap/>
            <w:vAlign w:val="center"/>
          </w:tcPr>
          <w:p>
            <w:pPr>
              <w:rPr>
                <w:rFonts w:hint="eastAsia"/>
                <w:bCs/>
                <w:kern w:val="0"/>
                <w:szCs w:val="21"/>
              </w:rPr>
            </w:pPr>
            <w:r>
              <w:rPr>
                <w:b/>
                <w:bCs/>
                <w:szCs w:val="21"/>
              </w:rPr>
              <w:t>目标</w:t>
            </w:r>
            <w:r>
              <w:rPr>
                <w:rFonts w:hint="eastAsia"/>
                <w:b/>
                <w:bCs/>
                <w:szCs w:val="21"/>
              </w:rPr>
              <w:t>4：</w:t>
            </w:r>
            <w:r>
              <w:rPr>
                <w:b/>
                <w:bCs/>
                <w:szCs w:val="21"/>
              </w:rPr>
              <w:t xml:space="preserve"> </w:t>
            </w:r>
            <w:r>
              <w:rPr>
                <w:bCs/>
                <w:kern w:val="0"/>
                <w:szCs w:val="21"/>
              </w:rPr>
              <w:t>了解</w:t>
            </w:r>
            <w:r>
              <w:rPr>
                <w:rFonts w:hint="eastAsia"/>
                <w:bCs/>
                <w:kern w:val="0"/>
                <w:szCs w:val="21"/>
              </w:rPr>
              <w:t>清洁生产的意义和目的，建立可持续发展、循环经济的理念</w:t>
            </w:r>
            <w:r>
              <w:rPr>
                <w:bCs/>
                <w:kern w:val="0"/>
                <w:szCs w:val="21"/>
              </w:rPr>
              <w:t>。</w:t>
            </w:r>
            <w:r>
              <w:rPr>
                <w:rFonts w:hint="eastAsia"/>
                <w:bCs/>
                <w:kern w:val="0"/>
                <w:szCs w:val="21"/>
              </w:rPr>
              <w:t>了解我国在环境保护等领域的相关法律法规。</w:t>
            </w:r>
          </w:p>
        </w:tc>
        <w:tc>
          <w:tcPr>
            <w:tcW w:w="2292" w:type="dxa"/>
            <w:noWrap/>
            <w:vAlign w:val="center"/>
          </w:tcPr>
          <w:p>
            <w:pPr>
              <w:widowControl/>
              <w:rPr>
                <w:b/>
                <w:color w:val="000000"/>
                <w:kern w:val="0"/>
                <w:szCs w:val="21"/>
              </w:rPr>
            </w:pPr>
            <w:r>
              <w:rPr>
                <w:rFonts w:hint="eastAsia"/>
                <w:b/>
                <w:bCs/>
                <w:color w:val="000000"/>
                <w:kern w:val="0"/>
              </w:rPr>
              <w:t>观测点</w:t>
            </w:r>
            <w:r>
              <w:rPr>
                <w:b/>
                <w:bCs/>
                <w:color w:val="000000"/>
                <w:kern w:val="0"/>
              </w:rPr>
              <w:t>7</w:t>
            </w:r>
            <w:r>
              <w:rPr>
                <w:rFonts w:hint="eastAsia"/>
                <w:b/>
                <w:bCs/>
                <w:color w:val="000000"/>
                <w:kern w:val="0"/>
              </w:rPr>
              <w:t>.</w:t>
            </w:r>
            <w:r>
              <w:rPr>
                <w:b/>
                <w:bCs/>
                <w:color w:val="000000"/>
                <w:kern w:val="0"/>
              </w:rPr>
              <w:t>1</w:t>
            </w:r>
            <w:r>
              <w:rPr>
                <w:rFonts w:hint="eastAsia"/>
                <w:b/>
                <w:bCs/>
                <w:color w:val="000000"/>
                <w:kern w:val="0"/>
              </w:rPr>
              <w:t>：</w:t>
            </w:r>
            <w:r>
              <w:rPr>
                <w:color w:val="000000"/>
                <w:kern w:val="0"/>
              </w:rPr>
              <w:t>理解化工过程中环境保护和可持续发展的重要意义</w:t>
            </w:r>
          </w:p>
        </w:tc>
        <w:tc>
          <w:tcPr>
            <w:tcW w:w="3066" w:type="dxa"/>
            <w:noWrap/>
            <w:vAlign w:val="center"/>
          </w:tcPr>
          <w:p>
            <w:pPr>
              <w:tabs>
                <w:tab w:val="left" w:pos="0"/>
              </w:tabs>
              <w:ind w:right="100"/>
              <w:rPr>
                <w:b/>
                <w:color w:val="000000"/>
                <w:kern w:val="0"/>
                <w:szCs w:val="21"/>
              </w:rPr>
            </w:pPr>
            <w:r>
              <w:rPr>
                <w:rFonts w:hint="eastAsia"/>
                <w:b/>
                <w:bCs/>
                <w:szCs w:val="21"/>
              </w:rPr>
              <w:t>毕业要求7</w:t>
            </w:r>
            <w:r>
              <w:rPr>
                <w:b/>
                <w:bCs/>
                <w:szCs w:val="21"/>
              </w:rPr>
              <w:t>环境和可持续发展：</w:t>
            </w:r>
            <w:r>
              <w:rPr>
                <w:color w:val="000000"/>
                <w:kern w:val="0"/>
                <w:szCs w:val="21"/>
              </w:rPr>
              <w:t>能够理解和评价针对化学工程与工艺领域的复杂工程问题的工程实践对环境、社会可持续发展的影响。</w:t>
            </w:r>
          </w:p>
        </w:tc>
      </w:tr>
    </w:tbl>
    <w:p>
      <w:pPr>
        <w:spacing w:line="360" w:lineRule="auto"/>
        <w:ind w:firstLine="562" w:firstLineChars="200"/>
        <w:rPr>
          <w:sz w:val="24"/>
        </w:rPr>
      </w:pPr>
      <w:r>
        <w:rPr>
          <w:rFonts w:hint="eastAsia"/>
          <w:b/>
          <w:sz w:val="28"/>
          <w:szCs w:val="28"/>
        </w:rPr>
        <w:t>三</w:t>
      </w:r>
      <w:r>
        <w:rPr>
          <w:b/>
          <w:sz w:val="28"/>
          <w:szCs w:val="28"/>
        </w:rPr>
        <w:t>、课程内容及要求</w:t>
      </w:r>
    </w:p>
    <w:tbl>
      <w:tblPr>
        <w:tblStyle w:val="10"/>
        <w:tblW w:w="93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7"/>
        <w:gridCol w:w="2114"/>
        <w:gridCol w:w="1586"/>
        <w:gridCol w:w="1988"/>
        <w:gridCol w:w="846"/>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7" w:type="dxa"/>
            <w:noWrap w:val="0"/>
            <w:vAlign w:val="center"/>
          </w:tcPr>
          <w:p>
            <w:pPr>
              <w:jc w:val="center"/>
              <w:rPr>
                <w:b/>
                <w:bCs/>
                <w:szCs w:val="21"/>
              </w:rPr>
            </w:pPr>
            <w:r>
              <w:rPr>
                <w:b/>
                <w:bCs/>
                <w:szCs w:val="21"/>
              </w:rPr>
              <w:t>序号</w:t>
            </w:r>
          </w:p>
        </w:tc>
        <w:tc>
          <w:tcPr>
            <w:tcW w:w="2114" w:type="dxa"/>
            <w:noWrap w:val="0"/>
            <w:vAlign w:val="center"/>
          </w:tcPr>
          <w:p>
            <w:pPr>
              <w:jc w:val="center"/>
              <w:rPr>
                <w:b/>
                <w:bCs/>
                <w:szCs w:val="21"/>
              </w:rPr>
            </w:pPr>
            <w:r>
              <w:rPr>
                <w:b/>
                <w:bCs/>
                <w:szCs w:val="21"/>
              </w:rPr>
              <w:t>教学内容</w:t>
            </w:r>
          </w:p>
        </w:tc>
        <w:tc>
          <w:tcPr>
            <w:tcW w:w="1586" w:type="dxa"/>
            <w:noWrap w:val="0"/>
            <w:vAlign w:val="center"/>
          </w:tcPr>
          <w:p>
            <w:pPr>
              <w:jc w:val="center"/>
              <w:rPr>
                <w:b/>
                <w:bCs/>
                <w:szCs w:val="21"/>
              </w:rPr>
            </w:pPr>
            <w:r>
              <w:rPr>
                <w:b/>
                <w:bCs/>
                <w:szCs w:val="21"/>
              </w:rPr>
              <w:t>思政元素</w:t>
            </w:r>
          </w:p>
        </w:tc>
        <w:tc>
          <w:tcPr>
            <w:tcW w:w="1988" w:type="dxa"/>
            <w:noWrap w:val="0"/>
            <w:vAlign w:val="center"/>
          </w:tcPr>
          <w:p>
            <w:pPr>
              <w:jc w:val="center"/>
              <w:rPr>
                <w:rFonts w:hint="eastAsia"/>
                <w:b/>
                <w:bCs/>
                <w:szCs w:val="21"/>
              </w:rPr>
            </w:pPr>
            <w:r>
              <w:rPr>
                <w:b/>
                <w:bCs/>
                <w:szCs w:val="21"/>
              </w:rPr>
              <w:t>预期学习成果</w:t>
            </w:r>
          </w:p>
        </w:tc>
        <w:tc>
          <w:tcPr>
            <w:tcW w:w="846" w:type="dxa"/>
            <w:noWrap w:val="0"/>
            <w:vAlign w:val="center"/>
          </w:tcPr>
          <w:p>
            <w:pPr>
              <w:jc w:val="center"/>
              <w:rPr>
                <w:b/>
                <w:bCs/>
                <w:szCs w:val="21"/>
              </w:rPr>
            </w:pPr>
            <w:r>
              <w:rPr>
                <w:b/>
                <w:bCs/>
                <w:szCs w:val="21"/>
              </w:rPr>
              <w:t>教学学时</w:t>
            </w:r>
          </w:p>
        </w:tc>
        <w:tc>
          <w:tcPr>
            <w:tcW w:w="959" w:type="dxa"/>
            <w:noWrap w:val="0"/>
            <w:vAlign w:val="center"/>
          </w:tcPr>
          <w:p>
            <w:pPr>
              <w:jc w:val="center"/>
              <w:rPr>
                <w:b/>
                <w:bCs/>
                <w:szCs w:val="21"/>
              </w:rPr>
            </w:pPr>
            <w:r>
              <w:rPr>
                <w:b/>
                <w:bCs/>
                <w:szCs w:val="21"/>
              </w:rPr>
              <w:t>教学方式</w:t>
            </w:r>
          </w:p>
        </w:tc>
        <w:tc>
          <w:tcPr>
            <w:tcW w:w="1052" w:type="dxa"/>
            <w:noWrap w:val="0"/>
            <w:vAlign w:val="center"/>
          </w:tcPr>
          <w:p>
            <w:pPr>
              <w:jc w:val="center"/>
              <w:rPr>
                <w:b/>
                <w:bCs/>
                <w:szCs w:val="21"/>
              </w:rPr>
            </w:pPr>
            <w:r>
              <w:rPr>
                <w:b/>
                <w:bCs/>
                <w:szCs w:val="21"/>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7" w:type="dxa"/>
            <w:noWrap w:val="0"/>
            <w:vAlign w:val="center"/>
          </w:tcPr>
          <w:p>
            <w:pPr>
              <w:jc w:val="center"/>
              <w:rPr>
                <w:szCs w:val="21"/>
              </w:rPr>
            </w:pPr>
            <w:r>
              <w:rPr>
                <w:szCs w:val="21"/>
              </w:rPr>
              <w:t>1</w:t>
            </w:r>
          </w:p>
        </w:tc>
        <w:tc>
          <w:tcPr>
            <w:tcW w:w="2114" w:type="dxa"/>
            <w:noWrap w:val="0"/>
            <w:vAlign w:val="center"/>
          </w:tcPr>
          <w:p>
            <w:pPr>
              <w:rPr>
                <w:rFonts w:hint="eastAsia"/>
                <w:b/>
                <w:kern w:val="0"/>
                <w:szCs w:val="21"/>
              </w:rPr>
            </w:pPr>
            <w:r>
              <w:rPr>
                <w:rFonts w:hint="eastAsia"/>
                <w:b/>
                <w:kern w:val="0"/>
                <w:szCs w:val="21"/>
              </w:rPr>
              <w:t>绪论</w:t>
            </w:r>
          </w:p>
          <w:p>
            <w:pPr>
              <w:rPr>
                <w:bCs/>
                <w:kern w:val="0"/>
                <w:szCs w:val="21"/>
              </w:rPr>
            </w:pPr>
            <w:r>
              <w:rPr>
                <w:rFonts w:hint="eastAsia"/>
                <w:b/>
                <w:kern w:val="0"/>
                <w:szCs w:val="21"/>
              </w:rPr>
              <w:t>教学内容：</w:t>
            </w:r>
            <w:r>
              <w:rPr>
                <w:bCs/>
                <w:kern w:val="0"/>
                <w:szCs w:val="21"/>
              </w:rPr>
              <w:t>环境科学、环境保护的相关概念，环境科学的研究领域与发展、环境工程的研究对象和内容</w:t>
            </w:r>
            <w:r>
              <w:rPr>
                <w:rFonts w:hint="eastAsia"/>
                <w:bCs/>
                <w:kern w:val="0"/>
                <w:szCs w:val="21"/>
              </w:rPr>
              <w:t>；</w:t>
            </w:r>
            <w:r>
              <w:rPr>
                <w:bCs/>
                <w:kern w:val="0"/>
                <w:szCs w:val="21"/>
              </w:rPr>
              <w:t>当前世界环境的主要问题、环境污染和危害</w:t>
            </w:r>
            <w:r>
              <w:rPr>
                <w:rFonts w:hint="eastAsia"/>
                <w:bCs/>
                <w:kern w:val="0"/>
                <w:szCs w:val="21"/>
              </w:rPr>
              <w:t>；</w:t>
            </w:r>
            <w:r>
              <w:rPr>
                <w:bCs/>
                <w:kern w:val="0"/>
                <w:szCs w:val="21"/>
              </w:rPr>
              <w:t>环境保护的重要性</w:t>
            </w:r>
            <w:r>
              <w:rPr>
                <w:rFonts w:hint="eastAsia"/>
                <w:bCs/>
                <w:kern w:val="0"/>
                <w:szCs w:val="21"/>
              </w:rPr>
              <w:t>及</w:t>
            </w:r>
            <w:r>
              <w:rPr>
                <w:bCs/>
                <w:kern w:val="0"/>
                <w:szCs w:val="21"/>
              </w:rPr>
              <w:t>我国的环境保护的主要环保政策</w:t>
            </w:r>
            <w:r>
              <w:rPr>
                <w:rFonts w:hint="eastAsia"/>
                <w:bCs/>
                <w:kern w:val="0"/>
                <w:szCs w:val="21"/>
              </w:rPr>
              <w:t>；</w:t>
            </w:r>
            <w:r>
              <w:rPr>
                <w:bCs/>
                <w:kern w:val="0"/>
                <w:szCs w:val="21"/>
              </w:rPr>
              <w:t>化工污染种类</w:t>
            </w:r>
            <w:r>
              <w:rPr>
                <w:rFonts w:hint="eastAsia"/>
                <w:bCs/>
                <w:kern w:val="0"/>
                <w:szCs w:val="21"/>
              </w:rPr>
              <w:t>、</w:t>
            </w:r>
            <w:r>
              <w:rPr>
                <w:bCs/>
                <w:kern w:val="0"/>
                <w:szCs w:val="21"/>
              </w:rPr>
              <w:t>来源</w:t>
            </w:r>
            <w:r>
              <w:rPr>
                <w:rFonts w:hint="eastAsia"/>
                <w:bCs/>
                <w:kern w:val="0"/>
                <w:szCs w:val="21"/>
              </w:rPr>
              <w:t>及</w:t>
            </w:r>
            <w:r>
              <w:rPr>
                <w:bCs/>
                <w:kern w:val="0"/>
                <w:szCs w:val="21"/>
              </w:rPr>
              <w:t>特点</w:t>
            </w:r>
            <w:r>
              <w:rPr>
                <w:rFonts w:hint="eastAsia"/>
                <w:bCs/>
                <w:kern w:val="0"/>
                <w:szCs w:val="21"/>
              </w:rPr>
              <w:t>等</w:t>
            </w:r>
            <w:r>
              <w:rPr>
                <w:bCs/>
                <w:kern w:val="0"/>
                <w:szCs w:val="21"/>
              </w:rPr>
              <w:t>。</w:t>
            </w:r>
          </w:p>
          <w:p>
            <w:pPr>
              <w:rPr>
                <w:rFonts w:hint="eastAsia"/>
                <w:kern w:val="0"/>
                <w:szCs w:val="21"/>
              </w:rPr>
            </w:pPr>
            <w:r>
              <w:rPr>
                <w:rFonts w:hint="eastAsia"/>
                <w:b/>
                <w:kern w:val="0"/>
                <w:szCs w:val="21"/>
              </w:rPr>
              <w:t>重点和难点：</w:t>
            </w:r>
            <w:r>
              <w:rPr>
                <w:bCs/>
                <w:kern w:val="0"/>
                <w:szCs w:val="21"/>
              </w:rPr>
              <w:t>掌握环境、环境科学、环境保护的相关概念，理解环境科学的研究领域与发展、环境工程的研究对象和内容</w:t>
            </w:r>
            <w:r>
              <w:rPr>
                <w:rFonts w:hint="eastAsia"/>
                <w:bCs/>
                <w:kern w:val="0"/>
                <w:szCs w:val="21"/>
              </w:rPr>
              <w:t>。</w:t>
            </w:r>
          </w:p>
        </w:tc>
        <w:tc>
          <w:tcPr>
            <w:tcW w:w="1586" w:type="dxa"/>
            <w:noWrap w:val="0"/>
            <w:vAlign w:val="center"/>
          </w:tcPr>
          <w:p>
            <w:pPr>
              <w:autoSpaceDE w:val="0"/>
              <w:autoSpaceDN w:val="0"/>
              <w:adjustRightInd w:val="0"/>
              <w:rPr>
                <w:rFonts w:hint="eastAsia" w:ascii="宋体" w:hAnsi="宋体"/>
                <w:kern w:val="0"/>
                <w:szCs w:val="21"/>
              </w:rPr>
            </w:pPr>
            <w:r>
              <w:rPr>
                <w:rFonts w:hint="eastAsia" w:ascii="宋体" w:hAnsi="宋体" w:cs="仿宋_GB2312"/>
                <w:color w:val="000000"/>
                <w:szCs w:val="21"/>
              </w:rPr>
              <w:t>把可持续发展的重要理念和习近平总书记关于生态文明的重要论述与授课内容有机融合，加强生态文明教育，引导学生树立崇尚自然、尊重自然的理念，切实增强学生投身生态文明建设的责任感、使命感。</w:t>
            </w:r>
          </w:p>
        </w:tc>
        <w:tc>
          <w:tcPr>
            <w:tcW w:w="1988" w:type="dxa"/>
            <w:noWrap w:val="0"/>
            <w:vAlign w:val="center"/>
          </w:tcPr>
          <w:p>
            <w:pPr>
              <w:rPr>
                <w:bCs/>
                <w:kern w:val="0"/>
                <w:szCs w:val="21"/>
              </w:rPr>
            </w:pPr>
            <w:r>
              <w:rPr>
                <w:kern w:val="0"/>
                <w:szCs w:val="21"/>
              </w:rPr>
              <w:t>能够</w:t>
            </w:r>
            <w:r>
              <w:rPr>
                <w:bCs/>
                <w:kern w:val="0"/>
                <w:szCs w:val="21"/>
              </w:rPr>
              <w:t>了解环境问题及其发展，明确当前世界环境的主要问题、环境污染和危害</w:t>
            </w:r>
            <w:r>
              <w:rPr>
                <w:rFonts w:hint="eastAsia"/>
                <w:bCs/>
                <w:kern w:val="0"/>
                <w:szCs w:val="21"/>
              </w:rPr>
              <w:t>；</w:t>
            </w:r>
            <w:r>
              <w:rPr>
                <w:bCs/>
                <w:kern w:val="0"/>
                <w:szCs w:val="21"/>
              </w:rPr>
              <w:t>明确环境保护的重要性，了解我国的环境保护的主要环保政策</w:t>
            </w:r>
            <w:r>
              <w:rPr>
                <w:rFonts w:hint="eastAsia"/>
                <w:bCs/>
                <w:kern w:val="0"/>
                <w:szCs w:val="21"/>
              </w:rPr>
              <w:t>；</w:t>
            </w:r>
            <w:r>
              <w:rPr>
                <w:bCs/>
                <w:kern w:val="0"/>
                <w:szCs w:val="21"/>
              </w:rPr>
              <w:t>了解化工污染种类和来源及化工污染的特点。</w:t>
            </w:r>
          </w:p>
          <w:p>
            <w:pPr>
              <w:spacing w:line="400" w:lineRule="exact"/>
              <w:rPr>
                <w:kern w:val="0"/>
                <w:szCs w:val="21"/>
              </w:rPr>
            </w:pPr>
          </w:p>
        </w:tc>
        <w:tc>
          <w:tcPr>
            <w:tcW w:w="846" w:type="dxa"/>
            <w:noWrap w:val="0"/>
            <w:vAlign w:val="center"/>
          </w:tcPr>
          <w:p>
            <w:pPr>
              <w:spacing w:line="312" w:lineRule="auto"/>
              <w:jc w:val="center"/>
              <w:rPr>
                <w:rFonts w:hint="eastAsia"/>
                <w:szCs w:val="21"/>
              </w:rPr>
            </w:pPr>
            <w:r>
              <w:rPr>
                <w:rFonts w:hint="eastAsia"/>
                <w:szCs w:val="21"/>
              </w:rPr>
              <w:t>2（讲授）</w:t>
            </w:r>
          </w:p>
        </w:tc>
        <w:tc>
          <w:tcPr>
            <w:tcW w:w="959" w:type="dxa"/>
            <w:noWrap w:val="0"/>
            <w:vAlign w:val="center"/>
          </w:tcPr>
          <w:p>
            <w:pPr>
              <w:rPr>
                <w:szCs w:val="21"/>
              </w:rPr>
            </w:pPr>
            <w:r>
              <w:rPr>
                <w:szCs w:val="21"/>
              </w:rPr>
              <w:t>讲授/讨论/实例教学等</w:t>
            </w:r>
          </w:p>
        </w:tc>
        <w:tc>
          <w:tcPr>
            <w:tcW w:w="1052" w:type="dxa"/>
            <w:noWrap w:val="0"/>
            <w:vAlign w:val="center"/>
          </w:tcPr>
          <w:p>
            <w:pPr>
              <w:jc w:val="center"/>
              <w:rPr>
                <w:szCs w:val="21"/>
              </w:rPr>
            </w:pPr>
            <w:r>
              <w:rPr>
                <w:b/>
                <w:kern w:val="0"/>
                <w:szCs w:val="21"/>
              </w:rPr>
              <w:t>目标</w:t>
            </w:r>
            <w:r>
              <w:rPr>
                <w:rFonts w:hint="eastAsia"/>
                <w:b/>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7" w:type="dxa"/>
            <w:noWrap w:val="0"/>
            <w:vAlign w:val="center"/>
          </w:tcPr>
          <w:p>
            <w:pPr>
              <w:jc w:val="center"/>
              <w:rPr>
                <w:szCs w:val="21"/>
              </w:rPr>
            </w:pPr>
            <w:r>
              <w:rPr>
                <w:szCs w:val="21"/>
              </w:rPr>
              <w:t>2</w:t>
            </w:r>
          </w:p>
        </w:tc>
        <w:tc>
          <w:tcPr>
            <w:tcW w:w="2114" w:type="dxa"/>
            <w:noWrap w:val="0"/>
            <w:vAlign w:val="center"/>
          </w:tcPr>
          <w:p>
            <w:pPr>
              <w:rPr>
                <w:rFonts w:hint="eastAsia"/>
                <w:b/>
                <w:kern w:val="0"/>
                <w:szCs w:val="21"/>
              </w:rPr>
            </w:pPr>
            <w:r>
              <w:rPr>
                <w:b/>
                <w:kern w:val="0"/>
                <w:szCs w:val="21"/>
              </w:rPr>
              <w:t>化工废水处理</w:t>
            </w:r>
            <w:r>
              <w:rPr>
                <w:rFonts w:hint="eastAsia"/>
                <w:b/>
                <w:kern w:val="0"/>
                <w:szCs w:val="21"/>
              </w:rPr>
              <w:t>技术</w:t>
            </w:r>
          </w:p>
          <w:p>
            <w:pPr>
              <w:rPr>
                <w:rFonts w:hint="eastAsia"/>
                <w:bCs/>
                <w:kern w:val="0"/>
                <w:szCs w:val="21"/>
              </w:rPr>
            </w:pPr>
            <w:r>
              <w:rPr>
                <w:rFonts w:hint="eastAsia"/>
                <w:bCs/>
                <w:kern w:val="0"/>
                <w:szCs w:val="21"/>
              </w:rPr>
              <w:t>教学内容：化工废水特点及分类；化工废水的物理处理方法、化学处理方法和生化处理方法；化工废水处理实例。</w:t>
            </w:r>
          </w:p>
          <w:p>
            <w:pPr>
              <w:rPr>
                <w:rFonts w:hint="eastAsia"/>
                <w:bCs/>
                <w:kern w:val="0"/>
                <w:szCs w:val="21"/>
              </w:rPr>
            </w:pPr>
            <w:r>
              <w:rPr>
                <w:rFonts w:hint="eastAsia"/>
                <w:bCs/>
                <w:kern w:val="0"/>
                <w:szCs w:val="21"/>
              </w:rPr>
              <w:t>重点和难点：</w:t>
            </w:r>
            <w:r>
              <w:rPr>
                <w:bCs/>
                <w:kern w:val="0"/>
                <w:szCs w:val="21"/>
              </w:rPr>
              <w:t>了解化工废水的特点、分类及</w:t>
            </w:r>
            <w:r>
              <w:rPr>
                <w:rFonts w:hint="eastAsia"/>
                <w:bCs/>
                <w:kern w:val="0"/>
                <w:szCs w:val="21"/>
              </w:rPr>
              <w:t>相关处理技术</w:t>
            </w:r>
            <w:r>
              <w:rPr>
                <w:bCs/>
                <w:kern w:val="0"/>
                <w:szCs w:val="21"/>
              </w:rPr>
              <w:t>。</w:t>
            </w:r>
          </w:p>
        </w:tc>
        <w:tc>
          <w:tcPr>
            <w:tcW w:w="1586" w:type="dxa"/>
            <w:noWrap w:val="0"/>
            <w:vAlign w:val="center"/>
          </w:tcPr>
          <w:p>
            <w:pPr>
              <w:rPr>
                <w:rFonts w:hint="eastAsia"/>
                <w:szCs w:val="21"/>
              </w:rPr>
            </w:pPr>
            <w:r>
              <w:rPr>
                <w:rFonts w:hint="eastAsia" w:ascii="宋体" w:hAnsi="宋体" w:cs="仿宋_GB2312"/>
                <w:color w:val="000000"/>
                <w:szCs w:val="21"/>
              </w:rPr>
              <w:t>把可持续发展的重要理念和习近平总书记关于生态文明的重要论述与授课内容有机融合，加强生态文明教育，引导学生树立崇尚自然、尊重自然的理念，切实增强学生投身生态文明建设的责任感、使命感。</w:t>
            </w:r>
          </w:p>
        </w:tc>
        <w:tc>
          <w:tcPr>
            <w:tcW w:w="1988" w:type="dxa"/>
            <w:noWrap w:val="0"/>
            <w:vAlign w:val="center"/>
          </w:tcPr>
          <w:p>
            <w:pPr>
              <w:rPr>
                <w:szCs w:val="21"/>
              </w:rPr>
            </w:pPr>
            <w:r>
              <w:rPr>
                <w:kern w:val="0"/>
                <w:szCs w:val="21"/>
              </w:rPr>
              <w:t>能够</w:t>
            </w:r>
            <w:r>
              <w:rPr>
                <w:bCs/>
                <w:kern w:val="0"/>
                <w:szCs w:val="21"/>
              </w:rPr>
              <w:t>了解化工废水的特点、化工废水的分类及其主要水体污染物</w:t>
            </w:r>
            <w:r>
              <w:rPr>
                <w:rFonts w:hint="eastAsia"/>
                <w:bCs/>
                <w:kern w:val="0"/>
                <w:szCs w:val="21"/>
              </w:rPr>
              <w:t>；</w:t>
            </w:r>
            <w:r>
              <w:rPr>
                <w:bCs/>
                <w:kern w:val="0"/>
                <w:szCs w:val="21"/>
              </w:rPr>
              <w:t>了解化工废水的物理处理方法，掌握沉淀法的原理、分类、公式计算及相应设备，掌握过滤法设备和应用</w:t>
            </w:r>
            <w:r>
              <w:rPr>
                <w:rFonts w:hint="eastAsia"/>
                <w:bCs/>
                <w:kern w:val="0"/>
                <w:szCs w:val="21"/>
              </w:rPr>
              <w:t>；</w:t>
            </w:r>
            <w:r>
              <w:rPr>
                <w:bCs/>
                <w:kern w:val="0"/>
                <w:szCs w:val="21"/>
              </w:rPr>
              <w:t>了解化工废水的化学处理法，掌握混凝、中和、化学沉淀、氧化还原和电解等方法的特点和适用领域</w:t>
            </w:r>
            <w:r>
              <w:rPr>
                <w:rFonts w:hint="eastAsia"/>
                <w:bCs/>
                <w:kern w:val="0"/>
                <w:szCs w:val="21"/>
              </w:rPr>
              <w:t>；</w:t>
            </w:r>
            <w:r>
              <w:rPr>
                <w:bCs/>
                <w:kern w:val="0"/>
                <w:szCs w:val="21"/>
              </w:rPr>
              <w:t>掌握生化处理方法的概念和基本原理，掌握好氧生物处理和厌氧生物处理的特点、生物过程、代谢途径及工艺条件。</w:t>
            </w:r>
          </w:p>
        </w:tc>
        <w:tc>
          <w:tcPr>
            <w:tcW w:w="846" w:type="dxa"/>
            <w:noWrap w:val="0"/>
            <w:vAlign w:val="center"/>
          </w:tcPr>
          <w:p>
            <w:pPr>
              <w:spacing w:line="312" w:lineRule="auto"/>
              <w:jc w:val="center"/>
              <w:rPr>
                <w:szCs w:val="21"/>
              </w:rPr>
            </w:pPr>
            <w:r>
              <w:rPr>
                <w:rFonts w:hint="eastAsia"/>
                <w:szCs w:val="21"/>
              </w:rPr>
              <w:t>4（讲授）</w:t>
            </w:r>
          </w:p>
        </w:tc>
        <w:tc>
          <w:tcPr>
            <w:tcW w:w="959" w:type="dxa"/>
            <w:noWrap w:val="0"/>
            <w:vAlign w:val="center"/>
          </w:tcPr>
          <w:p>
            <w:pPr>
              <w:rPr>
                <w:szCs w:val="21"/>
              </w:rPr>
            </w:pPr>
            <w:r>
              <w:rPr>
                <w:szCs w:val="21"/>
              </w:rPr>
              <w:t>讲授/讨论/实例教学等</w:t>
            </w:r>
          </w:p>
        </w:tc>
        <w:tc>
          <w:tcPr>
            <w:tcW w:w="1052" w:type="dxa"/>
            <w:noWrap w:val="0"/>
            <w:vAlign w:val="center"/>
          </w:tcPr>
          <w:p>
            <w:pPr>
              <w:jc w:val="center"/>
              <w:rPr>
                <w:rFonts w:hint="eastAsia"/>
                <w:szCs w:val="21"/>
              </w:rPr>
            </w:pPr>
            <w:r>
              <w:rPr>
                <w:b/>
                <w:kern w:val="0"/>
                <w:szCs w:val="21"/>
              </w:rPr>
              <w:t>目标</w:t>
            </w:r>
            <w:r>
              <w:rPr>
                <w:rFonts w:hint="eastAsia"/>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7" w:type="dxa"/>
            <w:noWrap w:val="0"/>
            <w:vAlign w:val="center"/>
          </w:tcPr>
          <w:p>
            <w:pPr>
              <w:jc w:val="center"/>
              <w:rPr>
                <w:szCs w:val="21"/>
              </w:rPr>
            </w:pPr>
            <w:r>
              <w:rPr>
                <w:szCs w:val="21"/>
              </w:rPr>
              <w:t>3</w:t>
            </w:r>
          </w:p>
        </w:tc>
        <w:tc>
          <w:tcPr>
            <w:tcW w:w="2114" w:type="dxa"/>
            <w:noWrap w:val="0"/>
            <w:vAlign w:val="center"/>
          </w:tcPr>
          <w:p>
            <w:pPr>
              <w:rPr>
                <w:rFonts w:hint="eastAsia"/>
                <w:b/>
                <w:kern w:val="0"/>
                <w:szCs w:val="21"/>
              </w:rPr>
            </w:pPr>
            <w:r>
              <w:rPr>
                <w:b/>
                <w:kern w:val="0"/>
                <w:szCs w:val="21"/>
              </w:rPr>
              <w:t>化工废气</w:t>
            </w:r>
            <w:r>
              <w:rPr>
                <w:rFonts w:hint="eastAsia"/>
                <w:b/>
                <w:kern w:val="0"/>
                <w:szCs w:val="21"/>
              </w:rPr>
              <w:t>处理技术</w:t>
            </w:r>
          </w:p>
          <w:p>
            <w:pPr>
              <w:rPr>
                <w:rFonts w:hint="eastAsia"/>
                <w:bCs/>
                <w:kern w:val="0"/>
                <w:szCs w:val="21"/>
              </w:rPr>
            </w:pPr>
            <w:r>
              <w:rPr>
                <w:rFonts w:hint="eastAsia"/>
                <w:b/>
                <w:kern w:val="0"/>
                <w:szCs w:val="21"/>
              </w:rPr>
              <w:t>教学内容：</w:t>
            </w:r>
            <w:r>
              <w:rPr>
                <w:rFonts w:hint="eastAsia"/>
                <w:bCs/>
                <w:kern w:val="0"/>
                <w:szCs w:val="21"/>
              </w:rPr>
              <w:t>化工废气的来源与特点；除尘技术、气态污染物的一般处理技术；氮氧化物、二氧化硫废气处理技术。</w:t>
            </w:r>
          </w:p>
          <w:p>
            <w:pPr>
              <w:rPr>
                <w:kern w:val="0"/>
                <w:szCs w:val="21"/>
              </w:rPr>
            </w:pPr>
            <w:r>
              <w:rPr>
                <w:rFonts w:hint="eastAsia"/>
                <w:b/>
                <w:kern w:val="0"/>
                <w:szCs w:val="21"/>
              </w:rPr>
              <w:t>重点和难点：</w:t>
            </w:r>
            <w:r>
              <w:rPr>
                <w:bCs/>
                <w:kern w:val="0"/>
                <w:szCs w:val="21"/>
              </w:rPr>
              <w:t>了解化工废气的来源与特点</w:t>
            </w:r>
            <w:r>
              <w:rPr>
                <w:rFonts w:hint="eastAsia"/>
                <w:bCs/>
                <w:kern w:val="0"/>
                <w:szCs w:val="21"/>
              </w:rPr>
              <w:t>及相关处理技术。</w:t>
            </w:r>
          </w:p>
        </w:tc>
        <w:tc>
          <w:tcPr>
            <w:tcW w:w="1586" w:type="dxa"/>
            <w:noWrap w:val="0"/>
            <w:vAlign w:val="center"/>
          </w:tcPr>
          <w:p>
            <w:pPr>
              <w:rPr>
                <w:szCs w:val="21"/>
              </w:rPr>
            </w:pPr>
            <w:r>
              <w:rPr>
                <w:rFonts w:hint="eastAsia" w:ascii="宋体" w:hAnsi="宋体" w:cs="仿宋_GB2312"/>
                <w:color w:val="000000"/>
                <w:szCs w:val="21"/>
              </w:rPr>
              <w:t>把可持续发展的重要理念和习近平总书记关于生态文明的重要论述与授课内容有机融合，加强生态文明教育，引导学生树立崇尚自然、尊重自然的理念，切实增强学生投身生态文明建设的责任感、使命感。</w:t>
            </w:r>
          </w:p>
        </w:tc>
        <w:tc>
          <w:tcPr>
            <w:tcW w:w="1988" w:type="dxa"/>
            <w:noWrap w:val="0"/>
            <w:vAlign w:val="center"/>
          </w:tcPr>
          <w:p>
            <w:pPr>
              <w:rPr>
                <w:bCs/>
                <w:kern w:val="0"/>
                <w:szCs w:val="21"/>
              </w:rPr>
            </w:pPr>
            <w:r>
              <w:rPr>
                <w:bCs/>
                <w:kern w:val="0"/>
                <w:szCs w:val="21"/>
              </w:rPr>
              <w:t>了解化工废气的来源与特点</w:t>
            </w:r>
            <w:r>
              <w:rPr>
                <w:rFonts w:hint="eastAsia"/>
                <w:bCs/>
                <w:kern w:val="0"/>
                <w:szCs w:val="21"/>
              </w:rPr>
              <w:t>；</w:t>
            </w:r>
            <w:r>
              <w:rPr>
                <w:bCs/>
                <w:kern w:val="0"/>
                <w:szCs w:val="21"/>
              </w:rPr>
              <w:t>掌握氮氧化物的性质及来源，燃烧过程中氮氧化物的形成机理</w:t>
            </w:r>
            <w:r>
              <w:rPr>
                <w:rFonts w:hint="eastAsia"/>
                <w:bCs/>
                <w:kern w:val="0"/>
                <w:szCs w:val="21"/>
              </w:rPr>
              <w:t>；</w:t>
            </w:r>
            <w:r>
              <w:rPr>
                <w:bCs/>
                <w:kern w:val="0"/>
                <w:szCs w:val="21"/>
              </w:rPr>
              <w:t>了解低氮氧化物燃烧技术，掌握烟气脱硝催化还原技术分类及特点</w:t>
            </w:r>
            <w:r>
              <w:rPr>
                <w:rFonts w:hint="eastAsia"/>
                <w:bCs/>
                <w:kern w:val="0"/>
                <w:szCs w:val="21"/>
              </w:rPr>
              <w:t>；</w:t>
            </w:r>
            <w:r>
              <w:rPr>
                <w:bCs/>
                <w:kern w:val="0"/>
                <w:szCs w:val="21"/>
              </w:rPr>
              <w:t>掌握硫循环及硫排放，燃烧前脱硫，流化床燃烧脱硫</w:t>
            </w:r>
            <w:r>
              <w:rPr>
                <w:rFonts w:hint="eastAsia"/>
                <w:bCs/>
                <w:kern w:val="0"/>
                <w:szCs w:val="21"/>
              </w:rPr>
              <w:t>；</w:t>
            </w:r>
            <w:r>
              <w:rPr>
                <w:bCs/>
                <w:kern w:val="0"/>
                <w:szCs w:val="21"/>
              </w:rPr>
              <w:t>了解粉尘的粒径及粒径分布，理解粉尘的物理性质，掌握净化装置的性能和除尘装置</w:t>
            </w:r>
            <w:r>
              <w:rPr>
                <w:rFonts w:hint="eastAsia"/>
                <w:bCs/>
                <w:kern w:val="0"/>
                <w:szCs w:val="21"/>
              </w:rPr>
              <w:t>。</w:t>
            </w:r>
          </w:p>
          <w:p>
            <w:pPr>
              <w:rPr>
                <w:szCs w:val="21"/>
              </w:rPr>
            </w:pPr>
          </w:p>
        </w:tc>
        <w:tc>
          <w:tcPr>
            <w:tcW w:w="846" w:type="dxa"/>
            <w:noWrap w:val="0"/>
            <w:vAlign w:val="center"/>
          </w:tcPr>
          <w:p>
            <w:pPr>
              <w:spacing w:line="312" w:lineRule="auto"/>
              <w:jc w:val="center"/>
              <w:rPr>
                <w:szCs w:val="21"/>
              </w:rPr>
            </w:pPr>
            <w:r>
              <w:rPr>
                <w:rFonts w:hint="eastAsia"/>
                <w:szCs w:val="21"/>
              </w:rPr>
              <w:t>4（讲授）</w:t>
            </w:r>
          </w:p>
        </w:tc>
        <w:tc>
          <w:tcPr>
            <w:tcW w:w="959" w:type="dxa"/>
            <w:noWrap w:val="0"/>
            <w:vAlign w:val="center"/>
          </w:tcPr>
          <w:p>
            <w:pPr>
              <w:rPr>
                <w:rFonts w:hint="eastAsia"/>
                <w:szCs w:val="21"/>
              </w:rPr>
            </w:pPr>
            <w:r>
              <w:rPr>
                <w:szCs w:val="21"/>
              </w:rPr>
              <w:t>讲授/讨论/实例教学等</w:t>
            </w:r>
          </w:p>
        </w:tc>
        <w:tc>
          <w:tcPr>
            <w:tcW w:w="1052" w:type="dxa"/>
            <w:noWrap w:val="0"/>
            <w:vAlign w:val="center"/>
          </w:tcPr>
          <w:p>
            <w:pPr>
              <w:jc w:val="center"/>
              <w:rPr>
                <w:szCs w:val="21"/>
              </w:rPr>
            </w:pPr>
            <w:r>
              <w:rPr>
                <w:b/>
                <w:kern w:val="0"/>
                <w:szCs w:val="21"/>
              </w:rPr>
              <w:t>目标</w:t>
            </w:r>
            <w:r>
              <w:rPr>
                <w:rFonts w:hint="eastAsia"/>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7" w:type="dxa"/>
            <w:noWrap w:val="0"/>
            <w:vAlign w:val="center"/>
          </w:tcPr>
          <w:p>
            <w:pPr>
              <w:jc w:val="center"/>
              <w:rPr>
                <w:szCs w:val="21"/>
              </w:rPr>
            </w:pPr>
            <w:r>
              <w:rPr>
                <w:szCs w:val="21"/>
              </w:rPr>
              <w:t>4</w:t>
            </w:r>
          </w:p>
        </w:tc>
        <w:tc>
          <w:tcPr>
            <w:tcW w:w="2114" w:type="dxa"/>
            <w:noWrap w:val="0"/>
            <w:vAlign w:val="center"/>
          </w:tcPr>
          <w:p>
            <w:pPr>
              <w:rPr>
                <w:rFonts w:hint="eastAsia"/>
                <w:b/>
                <w:kern w:val="0"/>
                <w:szCs w:val="21"/>
              </w:rPr>
            </w:pPr>
            <w:r>
              <w:rPr>
                <w:b/>
                <w:kern w:val="0"/>
                <w:szCs w:val="21"/>
              </w:rPr>
              <w:t>化工废渣处理</w:t>
            </w:r>
            <w:r>
              <w:rPr>
                <w:rFonts w:hint="eastAsia"/>
                <w:b/>
                <w:kern w:val="0"/>
                <w:szCs w:val="21"/>
              </w:rPr>
              <w:t>技术</w:t>
            </w:r>
          </w:p>
          <w:p>
            <w:pPr>
              <w:rPr>
                <w:rFonts w:hint="eastAsia"/>
                <w:bCs/>
                <w:kern w:val="0"/>
                <w:szCs w:val="21"/>
              </w:rPr>
            </w:pPr>
            <w:r>
              <w:rPr>
                <w:rFonts w:hint="eastAsia"/>
                <w:b/>
                <w:kern w:val="0"/>
                <w:szCs w:val="21"/>
              </w:rPr>
              <w:t>教学内容：</w:t>
            </w:r>
            <w:r>
              <w:rPr>
                <w:rFonts w:hint="eastAsia"/>
                <w:bCs/>
                <w:kern w:val="0"/>
                <w:szCs w:val="21"/>
              </w:rPr>
              <w:t>化工废渣及其防治对策；化工废渣的一般处理技术；典型化工废渣的回收利用技术。</w:t>
            </w:r>
          </w:p>
          <w:p>
            <w:pPr>
              <w:rPr>
                <w:bCs/>
                <w:kern w:val="0"/>
                <w:szCs w:val="21"/>
              </w:rPr>
            </w:pPr>
            <w:r>
              <w:rPr>
                <w:rFonts w:hint="eastAsia"/>
                <w:b/>
                <w:kern w:val="0"/>
                <w:szCs w:val="21"/>
              </w:rPr>
              <w:t>重点和难点：</w:t>
            </w:r>
            <w:r>
              <w:rPr>
                <w:bCs/>
                <w:kern w:val="0"/>
                <w:szCs w:val="21"/>
              </w:rPr>
              <w:t>理解固体废物概念、分类</w:t>
            </w:r>
            <w:r>
              <w:rPr>
                <w:rFonts w:hint="eastAsia"/>
                <w:bCs/>
                <w:kern w:val="0"/>
                <w:szCs w:val="21"/>
              </w:rPr>
              <w:t>、</w:t>
            </w:r>
            <w:r>
              <w:rPr>
                <w:bCs/>
                <w:kern w:val="0"/>
                <w:szCs w:val="21"/>
              </w:rPr>
              <w:t>特性，掌握固体废物的处理原则和方法</w:t>
            </w:r>
            <w:r>
              <w:rPr>
                <w:rFonts w:hint="eastAsia"/>
                <w:bCs/>
                <w:kern w:val="0"/>
                <w:szCs w:val="21"/>
              </w:rPr>
              <w:t>。</w:t>
            </w:r>
            <w:r>
              <w:rPr>
                <w:bCs/>
                <w:kern w:val="0"/>
                <w:szCs w:val="21"/>
              </w:rPr>
              <w:t>了解固废的来源，掌握城市垃圾的分选技术和堆肥技术，了解其他资源化技术</w:t>
            </w:r>
            <w:r>
              <w:rPr>
                <w:rFonts w:hint="eastAsia"/>
                <w:bCs/>
                <w:kern w:val="0"/>
                <w:szCs w:val="21"/>
              </w:rPr>
              <w:t>；</w:t>
            </w:r>
            <w:r>
              <w:rPr>
                <w:bCs/>
                <w:kern w:val="0"/>
                <w:szCs w:val="21"/>
              </w:rPr>
              <w:t>了解硫铁矿烧渣的资源化途径，碱渣的资源化途径。</w:t>
            </w:r>
          </w:p>
          <w:p>
            <w:pPr>
              <w:rPr>
                <w:rFonts w:hint="eastAsia"/>
                <w:kern w:val="0"/>
                <w:szCs w:val="21"/>
              </w:rPr>
            </w:pPr>
          </w:p>
        </w:tc>
        <w:tc>
          <w:tcPr>
            <w:tcW w:w="1586" w:type="dxa"/>
            <w:noWrap w:val="0"/>
            <w:vAlign w:val="center"/>
          </w:tcPr>
          <w:p>
            <w:pPr>
              <w:autoSpaceDE w:val="0"/>
              <w:autoSpaceDN w:val="0"/>
              <w:adjustRightInd w:val="0"/>
              <w:rPr>
                <w:szCs w:val="21"/>
              </w:rPr>
            </w:pPr>
            <w:r>
              <w:rPr>
                <w:rFonts w:hint="eastAsia" w:ascii="宋体" w:hAnsi="宋体" w:cs="仿宋_GB2312"/>
                <w:color w:val="000000"/>
                <w:szCs w:val="21"/>
              </w:rPr>
              <w:t>把可持续发展的重要理念和习近平总书记关于生态文明的重要论述与授课内容有机融合，加强生态文明教育，引导学生树立崇尚自然、尊重自然的理念，切实增强学生投身生态文明建设的责任感、使命感。</w:t>
            </w:r>
          </w:p>
        </w:tc>
        <w:tc>
          <w:tcPr>
            <w:tcW w:w="1988" w:type="dxa"/>
            <w:noWrap w:val="0"/>
            <w:vAlign w:val="center"/>
          </w:tcPr>
          <w:p>
            <w:pPr>
              <w:rPr>
                <w:bCs/>
                <w:kern w:val="0"/>
                <w:szCs w:val="21"/>
              </w:rPr>
            </w:pPr>
            <w:r>
              <w:rPr>
                <w:kern w:val="0"/>
                <w:szCs w:val="21"/>
              </w:rPr>
              <w:t>能够理解</w:t>
            </w:r>
            <w:r>
              <w:rPr>
                <w:bCs/>
                <w:kern w:val="0"/>
                <w:szCs w:val="21"/>
              </w:rPr>
              <w:t>了解固废的来源，掌握城市垃圾的分选技术和堆肥技术，了解其他资源化技术</w:t>
            </w:r>
            <w:r>
              <w:rPr>
                <w:rFonts w:hint="eastAsia"/>
                <w:bCs/>
                <w:kern w:val="0"/>
                <w:szCs w:val="21"/>
              </w:rPr>
              <w:t>；</w:t>
            </w:r>
            <w:r>
              <w:rPr>
                <w:bCs/>
                <w:kern w:val="0"/>
                <w:szCs w:val="21"/>
              </w:rPr>
              <w:t>了解硫铁矿烧渣的资源化途径，碱渣的资源化途径。</w:t>
            </w:r>
          </w:p>
          <w:p>
            <w:pPr>
              <w:autoSpaceDE w:val="0"/>
              <w:autoSpaceDN w:val="0"/>
              <w:adjustRightInd w:val="0"/>
              <w:rPr>
                <w:szCs w:val="21"/>
              </w:rPr>
            </w:pPr>
          </w:p>
        </w:tc>
        <w:tc>
          <w:tcPr>
            <w:tcW w:w="846" w:type="dxa"/>
            <w:noWrap w:val="0"/>
            <w:vAlign w:val="center"/>
          </w:tcPr>
          <w:p>
            <w:pPr>
              <w:spacing w:line="312" w:lineRule="auto"/>
              <w:jc w:val="center"/>
              <w:rPr>
                <w:szCs w:val="21"/>
              </w:rPr>
            </w:pPr>
            <w:r>
              <w:rPr>
                <w:rFonts w:hint="eastAsia"/>
                <w:szCs w:val="21"/>
              </w:rPr>
              <w:t>4（讲授）</w:t>
            </w:r>
          </w:p>
        </w:tc>
        <w:tc>
          <w:tcPr>
            <w:tcW w:w="959" w:type="dxa"/>
            <w:noWrap w:val="0"/>
            <w:vAlign w:val="center"/>
          </w:tcPr>
          <w:p>
            <w:pPr>
              <w:rPr>
                <w:rFonts w:hint="eastAsia"/>
                <w:szCs w:val="21"/>
              </w:rPr>
            </w:pPr>
            <w:r>
              <w:rPr>
                <w:szCs w:val="21"/>
              </w:rPr>
              <w:t>讲授/讨论/实例教学等</w:t>
            </w:r>
          </w:p>
        </w:tc>
        <w:tc>
          <w:tcPr>
            <w:tcW w:w="1052" w:type="dxa"/>
            <w:noWrap w:val="0"/>
            <w:vAlign w:val="center"/>
          </w:tcPr>
          <w:p>
            <w:pPr>
              <w:jc w:val="center"/>
              <w:rPr>
                <w:szCs w:val="21"/>
              </w:rPr>
            </w:pPr>
            <w:r>
              <w:rPr>
                <w:b/>
                <w:kern w:val="0"/>
                <w:szCs w:val="21"/>
              </w:rPr>
              <w:t>目标</w:t>
            </w:r>
            <w:r>
              <w:rPr>
                <w:rFonts w:hint="eastAsia"/>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7" w:type="dxa"/>
            <w:noWrap w:val="0"/>
            <w:vAlign w:val="center"/>
          </w:tcPr>
          <w:p>
            <w:pPr>
              <w:jc w:val="center"/>
              <w:rPr>
                <w:szCs w:val="21"/>
              </w:rPr>
            </w:pPr>
            <w:r>
              <w:rPr>
                <w:szCs w:val="21"/>
              </w:rPr>
              <w:t>5</w:t>
            </w:r>
          </w:p>
        </w:tc>
        <w:tc>
          <w:tcPr>
            <w:tcW w:w="2114" w:type="dxa"/>
            <w:noWrap w:val="0"/>
            <w:vAlign w:val="center"/>
          </w:tcPr>
          <w:p>
            <w:pPr>
              <w:rPr>
                <w:rFonts w:hint="eastAsia"/>
                <w:b/>
                <w:kern w:val="0"/>
                <w:szCs w:val="21"/>
              </w:rPr>
            </w:pPr>
            <w:r>
              <w:rPr>
                <w:b/>
                <w:kern w:val="0"/>
                <w:szCs w:val="21"/>
              </w:rPr>
              <w:t>化工清洁生产</w:t>
            </w:r>
            <w:r>
              <w:rPr>
                <w:rFonts w:hint="eastAsia"/>
                <w:b/>
                <w:kern w:val="0"/>
                <w:szCs w:val="21"/>
              </w:rPr>
              <w:t>概要</w:t>
            </w:r>
          </w:p>
          <w:p>
            <w:pPr>
              <w:rPr>
                <w:rFonts w:hint="eastAsia"/>
                <w:bCs/>
                <w:kern w:val="0"/>
                <w:szCs w:val="21"/>
              </w:rPr>
            </w:pPr>
            <w:r>
              <w:rPr>
                <w:rFonts w:hint="eastAsia"/>
                <w:b/>
                <w:kern w:val="0"/>
                <w:szCs w:val="21"/>
              </w:rPr>
              <w:t>教学内容：</w:t>
            </w:r>
            <w:r>
              <w:rPr>
                <w:rFonts w:hint="eastAsia"/>
                <w:bCs/>
                <w:kern w:val="0"/>
                <w:szCs w:val="21"/>
              </w:rPr>
              <w:t>清洁生产的定义和主要内容；化工清洁生产原理与技术；化工清洁生产实例；循环经济简介。</w:t>
            </w:r>
          </w:p>
          <w:p>
            <w:pPr>
              <w:rPr>
                <w:rFonts w:hint="eastAsia"/>
                <w:bCs/>
                <w:kern w:val="0"/>
                <w:szCs w:val="21"/>
              </w:rPr>
            </w:pPr>
            <w:r>
              <w:rPr>
                <w:rFonts w:hint="eastAsia"/>
                <w:b/>
                <w:kern w:val="0"/>
                <w:szCs w:val="21"/>
              </w:rPr>
              <w:t>重点和难点：</w:t>
            </w:r>
            <w:r>
              <w:rPr>
                <w:bCs/>
                <w:kern w:val="0"/>
                <w:szCs w:val="21"/>
              </w:rPr>
              <w:t>掌握清洁生产的概念和化工清洁生产的途径，了解清洁生产面临的障碍和实施步骤，明确清洁生产的进展</w:t>
            </w:r>
            <w:r>
              <w:rPr>
                <w:rFonts w:hint="eastAsia"/>
                <w:bCs/>
                <w:kern w:val="0"/>
                <w:szCs w:val="21"/>
              </w:rPr>
              <w:t>；</w:t>
            </w:r>
            <w:r>
              <w:rPr>
                <w:bCs/>
                <w:kern w:val="0"/>
                <w:szCs w:val="21"/>
              </w:rPr>
              <w:t>分析典型的化工清洁生产工艺案例</w:t>
            </w:r>
            <w:r>
              <w:rPr>
                <w:rFonts w:hint="eastAsia"/>
                <w:bCs/>
                <w:kern w:val="0"/>
                <w:szCs w:val="21"/>
              </w:rPr>
              <w:t>。</w:t>
            </w:r>
          </w:p>
        </w:tc>
        <w:tc>
          <w:tcPr>
            <w:tcW w:w="1586" w:type="dxa"/>
            <w:noWrap w:val="0"/>
            <w:vAlign w:val="center"/>
          </w:tcPr>
          <w:p>
            <w:pPr>
              <w:rPr>
                <w:szCs w:val="21"/>
              </w:rPr>
            </w:pPr>
            <w:r>
              <w:rPr>
                <w:rFonts w:hint="eastAsia" w:ascii="宋体" w:hAnsi="宋体" w:cs="仿宋_GB2312"/>
                <w:color w:val="000000"/>
                <w:szCs w:val="21"/>
              </w:rPr>
              <w:t>把可持续发展的重要理念和习近平总书记关于生态文明的重要论述与授课内容有机融合，加强生态文明教育，引导学生树立崇尚自然、尊重自然的理念，切实增强学生投身生态文明建设的责任感、使命感。</w:t>
            </w:r>
          </w:p>
        </w:tc>
        <w:tc>
          <w:tcPr>
            <w:tcW w:w="1988" w:type="dxa"/>
            <w:noWrap w:val="0"/>
            <w:vAlign w:val="center"/>
          </w:tcPr>
          <w:p>
            <w:pPr>
              <w:rPr>
                <w:szCs w:val="21"/>
              </w:rPr>
            </w:pPr>
            <w:r>
              <w:rPr>
                <w:kern w:val="0"/>
                <w:szCs w:val="21"/>
              </w:rPr>
              <w:t>能够理解</w:t>
            </w:r>
            <w:r>
              <w:rPr>
                <w:rFonts w:hint="eastAsia"/>
                <w:kern w:val="0"/>
                <w:szCs w:val="21"/>
              </w:rPr>
              <w:t>清洁生产及可持续发展重要战略及其现实意义，建立环保意识。</w:t>
            </w:r>
          </w:p>
        </w:tc>
        <w:tc>
          <w:tcPr>
            <w:tcW w:w="846" w:type="dxa"/>
            <w:noWrap w:val="0"/>
            <w:vAlign w:val="center"/>
          </w:tcPr>
          <w:p>
            <w:pPr>
              <w:spacing w:line="312" w:lineRule="auto"/>
              <w:jc w:val="center"/>
              <w:rPr>
                <w:szCs w:val="21"/>
              </w:rPr>
            </w:pPr>
            <w:r>
              <w:rPr>
                <w:rFonts w:hint="eastAsia"/>
                <w:szCs w:val="21"/>
              </w:rPr>
              <w:t>2（讲授）</w:t>
            </w:r>
          </w:p>
        </w:tc>
        <w:tc>
          <w:tcPr>
            <w:tcW w:w="959" w:type="dxa"/>
            <w:noWrap w:val="0"/>
            <w:vAlign w:val="center"/>
          </w:tcPr>
          <w:p>
            <w:pPr>
              <w:rPr>
                <w:szCs w:val="21"/>
              </w:rPr>
            </w:pPr>
            <w:r>
              <w:rPr>
                <w:szCs w:val="21"/>
              </w:rPr>
              <w:t>讲授/讨论/实例教学等</w:t>
            </w:r>
          </w:p>
        </w:tc>
        <w:tc>
          <w:tcPr>
            <w:tcW w:w="1052" w:type="dxa"/>
            <w:noWrap w:val="0"/>
            <w:vAlign w:val="center"/>
          </w:tcPr>
          <w:p>
            <w:pPr>
              <w:jc w:val="center"/>
              <w:rPr>
                <w:szCs w:val="21"/>
              </w:rPr>
            </w:pPr>
            <w:r>
              <w:rPr>
                <w:b/>
                <w:kern w:val="0"/>
                <w:szCs w:val="21"/>
              </w:rPr>
              <w:t>目标</w:t>
            </w:r>
            <w:r>
              <w:rPr>
                <w:rFonts w:hint="eastAsia"/>
                <w:b/>
                <w:kern w:val="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7" w:type="dxa"/>
            <w:noWrap w:val="0"/>
            <w:vAlign w:val="center"/>
          </w:tcPr>
          <w:p>
            <w:pPr>
              <w:jc w:val="center"/>
              <w:rPr>
                <w:szCs w:val="21"/>
              </w:rPr>
            </w:pPr>
            <w:r>
              <w:rPr>
                <w:szCs w:val="21"/>
              </w:rPr>
              <w:t>6</w:t>
            </w:r>
          </w:p>
        </w:tc>
        <w:tc>
          <w:tcPr>
            <w:tcW w:w="2114" w:type="dxa"/>
            <w:noWrap w:val="0"/>
            <w:vAlign w:val="center"/>
          </w:tcPr>
          <w:p>
            <w:pPr>
              <w:rPr>
                <w:b/>
                <w:kern w:val="0"/>
                <w:szCs w:val="21"/>
              </w:rPr>
            </w:pPr>
            <w:r>
              <w:rPr>
                <w:b/>
                <w:kern w:val="0"/>
                <w:szCs w:val="21"/>
              </w:rPr>
              <w:t>化工安全</w:t>
            </w:r>
            <w:r>
              <w:rPr>
                <w:rFonts w:hint="eastAsia"/>
                <w:b/>
                <w:kern w:val="0"/>
                <w:szCs w:val="21"/>
              </w:rPr>
              <w:t>设计与安全管理</w:t>
            </w:r>
          </w:p>
          <w:p>
            <w:pPr>
              <w:rPr>
                <w:rFonts w:hint="eastAsia"/>
                <w:bCs/>
                <w:kern w:val="0"/>
                <w:szCs w:val="21"/>
              </w:rPr>
            </w:pPr>
            <w:r>
              <w:rPr>
                <w:rFonts w:hint="eastAsia"/>
                <w:b/>
                <w:kern w:val="0"/>
                <w:szCs w:val="21"/>
              </w:rPr>
              <w:t>教学内容：</w:t>
            </w:r>
            <w:r>
              <w:rPr>
                <w:rFonts w:hint="eastAsia"/>
                <w:bCs/>
                <w:kern w:val="0"/>
                <w:szCs w:val="21"/>
              </w:rPr>
              <w:t>化工生产过程中的危险因素；化工安全设计；安全管理。</w:t>
            </w:r>
          </w:p>
          <w:p>
            <w:pPr>
              <w:rPr>
                <w:bCs/>
                <w:kern w:val="0"/>
                <w:szCs w:val="21"/>
              </w:rPr>
            </w:pPr>
            <w:r>
              <w:rPr>
                <w:rFonts w:hint="eastAsia"/>
                <w:b/>
                <w:kern w:val="0"/>
                <w:szCs w:val="21"/>
              </w:rPr>
              <w:t>重点和难点：</w:t>
            </w:r>
            <w:r>
              <w:rPr>
                <w:bCs/>
                <w:kern w:val="0"/>
                <w:szCs w:val="21"/>
              </w:rPr>
              <w:t>理解化工生产的特点，了解化工安全工程的意义</w:t>
            </w:r>
            <w:r>
              <w:rPr>
                <w:rFonts w:hint="eastAsia"/>
                <w:bCs/>
                <w:kern w:val="0"/>
                <w:szCs w:val="21"/>
              </w:rPr>
              <w:t>。</w:t>
            </w:r>
            <w:r>
              <w:rPr>
                <w:bCs/>
                <w:kern w:val="0"/>
                <w:szCs w:val="21"/>
              </w:rPr>
              <w:t>了解化工生产中的安全问题和化工生产对安全的要求，掌握安全工程的基本概念和化工安全工程研究的对象和基本内容</w:t>
            </w:r>
            <w:r>
              <w:rPr>
                <w:rFonts w:hint="eastAsia"/>
                <w:bCs/>
                <w:kern w:val="0"/>
                <w:szCs w:val="21"/>
              </w:rPr>
              <w:t>；</w:t>
            </w:r>
            <w:r>
              <w:rPr>
                <w:bCs/>
                <w:kern w:val="0"/>
                <w:szCs w:val="21"/>
              </w:rPr>
              <w:t>理解并掌握化工生产的危险性及其分类</w:t>
            </w:r>
            <w:r>
              <w:rPr>
                <w:rFonts w:hint="eastAsia"/>
                <w:bCs/>
                <w:kern w:val="0"/>
                <w:szCs w:val="21"/>
              </w:rPr>
              <w:t>；了</w:t>
            </w:r>
            <w:r>
              <w:rPr>
                <w:bCs/>
                <w:kern w:val="0"/>
                <w:szCs w:val="21"/>
              </w:rPr>
              <w:t>解化工生产事故的特征，掌握事故预防的方法与手段，通过事故案例使学生增加对化工安全重要性的认识。</w:t>
            </w:r>
          </w:p>
          <w:p>
            <w:pPr>
              <w:rPr>
                <w:rFonts w:hint="eastAsia"/>
                <w:kern w:val="0"/>
                <w:szCs w:val="21"/>
              </w:rPr>
            </w:pPr>
          </w:p>
        </w:tc>
        <w:tc>
          <w:tcPr>
            <w:tcW w:w="1586" w:type="dxa"/>
            <w:noWrap w:val="0"/>
            <w:vAlign w:val="center"/>
          </w:tcPr>
          <w:p>
            <w:pPr>
              <w:rPr>
                <w:kern w:val="0"/>
                <w:szCs w:val="21"/>
              </w:rPr>
            </w:pPr>
            <w:r>
              <w:rPr>
                <w:rFonts w:hint="eastAsia" w:ascii="宋体" w:hAnsi="宋体" w:cs="仿宋_GB2312"/>
                <w:color w:val="000000"/>
                <w:szCs w:val="21"/>
              </w:rPr>
              <w:t>把可持续发展的重要理念和习近平总书记关于生态文明的重要论述与授课内容有机融合，加强生态文明教育，引导学生树立崇尚自然、尊重自然的理念，切实增强学生投身生态文明建设的责任感、使命感。</w:t>
            </w:r>
          </w:p>
        </w:tc>
        <w:tc>
          <w:tcPr>
            <w:tcW w:w="1988" w:type="dxa"/>
            <w:noWrap w:val="0"/>
            <w:vAlign w:val="center"/>
          </w:tcPr>
          <w:p>
            <w:pPr>
              <w:rPr>
                <w:bCs/>
                <w:kern w:val="0"/>
                <w:szCs w:val="21"/>
              </w:rPr>
            </w:pPr>
            <w:r>
              <w:rPr>
                <w:bCs/>
                <w:kern w:val="0"/>
                <w:szCs w:val="21"/>
              </w:rPr>
              <w:t>了解化工生产中的安全问题和化工生产对安全的要求，掌握安全工程的基本概念和化工安全工程研究的对象和基本内容</w:t>
            </w:r>
            <w:r>
              <w:rPr>
                <w:rFonts w:hint="eastAsia"/>
                <w:bCs/>
                <w:kern w:val="0"/>
                <w:szCs w:val="21"/>
              </w:rPr>
              <w:t>；</w:t>
            </w:r>
            <w:r>
              <w:rPr>
                <w:bCs/>
                <w:kern w:val="0"/>
                <w:szCs w:val="21"/>
              </w:rPr>
              <w:t>理解并掌握化工生产的危险性及其分类</w:t>
            </w:r>
            <w:r>
              <w:rPr>
                <w:rFonts w:hint="eastAsia"/>
                <w:bCs/>
                <w:kern w:val="0"/>
                <w:szCs w:val="21"/>
              </w:rPr>
              <w:t>；了</w:t>
            </w:r>
            <w:r>
              <w:rPr>
                <w:bCs/>
                <w:kern w:val="0"/>
                <w:szCs w:val="21"/>
              </w:rPr>
              <w:t>解化工生产事故的特征，掌握事故预防的方法与手段，通过事故案例使学生增加对化工安全重要性的认识。</w:t>
            </w:r>
          </w:p>
          <w:p>
            <w:pPr>
              <w:rPr>
                <w:kern w:val="0"/>
                <w:szCs w:val="21"/>
              </w:rPr>
            </w:pPr>
          </w:p>
        </w:tc>
        <w:tc>
          <w:tcPr>
            <w:tcW w:w="846" w:type="dxa"/>
            <w:noWrap w:val="0"/>
            <w:vAlign w:val="center"/>
          </w:tcPr>
          <w:p>
            <w:pPr>
              <w:spacing w:line="312" w:lineRule="auto"/>
              <w:jc w:val="center"/>
              <w:rPr>
                <w:szCs w:val="21"/>
              </w:rPr>
            </w:pPr>
            <w:r>
              <w:rPr>
                <w:rFonts w:hint="eastAsia"/>
                <w:szCs w:val="21"/>
              </w:rPr>
              <w:t>4（讲授）</w:t>
            </w:r>
          </w:p>
        </w:tc>
        <w:tc>
          <w:tcPr>
            <w:tcW w:w="959" w:type="dxa"/>
            <w:noWrap w:val="0"/>
            <w:vAlign w:val="center"/>
          </w:tcPr>
          <w:p>
            <w:pPr>
              <w:rPr>
                <w:szCs w:val="21"/>
              </w:rPr>
            </w:pPr>
            <w:r>
              <w:rPr>
                <w:szCs w:val="21"/>
              </w:rPr>
              <w:t>讲授/讨论/实例教学等</w:t>
            </w:r>
          </w:p>
        </w:tc>
        <w:tc>
          <w:tcPr>
            <w:tcW w:w="1052" w:type="dxa"/>
            <w:noWrap w:val="0"/>
            <w:vAlign w:val="center"/>
          </w:tcPr>
          <w:p>
            <w:pPr>
              <w:jc w:val="center"/>
              <w:rPr>
                <w:szCs w:val="21"/>
              </w:rPr>
            </w:pPr>
            <w:r>
              <w:rPr>
                <w:b/>
                <w:kern w:val="0"/>
                <w:szCs w:val="21"/>
              </w:rPr>
              <w:t>目标</w:t>
            </w:r>
            <w:r>
              <w:rPr>
                <w:rFonts w:hint="eastAsia"/>
                <w:b/>
                <w:kern w:val="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7" w:type="dxa"/>
            <w:noWrap w:val="0"/>
            <w:vAlign w:val="center"/>
          </w:tcPr>
          <w:p>
            <w:pPr>
              <w:jc w:val="center"/>
              <w:rPr>
                <w:szCs w:val="21"/>
              </w:rPr>
            </w:pPr>
            <w:r>
              <w:rPr>
                <w:szCs w:val="21"/>
              </w:rPr>
              <w:t>7</w:t>
            </w:r>
          </w:p>
        </w:tc>
        <w:tc>
          <w:tcPr>
            <w:tcW w:w="2114" w:type="dxa"/>
            <w:noWrap w:val="0"/>
            <w:vAlign w:val="center"/>
          </w:tcPr>
          <w:p>
            <w:pPr>
              <w:rPr>
                <w:b/>
                <w:kern w:val="0"/>
                <w:szCs w:val="21"/>
              </w:rPr>
            </w:pPr>
            <w:r>
              <w:rPr>
                <w:rFonts w:hint="eastAsia"/>
                <w:b/>
                <w:kern w:val="0"/>
                <w:szCs w:val="21"/>
              </w:rPr>
              <w:t>化工防火防爆技术</w:t>
            </w:r>
          </w:p>
          <w:p>
            <w:pPr>
              <w:rPr>
                <w:rFonts w:hint="eastAsia"/>
                <w:bCs/>
                <w:kern w:val="0"/>
                <w:szCs w:val="21"/>
              </w:rPr>
            </w:pPr>
            <w:r>
              <w:rPr>
                <w:rFonts w:hint="eastAsia"/>
                <w:b/>
                <w:kern w:val="0"/>
                <w:szCs w:val="21"/>
              </w:rPr>
              <w:t>教学内容：</w:t>
            </w:r>
            <w:r>
              <w:rPr>
                <w:rFonts w:hint="eastAsia"/>
                <w:bCs/>
                <w:kern w:val="0"/>
                <w:szCs w:val="21"/>
              </w:rPr>
              <w:t>燃烧与爆炸；化工物料的火灾危险性评估；防火防爆的基本技术措施；消防设施及措施。</w:t>
            </w:r>
          </w:p>
          <w:p>
            <w:pPr>
              <w:rPr>
                <w:kern w:val="0"/>
                <w:szCs w:val="21"/>
              </w:rPr>
            </w:pPr>
            <w:r>
              <w:rPr>
                <w:rFonts w:hint="eastAsia"/>
                <w:b/>
                <w:kern w:val="0"/>
                <w:szCs w:val="21"/>
              </w:rPr>
              <w:t>重点和难点：</w:t>
            </w:r>
            <w:r>
              <w:rPr>
                <w:bCs/>
                <w:kern w:val="0"/>
                <w:szCs w:val="21"/>
              </w:rPr>
              <w:t>理解并掌握爆炸的定义及其特性，掌握燃烧和爆炸的重要参数及这些参数的影响因素。掌握防火防爆的原理和基本措施</w:t>
            </w:r>
            <w:r>
              <w:rPr>
                <w:rFonts w:hint="eastAsia"/>
                <w:bCs/>
                <w:kern w:val="0"/>
                <w:szCs w:val="21"/>
              </w:rPr>
              <w:t>。</w:t>
            </w:r>
            <w:r>
              <w:rPr>
                <w:bCs/>
                <w:kern w:val="0"/>
                <w:szCs w:val="21"/>
              </w:rPr>
              <w:t>了解化工厂常见的点火源及其控制措施：明火及高温热表面、撞击和摩擦火花、电气火花及静电火花</w:t>
            </w:r>
            <w:r>
              <w:rPr>
                <w:rFonts w:hint="eastAsia"/>
                <w:bCs/>
                <w:kern w:val="0"/>
                <w:szCs w:val="21"/>
              </w:rPr>
              <w:t>；</w:t>
            </w:r>
            <w:r>
              <w:rPr>
                <w:bCs/>
                <w:kern w:val="0"/>
                <w:szCs w:val="21"/>
              </w:rPr>
              <w:t>对生产及储存过程的火灾危险性进行分类，从厂址选择与总平面布置、建筑设计方面采取措施，限制火灾爆炸事故的蔓延扩散。同时，考虑消防扑救的措施</w:t>
            </w:r>
            <w:r>
              <w:rPr>
                <w:rFonts w:hint="eastAsia"/>
                <w:bCs/>
                <w:kern w:val="0"/>
                <w:szCs w:val="21"/>
              </w:rPr>
              <w:t>；</w:t>
            </w:r>
            <w:r>
              <w:rPr>
                <w:bCs/>
                <w:kern w:val="0"/>
                <w:szCs w:val="21"/>
              </w:rPr>
              <w:t>控制可燃可爆物质和着火源，从而防止可燃可爆系统的形成，通过取代或控制可燃物用量工艺设备及管道系统密闭化、对工艺参数的安全控制、加强通风除尘，监测防护等措施使可燃物的浓度处于爆炸极限范围以外</w:t>
            </w:r>
            <w:r>
              <w:rPr>
                <w:rFonts w:hint="eastAsia"/>
                <w:bCs/>
                <w:kern w:val="0"/>
                <w:szCs w:val="21"/>
              </w:rPr>
              <w:t>；</w:t>
            </w:r>
            <w:r>
              <w:rPr>
                <w:bCs/>
                <w:kern w:val="0"/>
                <w:szCs w:val="21"/>
              </w:rPr>
              <w:t>事故案例分析</w:t>
            </w:r>
            <w:r>
              <w:rPr>
                <w:rFonts w:hint="eastAsia"/>
                <w:bCs/>
                <w:kern w:val="0"/>
                <w:szCs w:val="21"/>
              </w:rPr>
              <w:t>。</w:t>
            </w:r>
          </w:p>
        </w:tc>
        <w:tc>
          <w:tcPr>
            <w:tcW w:w="1586" w:type="dxa"/>
            <w:noWrap w:val="0"/>
            <w:vAlign w:val="center"/>
          </w:tcPr>
          <w:p>
            <w:pPr>
              <w:rPr>
                <w:kern w:val="0"/>
                <w:szCs w:val="21"/>
              </w:rPr>
            </w:pPr>
            <w:r>
              <w:rPr>
                <w:rFonts w:hint="eastAsia" w:ascii="宋体" w:hAnsi="宋体" w:cs="仿宋_GB2312"/>
                <w:color w:val="000000"/>
                <w:szCs w:val="21"/>
              </w:rPr>
              <w:t>把可持续发展的重要理念和习近平总书记关于生态文明的重要论述与授课内容有机融合，加强生态文明教育，引导学生树立崇尚自然、尊重自然的理念，切实增强学生投身生态文明建设的责任感、使命感。</w:t>
            </w:r>
          </w:p>
        </w:tc>
        <w:tc>
          <w:tcPr>
            <w:tcW w:w="1988" w:type="dxa"/>
            <w:noWrap w:val="0"/>
            <w:vAlign w:val="center"/>
          </w:tcPr>
          <w:p>
            <w:pPr>
              <w:rPr>
                <w:kern w:val="0"/>
                <w:szCs w:val="21"/>
              </w:rPr>
            </w:pPr>
            <w:r>
              <w:rPr>
                <w:kern w:val="0"/>
                <w:szCs w:val="21"/>
              </w:rPr>
              <w:t>能够</w:t>
            </w:r>
            <w:r>
              <w:rPr>
                <w:rFonts w:hint="eastAsia"/>
                <w:kern w:val="0"/>
                <w:szCs w:val="21"/>
              </w:rPr>
              <w:t>掌握</w:t>
            </w:r>
            <w:r>
              <w:rPr>
                <w:rFonts w:hint="eastAsia"/>
                <w:bCs/>
                <w:kern w:val="0"/>
                <w:szCs w:val="21"/>
              </w:rPr>
              <w:t>燃烧与爆炸特性；化工物料的火灾危险性评估；防火防爆的基本技术措施；消防设施及措施等。</w:t>
            </w:r>
          </w:p>
        </w:tc>
        <w:tc>
          <w:tcPr>
            <w:tcW w:w="846" w:type="dxa"/>
            <w:noWrap w:val="0"/>
            <w:vAlign w:val="center"/>
          </w:tcPr>
          <w:p>
            <w:pPr>
              <w:spacing w:line="312" w:lineRule="auto"/>
              <w:jc w:val="center"/>
              <w:rPr>
                <w:szCs w:val="21"/>
              </w:rPr>
            </w:pPr>
            <w:r>
              <w:rPr>
                <w:rFonts w:hint="eastAsia"/>
                <w:szCs w:val="21"/>
              </w:rPr>
              <w:t>4（讲授）</w:t>
            </w:r>
          </w:p>
        </w:tc>
        <w:tc>
          <w:tcPr>
            <w:tcW w:w="959" w:type="dxa"/>
            <w:noWrap w:val="0"/>
            <w:vAlign w:val="center"/>
          </w:tcPr>
          <w:p>
            <w:pPr>
              <w:rPr>
                <w:szCs w:val="21"/>
              </w:rPr>
            </w:pPr>
            <w:r>
              <w:rPr>
                <w:szCs w:val="21"/>
              </w:rPr>
              <w:t>讲授/讨论/实例教学等</w:t>
            </w:r>
          </w:p>
        </w:tc>
        <w:tc>
          <w:tcPr>
            <w:tcW w:w="1052" w:type="dxa"/>
            <w:noWrap w:val="0"/>
            <w:vAlign w:val="center"/>
          </w:tcPr>
          <w:p>
            <w:pPr>
              <w:jc w:val="center"/>
              <w:rPr>
                <w:szCs w:val="21"/>
              </w:rPr>
            </w:pPr>
            <w:r>
              <w:rPr>
                <w:b/>
                <w:kern w:val="0"/>
                <w:szCs w:val="21"/>
              </w:rPr>
              <w:t>目标</w:t>
            </w:r>
            <w:r>
              <w:rPr>
                <w:rFonts w:hint="eastAsia"/>
                <w:b/>
                <w:kern w:val="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7" w:type="dxa"/>
            <w:noWrap w:val="0"/>
            <w:vAlign w:val="center"/>
          </w:tcPr>
          <w:p>
            <w:pPr>
              <w:jc w:val="center"/>
              <w:rPr>
                <w:szCs w:val="21"/>
              </w:rPr>
            </w:pPr>
            <w:r>
              <w:rPr>
                <w:szCs w:val="21"/>
              </w:rPr>
              <w:t>8</w:t>
            </w:r>
          </w:p>
        </w:tc>
        <w:tc>
          <w:tcPr>
            <w:tcW w:w="2114" w:type="dxa"/>
            <w:noWrap w:val="0"/>
            <w:vAlign w:val="center"/>
          </w:tcPr>
          <w:p>
            <w:pPr>
              <w:rPr>
                <w:b/>
                <w:kern w:val="0"/>
                <w:szCs w:val="21"/>
              </w:rPr>
            </w:pPr>
            <w:r>
              <w:rPr>
                <w:rFonts w:hint="eastAsia"/>
                <w:b/>
                <w:kern w:val="0"/>
                <w:szCs w:val="21"/>
              </w:rPr>
              <w:t>工业毒物的危害及防护技术</w:t>
            </w:r>
          </w:p>
          <w:p>
            <w:pPr>
              <w:rPr>
                <w:rFonts w:hint="eastAsia"/>
                <w:bCs/>
                <w:kern w:val="0"/>
                <w:szCs w:val="21"/>
              </w:rPr>
            </w:pPr>
            <w:r>
              <w:rPr>
                <w:rFonts w:hint="eastAsia"/>
                <w:b/>
                <w:kern w:val="0"/>
                <w:szCs w:val="21"/>
              </w:rPr>
              <w:t>教学内容：</w:t>
            </w:r>
            <w:r>
              <w:rPr>
                <w:rFonts w:hint="eastAsia"/>
                <w:bCs/>
                <w:kern w:val="0"/>
                <w:szCs w:val="21"/>
              </w:rPr>
              <w:t>工业毒物的分类及毒性评价；工业毒物侵入人体的途径和危害；防毒、防尘技术措施；急性中毒的现场抢救原则。</w:t>
            </w:r>
          </w:p>
          <w:p>
            <w:pPr>
              <w:rPr>
                <w:rFonts w:hint="eastAsia"/>
                <w:bCs/>
                <w:kern w:val="0"/>
                <w:szCs w:val="21"/>
              </w:rPr>
            </w:pPr>
            <w:r>
              <w:rPr>
                <w:rFonts w:hint="eastAsia"/>
                <w:b/>
                <w:kern w:val="0"/>
                <w:szCs w:val="21"/>
              </w:rPr>
              <w:t>重点和难点：</w:t>
            </w:r>
            <w:r>
              <w:rPr>
                <w:bCs/>
                <w:kern w:val="0"/>
                <w:szCs w:val="21"/>
              </w:rPr>
              <w:t>了解职业卫生和职业病，理解职业中毒和毒物的形态，掌握工业毒物侵入人体的途径，毒性物质的类别与有效剂量</w:t>
            </w:r>
            <w:r>
              <w:rPr>
                <w:rFonts w:hint="eastAsia"/>
                <w:bCs/>
                <w:kern w:val="0"/>
                <w:szCs w:val="21"/>
              </w:rPr>
              <w:t>；</w:t>
            </w:r>
            <w:r>
              <w:rPr>
                <w:bCs/>
                <w:kern w:val="0"/>
                <w:szCs w:val="21"/>
              </w:rPr>
              <w:t>掌握工作场所有害因素职业接触限值和职业接触毒物危害程度分级，理解并记忆化工常见物质的毒性作用，了解化学物质毒性的影响因素</w:t>
            </w:r>
            <w:r>
              <w:rPr>
                <w:rFonts w:hint="eastAsia"/>
                <w:bCs/>
                <w:kern w:val="0"/>
                <w:szCs w:val="21"/>
              </w:rPr>
              <w:t>；</w:t>
            </w:r>
            <w:r>
              <w:rPr>
                <w:bCs/>
                <w:kern w:val="0"/>
                <w:szCs w:val="21"/>
              </w:rPr>
              <w:t>了解化工生产中常见的毒性物质及防范技术措施</w:t>
            </w:r>
            <w:r>
              <w:rPr>
                <w:rFonts w:hint="eastAsia"/>
                <w:bCs/>
                <w:kern w:val="0"/>
                <w:szCs w:val="21"/>
              </w:rPr>
              <w:t>；</w:t>
            </w:r>
            <w:r>
              <w:rPr>
                <w:bCs/>
                <w:kern w:val="0"/>
                <w:szCs w:val="21"/>
              </w:rPr>
              <w:t>事故案例分析：爆炸和化学品泄漏苯和硝基苯造成的污染和危害。</w:t>
            </w:r>
          </w:p>
        </w:tc>
        <w:tc>
          <w:tcPr>
            <w:tcW w:w="1586" w:type="dxa"/>
            <w:noWrap w:val="0"/>
            <w:vAlign w:val="center"/>
          </w:tcPr>
          <w:p>
            <w:pPr>
              <w:autoSpaceDE w:val="0"/>
              <w:autoSpaceDN w:val="0"/>
              <w:adjustRightInd w:val="0"/>
              <w:rPr>
                <w:rFonts w:hint="eastAsia"/>
                <w:szCs w:val="21"/>
              </w:rPr>
            </w:pPr>
            <w:r>
              <w:rPr>
                <w:rFonts w:hint="eastAsia" w:ascii="宋体" w:hAnsi="宋体" w:cs="仿宋_GB2312"/>
                <w:color w:val="000000"/>
                <w:szCs w:val="21"/>
              </w:rPr>
              <w:t>把可持续发展的重要理念和习近平总书记关于生态文明的重要论述与授课内容有机融合，加强生态文明教育，引导学生树立崇尚自然、尊重自然的理念，切实增强学生投身生态文明建设的责任感、使命感。</w:t>
            </w:r>
          </w:p>
        </w:tc>
        <w:tc>
          <w:tcPr>
            <w:tcW w:w="1988" w:type="dxa"/>
            <w:noWrap w:val="0"/>
            <w:vAlign w:val="center"/>
          </w:tcPr>
          <w:p>
            <w:pPr>
              <w:autoSpaceDE w:val="0"/>
              <w:autoSpaceDN w:val="0"/>
              <w:adjustRightInd w:val="0"/>
              <w:rPr>
                <w:kern w:val="0"/>
                <w:szCs w:val="21"/>
              </w:rPr>
            </w:pPr>
            <w:r>
              <w:rPr>
                <w:kern w:val="0"/>
                <w:szCs w:val="21"/>
              </w:rPr>
              <w:t>能够理解</w:t>
            </w:r>
            <w:r>
              <w:rPr>
                <w:rFonts w:hint="eastAsia"/>
                <w:kern w:val="0"/>
                <w:szCs w:val="21"/>
              </w:rPr>
              <w:t>工业毒物的分类、特性及其对人体产生的危害，掌握相关的防护措施。</w:t>
            </w:r>
          </w:p>
        </w:tc>
        <w:tc>
          <w:tcPr>
            <w:tcW w:w="846" w:type="dxa"/>
            <w:noWrap w:val="0"/>
            <w:vAlign w:val="center"/>
          </w:tcPr>
          <w:p>
            <w:pPr>
              <w:spacing w:line="312" w:lineRule="auto"/>
              <w:jc w:val="center"/>
              <w:rPr>
                <w:szCs w:val="21"/>
              </w:rPr>
            </w:pPr>
            <w:r>
              <w:rPr>
                <w:rFonts w:hint="eastAsia"/>
                <w:szCs w:val="21"/>
              </w:rPr>
              <w:t>4（讲授）</w:t>
            </w:r>
          </w:p>
        </w:tc>
        <w:tc>
          <w:tcPr>
            <w:tcW w:w="959" w:type="dxa"/>
            <w:noWrap w:val="0"/>
            <w:vAlign w:val="center"/>
          </w:tcPr>
          <w:p>
            <w:pPr>
              <w:rPr>
                <w:szCs w:val="21"/>
              </w:rPr>
            </w:pPr>
            <w:r>
              <w:rPr>
                <w:szCs w:val="21"/>
              </w:rPr>
              <w:t>讲授/讨论/实例教学等</w:t>
            </w:r>
          </w:p>
        </w:tc>
        <w:tc>
          <w:tcPr>
            <w:tcW w:w="1052" w:type="dxa"/>
            <w:noWrap w:val="0"/>
            <w:vAlign w:val="center"/>
          </w:tcPr>
          <w:p>
            <w:pPr>
              <w:jc w:val="center"/>
              <w:rPr>
                <w:b/>
                <w:kern w:val="0"/>
                <w:szCs w:val="21"/>
              </w:rPr>
            </w:pPr>
            <w:r>
              <w:rPr>
                <w:b/>
                <w:kern w:val="0"/>
                <w:szCs w:val="21"/>
              </w:rPr>
              <w:t>目</w:t>
            </w:r>
            <w:r>
              <w:rPr>
                <w:rFonts w:hint="eastAsia"/>
                <w:b/>
                <w:kern w:val="0"/>
                <w:szCs w:val="21"/>
              </w:rPr>
              <w:t>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7" w:type="dxa"/>
            <w:noWrap w:val="0"/>
            <w:vAlign w:val="center"/>
          </w:tcPr>
          <w:p>
            <w:pPr>
              <w:jc w:val="center"/>
              <w:rPr>
                <w:rFonts w:hint="eastAsia"/>
                <w:szCs w:val="21"/>
              </w:rPr>
            </w:pPr>
            <w:r>
              <w:rPr>
                <w:rFonts w:hint="eastAsia"/>
                <w:szCs w:val="21"/>
              </w:rPr>
              <w:t>9</w:t>
            </w:r>
          </w:p>
        </w:tc>
        <w:tc>
          <w:tcPr>
            <w:tcW w:w="2114" w:type="dxa"/>
            <w:noWrap w:val="0"/>
            <w:vAlign w:val="center"/>
          </w:tcPr>
          <w:p>
            <w:pPr>
              <w:rPr>
                <w:rFonts w:hint="eastAsia"/>
                <w:b/>
                <w:kern w:val="0"/>
                <w:szCs w:val="21"/>
              </w:rPr>
            </w:pPr>
            <w:r>
              <w:rPr>
                <w:b/>
                <w:kern w:val="0"/>
                <w:szCs w:val="21"/>
              </w:rPr>
              <w:t>压力容器</w:t>
            </w:r>
            <w:r>
              <w:rPr>
                <w:rFonts w:hint="eastAsia"/>
                <w:b/>
                <w:kern w:val="0"/>
                <w:szCs w:val="21"/>
              </w:rPr>
              <w:t>和化工检修的</w:t>
            </w:r>
            <w:r>
              <w:rPr>
                <w:b/>
                <w:kern w:val="0"/>
                <w:szCs w:val="21"/>
              </w:rPr>
              <w:t>安全</w:t>
            </w:r>
            <w:r>
              <w:rPr>
                <w:rFonts w:hint="eastAsia"/>
                <w:b/>
                <w:kern w:val="0"/>
                <w:szCs w:val="21"/>
              </w:rPr>
              <w:t>技术</w:t>
            </w:r>
          </w:p>
          <w:p>
            <w:pPr>
              <w:rPr>
                <w:bCs/>
                <w:kern w:val="0"/>
                <w:szCs w:val="21"/>
              </w:rPr>
            </w:pPr>
            <w:r>
              <w:rPr>
                <w:rFonts w:hint="eastAsia"/>
                <w:b/>
                <w:kern w:val="0"/>
                <w:szCs w:val="21"/>
              </w:rPr>
              <w:t>教学内容：</w:t>
            </w:r>
            <w:r>
              <w:rPr>
                <w:rFonts w:hint="eastAsia"/>
                <w:bCs/>
                <w:kern w:val="0"/>
                <w:szCs w:val="21"/>
              </w:rPr>
              <w:t>压力容器的安全技术；化工检修安全技术。</w:t>
            </w:r>
          </w:p>
          <w:p>
            <w:pPr>
              <w:rPr>
                <w:bCs/>
                <w:kern w:val="0"/>
                <w:szCs w:val="21"/>
              </w:rPr>
            </w:pPr>
            <w:r>
              <w:rPr>
                <w:rFonts w:hint="eastAsia"/>
                <w:b/>
                <w:kern w:val="0"/>
                <w:szCs w:val="21"/>
              </w:rPr>
              <w:t>重点和难点：</w:t>
            </w:r>
            <w:r>
              <w:rPr>
                <w:bCs/>
                <w:kern w:val="0"/>
                <w:szCs w:val="21"/>
              </w:rPr>
              <w:t>了解压力容器在化工生产中的应用和安全问题，了解压力容器安全管理法规与安全技术标准</w:t>
            </w:r>
            <w:r>
              <w:rPr>
                <w:rFonts w:hint="eastAsia"/>
                <w:bCs/>
                <w:kern w:val="0"/>
                <w:szCs w:val="21"/>
              </w:rPr>
              <w:t>；</w:t>
            </w:r>
            <w:r>
              <w:rPr>
                <w:bCs/>
                <w:kern w:val="0"/>
                <w:szCs w:val="21"/>
              </w:rPr>
              <w:t>掌握压力容器的安全特征、压力容器的分类、压力容器的失效形式</w:t>
            </w:r>
            <w:r>
              <w:rPr>
                <w:rFonts w:hint="eastAsia"/>
                <w:bCs/>
                <w:kern w:val="0"/>
                <w:szCs w:val="21"/>
              </w:rPr>
              <w:t>；</w:t>
            </w:r>
            <w:r>
              <w:rPr>
                <w:bCs/>
                <w:kern w:val="0"/>
                <w:szCs w:val="21"/>
              </w:rPr>
              <w:t>掌握压力容器的安全设计和制造，在役压力容器的定期检验，压力容器的安全装置</w:t>
            </w:r>
            <w:r>
              <w:rPr>
                <w:rFonts w:hint="eastAsia"/>
                <w:bCs/>
                <w:kern w:val="0"/>
                <w:szCs w:val="21"/>
              </w:rPr>
              <w:t>；</w:t>
            </w:r>
            <w:r>
              <w:rPr>
                <w:bCs/>
                <w:kern w:val="0"/>
                <w:szCs w:val="21"/>
              </w:rPr>
              <w:t>了解压力容器的事故分析和处理。</w:t>
            </w:r>
          </w:p>
          <w:p>
            <w:pPr>
              <w:rPr>
                <w:kern w:val="0"/>
                <w:szCs w:val="21"/>
              </w:rPr>
            </w:pPr>
          </w:p>
        </w:tc>
        <w:tc>
          <w:tcPr>
            <w:tcW w:w="1586" w:type="dxa"/>
            <w:noWrap w:val="0"/>
            <w:vAlign w:val="center"/>
          </w:tcPr>
          <w:p>
            <w:pPr>
              <w:autoSpaceDE w:val="0"/>
              <w:autoSpaceDN w:val="0"/>
              <w:adjustRightInd w:val="0"/>
              <w:rPr>
                <w:rFonts w:hint="eastAsia"/>
                <w:kern w:val="0"/>
                <w:szCs w:val="21"/>
              </w:rPr>
            </w:pPr>
            <w:r>
              <w:rPr>
                <w:rFonts w:hint="eastAsia" w:ascii="宋体" w:hAnsi="宋体" w:cs="仿宋_GB2312"/>
                <w:color w:val="000000"/>
                <w:szCs w:val="21"/>
              </w:rPr>
              <w:t>把可持续发展的重要理念和习近平总书记关于生态文明的重要论述与授课内容有机融合，加强生态文明教育，引导学生树立崇尚自然、尊重自然的理念，切实增强学生投身生态文明建设的责任感、使命感。</w:t>
            </w:r>
          </w:p>
        </w:tc>
        <w:tc>
          <w:tcPr>
            <w:tcW w:w="1988" w:type="dxa"/>
            <w:noWrap w:val="0"/>
            <w:vAlign w:val="center"/>
          </w:tcPr>
          <w:p>
            <w:pPr>
              <w:rPr>
                <w:kern w:val="0"/>
                <w:szCs w:val="21"/>
              </w:rPr>
            </w:pPr>
            <w:r>
              <w:rPr>
                <w:rFonts w:hint="eastAsia"/>
                <w:bCs/>
                <w:kern w:val="0"/>
                <w:szCs w:val="21"/>
              </w:rPr>
              <w:t>能够理解压力容器的安全技术、检修技术及使用期间的注意事项。</w:t>
            </w:r>
          </w:p>
        </w:tc>
        <w:tc>
          <w:tcPr>
            <w:tcW w:w="846" w:type="dxa"/>
            <w:noWrap w:val="0"/>
            <w:vAlign w:val="center"/>
          </w:tcPr>
          <w:p>
            <w:pPr>
              <w:spacing w:line="312" w:lineRule="auto"/>
              <w:jc w:val="center"/>
              <w:rPr>
                <w:szCs w:val="21"/>
              </w:rPr>
            </w:pPr>
            <w:r>
              <w:rPr>
                <w:rFonts w:hint="eastAsia"/>
                <w:szCs w:val="21"/>
              </w:rPr>
              <w:t>4（讲授）</w:t>
            </w:r>
          </w:p>
        </w:tc>
        <w:tc>
          <w:tcPr>
            <w:tcW w:w="959" w:type="dxa"/>
            <w:noWrap w:val="0"/>
            <w:vAlign w:val="center"/>
          </w:tcPr>
          <w:p>
            <w:pPr>
              <w:rPr>
                <w:szCs w:val="21"/>
              </w:rPr>
            </w:pPr>
            <w:r>
              <w:rPr>
                <w:szCs w:val="21"/>
              </w:rPr>
              <w:t>讲授/讨论/实例教学等</w:t>
            </w:r>
          </w:p>
        </w:tc>
        <w:tc>
          <w:tcPr>
            <w:tcW w:w="1052" w:type="dxa"/>
            <w:noWrap w:val="0"/>
            <w:vAlign w:val="center"/>
          </w:tcPr>
          <w:p>
            <w:pPr>
              <w:jc w:val="center"/>
              <w:rPr>
                <w:szCs w:val="21"/>
              </w:rPr>
            </w:pPr>
            <w:r>
              <w:rPr>
                <w:b/>
                <w:kern w:val="0"/>
                <w:szCs w:val="21"/>
              </w:rPr>
              <w:t>目标</w:t>
            </w:r>
            <w:r>
              <w:rPr>
                <w:rFonts w:hint="eastAsia"/>
                <w:b/>
                <w:kern w:val="0"/>
                <w:szCs w:val="21"/>
              </w:rPr>
              <w:t>3</w:t>
            </w:r>
          </w:p>
        </w:tc>
      </w:tr>
    </w:tbl>
    <w:p>
      <w:pPr>
        <w:rPr>
          <w:rFonts w:hint="eastAsia"/>
          <w:b/>
          <w:kern w:val="0"/>
          <w:sz w:val="24"/>
        </w:rPr>
      </w:pPr>
    </w:p>
    <w:p>
      <w:pPr>
        <w:spacing w:line="360" w:lineRule="auto"/>
        <w:ind w:firstLine="562" w:firstLineChars="200"/>
        <w:rPr>
          <w:rFonts w:hint="eastAsia"/>
          <w:b/>
          <w:sz w:val="28"/>
          <w:szCs w:val="28"/>
        </w:rPr>
      </w:pPr>
      <w:r>
        <w:rPr>
          <w:rFonts w:hint="eastAsia"/>
          <w:b/>
          <w:sz w:val="28"/>
          <w:szCs w:val="28"/>
        </w:rPr>
        <w:t>四</w:t>
      </w:r>
      <w:r>
        <w:rPr>
          <w:b/>
          <w:sz w:val="28"/>
          <w:szCs w:val="28"/>
        </w:rPr>
        <w:t>、</w:t>
      </w:r>
      <w:r>
        <w:rPr>
          <w:rFonts w:hint="eastAsia"/>
          <w:b/>
          <w:sz w:val="28"/>
          <w:szCs w:val="28"/>
        </w:rPr>
        <w:t>课内实验（实践）</w:t>
      </w:r>
    </w:p>
    <w:p>
      <w:pPr>
        <w:spacing w:line="360" w:lineRule="auto"/>
        <w:ind w:firstLine="480" w:firstLineChars="200"/>
        <w:rPr>
          <w:rFonts w:hint="eastAsia"/>
          <w:bCs/>
          <w:sz w:val="28"/>
          <w:szCs w:val="28"/>
        </w:rPr>
      </w:pPr>
      <w:r>
        <w:rPr>
          <w:rFonts w:hint="eastAsia"/>
          <w:bCs/>
          <w:sz w:val="24"/>
        </w:rPr>
        <w:t>无</w:t>
      </w:r>
    </w:p>
    <w:p>
      <w:pPr>
        <w:spacing w:line="360" w:lineRule="auto"/>
        <w:ind w:firstLine="562" w:firstLineChars="200"/>
        <w:rPr>
          <w:rFonts w:hint="eastAsia"/>
          <w:b/>
          <w:sz w:val="28"/>
          <w:szCs w:val="28"/>
        </w:rPr>
      </w:pPr>
      <w:r>
        <w:rPr>
          <w:rFonts w:hint="eastAsia"/>
          <w:b/>
          <w:sz w:val="28"/>
          <w:szCs w:val="28"/>
        </w:rPr>
        <w:t>五、课程实施</w:t>
      </w:r>
    </w:p>
    <w:p>
      <w:pPr>
        <w:spacing w:line="360" w:lineRule="auto"/>
        <w:ind w:firstLine="480" w:firstLineChars="200"/>
        <w:rPr>
          <w:sz w:val="24"/>
        </w:rPr>
      </w:pPr>
      <w:r>
        <w:rPr>
          <w:sz w:val="24"/>
        </w:rPr>
        <w:t>（一）把握主线，引导学生掌握误差、精度和不确定度相关概念、方法的实际意义，利用测量和仪器中的实际案例，帮助学生理解误差分析和处理的方法和过程，使学生能用误差、精度和不确定度的原理处理和分析测量结果，并最终能指导测试系统和仪器的优化设计。</w:t>
      </w:r>
    </w:p>
    <w:p>
      <w:pPr>
        <w:spacing w:line="360" w:lineRule="auto"/>
        <w:ind w:firstLine="480" w:firstLineChars="200"/>
        <w:rPr>
          <w:sz w:val="24"/>
        </w:rPr>
      </w:pPr>
      <w:r>
        <w:rPr>
          <w:sz w:val="24"/>
        </w:rPr>
        <w:t>（二）采用多媒体教学手段，配合例题的讲解及适当的思考题，保证讲课进度的同时，注意学生的掌握程度和课堂的气氛。</w:t>
      </w:r>
    </w:p>
    <w:p>
      <w:pPr>
        <w:spacing w:line="360" w:lineRule="auto"/>
        <w:ind w:firstLine="480" w:firstLineChars="200"/>
        <w:rPr>
          <w:sz w:val="24"/>
        </w:rPr>
      </w:pPr>
      <w:r>
        <w:rPr>
          <w:sz w:val="24"/>
        </w:rPr>
        <w:t>（三）采用案例式教学，引进计量与工程测试过程中的实际案例，让学生真正了解并掌握计量和测试过程及结果的精度分析方法，从而具备相关知识和方法的实际应用能力。</w:t>
      </w:r>
    </w:p>
    <w:p>
      <w:pPr>
        <w:spacing w:line="360" w:lineRule="auto"/>
        <w:ind w:firstLine="480" w:firstLineChars="200"/>
        <w:rPr>
          <w:b/>
          <w:sz w:val="24"/>
        </w:rPr>
      </w:pPr>
      <w:r>
        <w:rPr>
          <w:bCs/>
          <w:sz w:val="24"/>
        </w:rPr>
        <w:t>（四）主要教学环节的质量要求如表所示。</w:t>
      </w:r>
    </w:p>
    <w:tbl>
      <w:tblPr>
        <w:tblStyle w:val="10"/>
        <w:tblW w:w="9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
        <w:gridCol w:w="1127"/>
        <w:gridCol w:w="7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9" w:type="dxa"/>
            <w:gridSpan w:val="2"/>
            <w:tcBorders>
              <w:top w:val="single" w:color="auto" w:sz="8" w:space="0"/>
              <w:left w:val="single" w:color="auto" w:sz="8" w:space="0"/>
              <w:right w:val="single" w:color="auto" w:sz="8" w:space="0"/>
            </w:tcBorders>
            <w:noWrap w:val="0"/>
            <w:tcMar>
              <w:left w:w="28" w:type="dxa"/>
              <w:right w:w="28" w:type="dxa"/>
            </w:tcMar>
            <w:vAlign w:val="center"/>
          </w:tcPr>
          <w:p>
            <w:pPr>
              <w:spacing w:line="276" w:lineRule="auto"/>
              <w:jc w:val="center"/>
              <w:rPr>
                <w:szCs w:val="21"/>
              </w:rPr>
            </w:pPr>
            <w:r>
              <w:rPr>
                <w:bCs/>
                <w:szCs w:val="21"/>
              </w:rPr>
              <w:t>主要教学环节</w:t>
            </w:r>
          </w:p>
        </w:tc>
        <w:tc>
          <w:tcPr>
            <w:tcW w:w="7391" w:type="dxa"/>
            <w:tcBorders>
              <w:top w:val="single" w:color="auto" w:sz="8" w:space="0"/>
              <w:left w:val="single" w:color="auto" w:sz="8" w:space="0"/>
              <w:right w:val="single" w:color="auto" w:sz="8" w:space="0"/>
            </w:tcBorders>
            <w:noWrap w:val="0"/>
            <w:vAlign w:val="center"/>
          </w:tcPr>
          <w:p>
            <w:pPr>
              <w:spacing w:line="276" w:lineRule="auto"/>
              <w:jc w:val="center"/>
              <w:rPr>
                <w:szCs w:val="21"/>
              </w:rPr>
            </w:pPr>
            <w:r>
              <w:rPr>
                <w:bCs/>
                <w:szCs w:val="21"/>
              </w:rPr>
              <w:t>质量</w:t>
            </w:r>
            <w:r>
              <w:rPr>
                <w:rFonts w:hint="eastAsia"/>
                <w:bCs/>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6" w:hRule="atLeast"/>
          <w:jc w:val="center"/>
        </w:trPr>
        <w:tc>
          <w:tcPr>
            <w:tcW w:w="582" w:type="dxa"/>
            <w:tcBorders>
              <w:left w:val="single" w:color="auto" w:sz="8" w:space="0"/>
            </w:tcBorders>
            <w:noWrap w:val="0"/>
            <w:vAlign w:val="center"/>
          </w:tcPr>
          <w:p>
            <w:pPr>
              <w:spacing w:line="276" w:lineRule="auto"/>
              <w:jc w:val="center"/>
              <w:rPr>
                <w:szCs w:val="21"/>
              </w:rPr>
            </w:pPr>
            <w:r>
              <w:rPr>
                <w:szCs w:val="21"/>
              </w:rPr>
              <w:t>1</w:t>
            </w:r>
          </w:p>
        </w:tc>
        <w:tc>
          <w:tcPr>
            <w:tcW w:w="1127" w:type="dxa"/>
            <w:noWrap w:val="0"/>
            <w:tcMar>
              <w:left w:w="28" w:type="dxa"/>
              <w:right w:w="28" w:type="dxa"/>
            </w:tcMar>
            <w:vAlign w:val="center"/>
          </w:tcPr>
          <w:p>
            <w:pPr>
              <w:spacing w:line="276" w:lineRule="auto"/>
              <w:jc w:val="center"/>
              <w:rPr>
                <w:szCs w:val="21"/>
              </w:rPr>
            </w:pPr>
            <w:r>
              <w:rPr>
                <w:szCs w:val="21"/>
              </w:rPr>
              <w:t>备课</w:t>
            </w:r>
          </w:p>
        </w:tc>
        <w:tc>
          <w:tcPr>
            <w:tcW w:w="7391" w:type="dxa"/>
            <w:tcBorders>
              <w:right w:val="single" w:color="auto" w:sz="8" w:space="0"/>
            </w:tcBorders>
            <w:noWrap w:val="0"/>
            <w:vAlign w:val="center"/>
          </w:tcPr>
          <w:p>
            <w:pPr>
              <w:spacing w:line="276" w:lineRule="auto"/>
              <w:rPr>
                <w:szCs w:val="21"/>
              </w:rPr>
            </w:pPr>
            <w:r>
              <w:rPr>
                <w:szCs w:val="21"/>
              </w:rPr>
              <w:t>（1）掌握本课程教学大纲内容，严格按照教学大纲要求进行课程教学内容的组织。</w:t>
            </w:r>
          </w:p>
          <w:p>
            <w:pPr>
              <w:spacing w:line="276" w:lineRule="auto"/>
              <w:rPr>
                <w:szCs w:val="21"/>
              </w:rPr>
            </w:pPr>
            <w:r>
              <w:rPr>
                <w:szCs w:val="21"/>
              </w:rPr>
              <w:t>（2）熟悉教材各章节，借助专业书籍资料，并依据教学大纲编写授课计划，编写每次授课的教案。教案内容包括章节标题、教学目的、教法设计、课堂类型、时间分配、授课内容、课后作业、教学效果分析等方面。</w:t>
            </w:r>
          </w:p>
          <w:p>
            <w:pPr>
              <w:spacing w:line="276" w:lineRule="auto"/>
              <w:rPr>
                <w:szCs w:val="21"/>
              </w:rPr>
            </w:pPr>
            <w:r>
              <w:rPr>
                <w:szCs w:val="21"/>
              </w:rPr>
              <w:t>（3）</w:t>
            </w:r>
            <w:r>
              <w:rPr>
                <w:rFonts w:hint="eastAsia"/>
                <w:szCs w:val="21"/>
              </w:rPr>
              <w:t>根据</w:t>
            </w:r>
            <w:r>
              <w:rPr>
                <w:szCs w:val="21"/>
              </w:rPr>
              <w:t>各部分</w:t>
            </w:r>
            <w:r>
              <w:rPr>
                <w:rFonts w:hint="eastAsia"/>
                <w:szCs w:val="21"/>
              </w:rPr>
              <w:t>教学</w:t>
            </w:r>
            <w:r>
              <w:rPr>
                <w:szCs w:val="21"/>
              </w:rPr>
              <w:t>内容</w:t>
            </w:r>
            <w:r>
              <w:rPr>
                <w:rFonts w:hint="eastAsia"/>
                <w:szCs w:val="21"/>
              </w:rPr>
              <w:t>，</w:t>
            </w:r>
            <w:r>
              <w:rPr>
                <w:szCs w:val="21"/>
              </w:rPr>
              <w:t>构思授课思路、技巧</w:t>
            </w:r>
            <w:r>
              <w:rPr>
                <w:rFonts w:hint="eastAsia"/>
                <w:szCs w:val="21"/>
              </w:rPr>
              <w:t>，选择合适的</w:t>
            </w:r>
            <w:r>
              <w:rPr>
                <w:szCs w:val="21"/>
              </w:rPr>
              <w:t>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tcBorders>
              <w:left w:val="single" w:color="auto" w:sz="8" w:space="0"/>
            </w:tcBorders>
            <w:noWrap w:val="0"/>
            <w:vAlign w:val="center"/>
          </w:tcPr>
          <w:p>
            <w:pPr>
              <w:spacing w:line="276" w:lineRule="auto"/>
              <w:jc w:val="center"/>
              <w:rPr>
                <w:szCs w:val="21"/>
              </w:rPr>
            </w:pPr>
            <w:r>
              <w:rPr>
                <w:szCs w:val="21"/>
              </w:rPr>
              <w:t>2</w:t>
            </w:r>
          </w:p>
        </w:tc>
        <w:tc>
          <w:tcPr>
            <w:tcW w:w="1127" w:type="dxa"/>
            <w:noWrap w:val="0"/>
            <w:tcMar>
              <w:left w:w="28" w:type="dxa"/>
              <w:right w:w="28" w:type="dxa"/>
            </w:tcMar>
            <w:vAlign w:val="center"/>
          </w:tcPr>
          <w:p>
            <w:pPr>
              <w:spacing w:line="276" w:lineRule="auto"/>
              <w:jc w:val="center"/>
              <w:rPr>
                <w:szCs w:val="21"/>
              </w:rPr>
            </w:pPr>
            <w:r>
              <w:rPr>
                <w:szCs w:val="21"/>
              </w:rPr>
              <w:t>讲授</w:t>
            </w:r>
          </w:p>
        </w:tc>
        <w:tc>
          <w:tcPr>
            <w:tcW w:w="7391" w:type="dxa"/>
            <w:tcBorders>
              <w:right w:val="single" w:color="auto" w:sz="8" w:space="0"/>
            </w:tcBorders>
            <w:noWrap w:val="0"/>
            <w:vAlign w:val="center"/>
          </w:tcPr>
          <w:p>
            <w:pPr>
              <w:spacing w:line="276" w:lineRule="auto"/>
              <w:rPr>
                <w:szCs w:val="21"/>
              </w:rPr>
            </w:pPr>
            <w:r>
              <w:rPr>
                <w:rFonts w:hint="eastAsia"/>
                <w:szCs w:val="21"/>
              </w:rPr>
              <w:t>（1）</w:t>
            </w:r>
            <w:r>
              <w:rPr>
                <w:szCs w:val="21"/>
              </w:rPr>
              <w:t>要点准确</w:t>
            </w:r>
            <w:r>
              <w:rPr>
                <w:rFonts w:hint="eastAsia"/>
                <w:szCs w:val="21"/>
              </w:rPr>
              <w:t>、</w:t>
            </w:r>
            <w:r>
              <w:rPr>
                <w:szCs w:val="21"/>
              </w:rPr>
              <w:t>推理正确</w:t>
            </w:r>
            <w:r>
              <w:rPr>
                <w:rFonts w:hint="eastAsia"/>
                <w:szCs w:val="21"/>
              </w:rPr>
              <w:t>、</w:t>
            </w:r>
            <w:r>
              <w:rPr>
                <w:szCs w:val="21"/>
              </w:rPr>
              <w:t>条理清晰</w:t>
            </w:r>
            <w:r>
              <w:rPr>
                <w:rFonts w:hint="eastAsia"/>
                <w:szCs w:val="21"/>
              </w:rPr>
              <w:t>、</w:t>
            </w:r>
            <w:r>
              <w:rPr>
                <w:szCs w:val="21"/>
              </w:rPr>
              <w:t>重点突出，</w:t>
            </w:r>
            <w:r>
              <w:rPr>
                <w:rFonts w:hint="eastAsia"/>
                <w:szCs w:val="21"/>
              </w:rPr>
              <w:t>能够</w:t>
            </w:r>
            <w:r>
              <w:rPr>
                <w:szCs w:val="21"/>
              </w:rPr>
              <w:t>理论联系实际，熟练地解答和讲解例题。</w:t>
            </w:r>
          </w:p>
          <w:p>
            <w:pPr>
              <w:spacing w:line="276" w:lineRule="auto"/>
              <w:rPr>
                <w:szCs w:val="21"/>
              </w:rPr>
            </w:pPr>
            <w:r>
              <w:rPr>
                <w:rFonts w:hint="eastAsia"/>
                <w:szCs w:val="21"/>
              </w:rPr>
              <w:t>（2）</w:t>
            </w:r>
            <w:r>
              <w:rPr>
                <w:szCs w:val="21"/>
              </w:rPr>
              <w:t>采用多种教学方式（如启发式教学、案例分析教学、讨论式教学、多媒体示范教学等），注重培养学生发现、分析和解决问题的能力。</w:t>
            </w:r>
          </w:p>
          <w:p>
            <w:pPr>
              <w:spacing w:line="276" w:lineRule="auto"/>
              <w:rPr>
                <w:szCs w:val="21"/>
              </w:rPr>
            </w:pPr>
            <w:r>
              <w:rPr>
                <w:rFonts w:hint="eastAsia"/>
                <w:szCs w:val="21"/>
              </w:rPr>
              <w:t>（3）能够采用现代信息技术辅助</w:t>
            </w:r>
            <w:r>
              <w:rPr>
                <w:szCs w:val="21"/>
              </w:rPr>
              <w:t>教学。</w:t>
            </w:r>
          </w:p>
          <w:p>
            <w:pPr>
              <w:spacing w:line="276" w:lineRule="auto"/>
              <w:rPr>
                <w:szCs w:val="21"/>
              </w:rPr>
            </w:pPr>
            <w:r>
              <w:rPr>
                <w:rFonts w:hint="eastAsia"/>
                <w:szCs w:val="21"/>
              </w:rPr>
              <w:t>（4）</w:t>
            </w:r>
            <w:r>
              <w:rPr>
                <w:szCs w:val="21"/>
              </w:rPr>
              <w:t>表达方式</w:t>
            </w:r>
            <w:r>
              <w:rPr>
                <w:rFonts w:hint="eastAsia"/>
                <w:szCs w:val="21"/>
              </w:rPr>
              <w:t>应能</w:t>
            </w:r>
            <w:r>
              <w:rPr>
                <w:szCs w:val="21"/>
              </w:rPr>
              <w:t>便于学生理解、接受，力求形象生动，使学生在掌握知识的过程中，保持较为浓厚的</w:t>
            </w:r>
            <w:r>
              <w:rPr>
                <w:rFonts w:hint="eastAsia"/>
                <w:szCs w:val="21"/>
              </w:rPr>
              <w:t>学习</w:t>
            </w:r>
            <w:r>
              <w:rPr>
                <w:szCs w:val="21"/>
              </w:rPr>
              <w:t>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jc w:val="center"/>
        </w:trPr>
        <w:tc>
          <w:tcPr>
            <w:tcW w:w="582" w:type="dxa"/>
            <w:tcBorders>
              <w:left w:val="single" w:color="auto" w:sz="8" w:space="0"/>
            </w:tcBorders>
            <w:noWrap w:val="0"/>
            <w:vAlign w:val="center"/>
          </w:tcPr>
          <w:p>
            <w:pPr>
              <w:spacing w:line="276" w:lineRule="auto"/>
              <w:jc w:val="center"/>
              <w:rPr>
                <w:szCs w:val="21"/>
              </w:rPr>
            </w:pPr>
            <w:r>
              <w:rPr>
                <w:szCs w:val="21"/>
              </w:rPr>
              <w:t>3</w:t>
            </w:r>
          </w:p>
        </w:tc>
        <w:tc>
          <w:tcPr>
            <w:tcW w:w="1127" w:type="dxa"/>
            <w:noWrap w:val="0"/>
            <w:tcMar>
              <w:left w:w="28" w:type="dxa"/>
              <w:right w:w="28" w:type="dxa"/>
            </w:tcMar>
            <w:vAlign w:val="center"/>
          </w:tcPr>
          <w:p>
            <w:pPr>
              <w:spacing w:line="276" w:lineRule="auto"/>
              <w:jc w:val="center"/>
              <w:rPr>
                <w:szCs w:val="21"/>
              </w:rPr>
            </w:pPr>
            <w:r>
              <w:rPr>
                <w:szCs w:val="21"/>
              </w:rPr>
              <w:t>作业布置与批改</w:t>
            </w:r>
          </w:p>
        </w:tc>
        <w:tc>
          <w:tcPr>
            <w:tcW w:w="7391" w:type="dxa"/>
            <w:tcBorders>
              <w:right w:val="single" w:color="auto" w:sz="8" w:space="0"/>
            </w:tcBorders>
            <w:noWrap w:val="0"/>
            <w:vAlign w:val="center"/>
          </w:tcPr>
          <w:p>
            <w:pPr>
              <w:spacing w:line="276" w:lineRule="auto"/>
              <w:rPr>
                <w:szCs w:val="21"/>
              </w:rPr>
            </w:pPr>
            <w:r>
              <w:rPr>
                <w:szCs w:val="21"/>
              </w:rPr>
              <w:t>学生必须完成</w:t>
            </w:r>
            <w:r>
              <w:rPr>
                <w:rFonts w:hint="eastAsia"/>
                <w:szCs w:val="21"/>
              </w:rPr>
              <w:t>规定</w:t>
            </w:r>
            <w:r>
              <w:rPr>
                <w:szCs w:val="21"/>
              </w:rPr>
              <w:t>数量的作业</w:t>
            </w:r>
            <w:r>
              <w:rPr>
                <w:rFonts w:hint="eastAsia"/>
                <w:szCs w:val="21"/>
              </w:rPr>
              <w:t>，</w:t>
            </w:r>
            <w:r>
              <w:rPr>
                <w:szCs w:val="21"/>
              </w:rPr>
              <w:t>作业必须达到以下基本要求：</w:t>
            </w:r>
          </w:p>
          <w:p>
            <w:pPr>
              <w:spacing w:line="276" w:lineRule="auto"/>
              <w:rPr>
                <w:szCs w:val="21"/>
              </w:rPr>
            </w:pPr>
            <w:r>
              <w:rPr>
                <w:rFonts w:hint="eastAsia"/>
                <w:szCs w:val="21"/>
              </w:rPr>
              <w:t>（1）</w:t>
            </w:r>
            <w:r>
              <w:rPr>
                <w:szCs w:val="21"/>
              </w:rPr>
              <w:t>按时按量完成作业，不缺交，不抄袭</w:t>
            </w:r>
            <w:r>
              <w:rPr>
                <w:rFonts w:hint="eastAsia"/>
                <w:szCs w:val="21"/>
              </w:rPr>
              <w:t>。</w:t>
            </w:r>
          </w:p>
          <w:p>
            <w:pPr>
              <w:spacing w:line="276" w:lineRule="auto"/>
              <w:rPr>
                <w:szCs w:val="21"/>
              </w:rPr>
            </w:pPr>
            <w:r>
              <w:rPr>
                <w:rFonts w:hint="eastAsia"/>
                <w:szCs w:val="21"/>
              </w:rPr>
              <w:t>（2）书写</w:t>
            </w:r>
            <w:r>
              <w:rPr>
                <w:szCs w:val="21"/>
              </w:rPr>
              <w:t>规范</w:t>
            </w:r>
            <w:r>
              <w:rPr>
                <w:rFonts w:hint="eastAsia"/>
                <w:szCs w:val="21"/>
              </w:rPr>
              <w:t>、</w:t>
            </w:r>
            <w:r>
              <w:rPr>
                <w:szCs w:val="21"/>
              </w:rPr>
              <w:t>清晰</w:t>
            </w:r>
            <w:r>
              <w:rPr>
                <w:rFonts w:hint="eastAsia"/>
                <w:szCs w:val="21"/>
              </w:rPr>
              <w:t>。</w:t>
            </w:r>
          </w:p>
          <w:p>
            <w:pPr>
              <w:spacing w:line="276" w:lineRule="auto"/>
              <w:rPr>
                <w:szCs w:val="21"/>
              </w:rPr>
            </w:pPr>
            <w:r>
              <w:rPr>
                <w:rFonts w:hint="eastAsia"/>
                <w:szCs w:val="21"/>
              </w:rPr>
              <w:t>（3）</w:t>
            </w:r>
            <w:r>
              <w:rPr>
                <w:szCs w:val="21"/>
              </w:rPr>
              <w:t>解题方法和步骤正确。</w:t>
            </w:r>
          </w:p>
          <w:p>
            <w:pPr>
              <w:spacing w:line="276" w:lineRule="auto"/>
              <w:rPr>
                <w:szCs w:val="21"/>
              </w:rPr>
            </w:pPr>
            <w:r>
              <w:rPr>
                <w:szCs w:val="21"/>
              </w:rPr>
              <w:t>教师批改</w:t>
            </w:r>
            <w:r>
              <w:rPr>
                <w:rFonts w:hint="eastAsia"/>
                <w:szCs w:val="21"/>
              </w:rPr>
              <w:t>和</w:t>
            </w:r>
            <w:r>
              <w:rPr>
                <w:szCs w:val="21"/>
              </w:rPr>
              <w:t>讲评作业要求如下：</w:t>
            </w:r>
          </w:p>
          <w:p>
            <w:pPr>
              <w:spacing w:line="276" w:lineRule="auto"/>
              <w:rPr>
                <w:szCs w:val="21"/>
              </w:rPr>
            </w:pPr>
            <w:r>
              <w:rPr>
                <w:rFonts w:hint="eastAsia"/>
                <w:szCs w:val="21"/>
              </w:rPr>
              <w:t>（1）</w:t>
            </w:r>
            <w:r>
              <w:rPr>
                <w:szCs w:val="21"/>
              </w:rPr>
              <w:t>学生的作业要</w:t>
            </w:r>
            <w:r>
              <w:rPr>
                <w:rFonts w:hint="eastAsia"/>
                <w:szCs w:val="21"/>
              </w:rPr>
              <w:t>按时</w:t>
            </w:r>
            <w:r>
              <w:rPr>
                <w:szCs w:val="21"/>
              </w:rPr>
              <w:t>全</w:t>
            </w:r>
            <w:r>
              <w:rPr>
                <w:rFonts w:hint="eastAsia"/>
                <w:szCs w:val="21"/>
              </w:rPr>
              <w:t>部</w:t>
            </w:r>
            <w:r>
              <w:rPr>
                <w:szCs w:val="21"/>
              </w:rPr>
              <w:t>批改，并</w:t>
            </w:r>
            <w:r>
              <w:rPr>
                <w:rFonts w:hint="eastAsia"/>
                <w:szCs w:val="21"/>
              </w:rPr>
              <w:t>及时进行</w:t>
            </w:r>
            <w:r>
              <w:rPr>
                <w:szCs w:val="21"/>
              </w:rPr>
              <w:t>讲评</w:t>
            </w:r>
            <w:r>
              <w:rPr>
                <w:rFonts w:hint="eastAsia"/>
                <w:szCs w:val="21"/>
              </w:rPr>
              <w:t>。</w:t>
            </w:r>
          </w:p>
          <w:p>
            <w:pPr>
              <w:spacing w:line="276" w:lineRule="auto"/>
              <w:rPr>
                <w:szCs w:val="21"/>
              </w:rPr>
            </w:pPr>
            <w:r>
              <w:rPr>
                <w:rFonts w:hint="eastAsia"/>
                <w:szCs w:val="21"/>
              </w:rPr>
              <w:t>（2）</w:t>
            </w:r>
            <w:r>
              <w:rPr>
                <w:szCs w:val="21"/>
              </w:rPr>
              <w:t>教师批改</w:t>
            </w:r>
            <w:r>
              <w:rPr>
                <w:rFonts w:hint="eastAsia"/>
                <w:szCs w:val="21"/>
              </w:rPr>
              <w:t>和</w:t>
            </w:r>
            <w:r>
              <w:rPr>
                <w:szCs w:val="21"/>
              </w:rPr>
              <w:t>讲评作业要认真、细致，按百分制评定成绩并写明日期</w:t>
            </w:r>
            <w:r>
              <w:rPr>
                <w:rFonts w:hint="eastAsia"/>
                <w:szCs w:val="21"/>
              </w:rPr>
              <w:t>。</w:t>
            </w:r>
          </w:p>
          <w:p>
            <w:pPr>
              <w:spacing w:line="276" w:lineRule="auto"/>
              <w:rPr>
                <w:szCs w:val="21"/>
              </w:rPr>
            </w:pPr>
            <w:r>
              <w:rPr>
                <w:rFonts w:hint="eastAsia"/>
                <w:szCs w:val="21"/>
              </w:rPr>
              <w:t>（3）</w:t>
            </w:r>
            <w:r>
              <w:rPr>
                <w:szCs w:val="21"/>
              </w:rPr>
              <w:t>学生作业的平均成绩</w:t>
            </w:r>
            <w:r>
              <w:rPr>
                <w:rFonts w:hint="eastAsia"/>
                <w:szCs w:val="21"/>
              </w:rPr>
              <w:t>应</w:t>
            </w:r>
            <w:r>
              <w:rPr>
                <w:szCs w:val="21"/>
              </w:rPr>
              <w:t>作为本课程总评成绩中平时成绩的重要组成部分。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582" w:type="dxa"/>
            <w:tcBorders>
              <w:left w:val="single" w:color="auto" w:sz="8" w:space="0"/>
            </w:tcBorders>
            <w:noWrap w:val="0"/>
            <w:vAlign w:val="center"/>
          </w:tcPr>
          <w:p>
            <w:pPr>
              <w:spacing w:line="276" w:lineRule="auto"/>
              <w:jc w:val="center"/>
              <w:rPr>
                <w:szCs w:val="21"/>
              </w:rPr>
            </w:pPr>
            <w:r>
              <w:rPr>
                <w:szCs w:val="21"/>
              </w:rPr>
              <w:t>4</w:t>
            </w:r>
          </w:p>
        </w:tc>
        <w:tc>
          <w:tcPr>
            <w:tcW w:w="1127" w:type="dxa"/>
            <w:noWrap w:val="0"/>
            <w:tcMar>
              <w:left w:w="28" w:type="dxa"/>
              <w:right w:w="28" w:type="dxa"/>
            </w:tcMar>
            <w:vAlign w:val="center"/>
          </w:tcPr>
          <w:p>
            <w:pPr>
              <w:spacing w:line="276" w:lineRule="auto"/>
              <w:jc w:val="center"/>
              <w:rPr>
                <w:szCs w:val="21"/>
              </w:rPr>
            </w:pPr>
            <w:r>
              <w:rPr>
                <w:szCs w:val="21"/>
              </w:rPr>
              <w:t>课外答疑</w:t>
            </w:r>
          </w:p>
        </w:tc>
        <w:tc>
          <w:tcPr>
            <w:tcW w:w="7391" w:type="dxa"/>
            <w:tcBorders>
              <w:right w:val="single" w:color="auto" w:sz="8" w:space="0"/>
            </w:tcBorders>
            <w:noWrap w:val="0"/>
            <w:vAlign w:val="center"/>
          </w:tcPr>
          <w:p>
            <w:pPr>
              <w:spacing w:line="276" w:lineRule="auto"/>
              <w:rPr>
                <w:szCs w:val="21"/>
              </w:rPr>
            </w:pPr>
            <w:r>
              <w:rPr>
                <w:szCs w:val="21"/>
              </w:rPr>
              <w:t>为了解学生的学习情况，帮助学生</w:t>
            </w:r>
            <w:r>
              <w:rPr>
                <w:rFonts w:hint="eastAsia"/>
                <w:szCs w:val="21"/>
              </w:rPr>
              <w:t>更好地</w:t>
            </w:r>
            <w:r>
              <w:rPr>
                <w:szCs w:val="21"/>
              </w:rPr>
              <w:t>理解和消化所学知识、改进学习方法和思维方式，培养其独立思考问题的能力，任课教师</w:t>
            </w:r>
            <w:r>
              <w:rPr>
                <w:rFonts w:hint="eastAsia"/>
                <w:szCs w:val="21"/>
              </w:rPr>
              <w:t>需</w:t>
            </w:r>
            <w:r>
              <w:rPr>
                <w:szCs w:val="21"/>
              </w:rPr>
              <w:t>每周安排</w:t>
            </w:r>
            <w:r>
              <w:rPr>
                <w:rFonts w:hint="eastAsia"/>
                <w:szCs w:val="21"/>
              </w:rPr>
              <w:t>一定</w:t>
            </w:r>
            <w:r>
              <w:rPr>
                <w:szCs w:val="21"/>
              </w:rPr>
              <w:t>时间进行课外答疑与辅导。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582" w:type="dxa"/>
            <w:tcBorders>
              <w:left w:val="single" w:color="auto" w:sz="8" w:space="0"/>
            </w:tcBorders>
            <w:noWrap w:val="0"/>
            <w:vAlign w:val="center"/>
          </w:tcPr>
          <w:p>
            <w:pPr>
              <w:spacing w:line="276" w:lineRule="auto"/>
              <w:jc w:val="center"/>
              <w:rPr>
                <w:szCs w:val="21"/>
              </w:rPr>
            </w:pPr>
            <w:r>
              <w:rPr>
                <w:szCs w:val="21"/>
              </w:rPr>
              <w:t>5</w:t>
            </w:r>
          </w:p>
        </w:tc>
        <w:tc>
          <w:tcPr>
            <w:tcW w:w="1127" w:type="dxa"/>
            <w:noWrap w:val="0"/>
            <w:tcMar>
              <w:left w:w="28" w:type="dxa"/>
              <w:right w:w="28" w:type="dxa"/>
            </w:tcMar>
            <w:vAlign w:val="center"/>
          </w:tcPr>
          <w:p>
            <w:pPr>
              <w:spacing w:line="276" w:lineRule="auto"/>
              <w:jc w:val="center"/>
              <w:rPr>
                <w:szCs w:val="21"/>
              </w:rPr>
            </w:pPr>
            <w:r>
              <w:rPr>
                <w:szCs w:val="21"/>
              </w:rPr>
              <w:t>成绩考核</w:t>
            </w:r>
          </w:p>
        </w:tc>
        <w:tc>
          <w:tcPr>
            <w:tcW w:w="7391" w:type="dxa"/>
            <w:tcBorders>
              <w:right w:val="single" w:color="auto" w:sz="8" w:space="0"/>
            </w:tcBorders>
            <w:noWrap w:val="0"/>
            <w:vAlign w:val="center"/>
          </w:tcPr>
          <w:p>
            <w:pPr>
              <w:spacing w:line="276" w:lineRule="auto"/>
              <w:rPr>
                <w:szCs w:val="21"/>
              </w:rPr>
            </w:pPr>
            <w:r>
              <w:rPr>
                <w:szCs w:val="21"/>
              </w:rPr>
              <w:t>本课程考核的方式</w:t>
            </w:r>
            <w:r>
              <w:rPr>
                <w:rFonts w:hint="eastAsia"/>
                <w:szCs w:val="21"/>
              </w:rPr>
              <w:t>为闭卷笔试</w:t>
            </w:r>
            <w:r>
              <w:rPr>
                <w:szCs w:val="21"/>
              </w:rPr>
              <w:t>。考试采取教考分离，监考</w:t>
            </w:r>
            <w:r>
              <w:rPr>
                <w:rFonts w:hint="eastAsia"/>
                <w:szCs w:val="21"/>
              </w:rPr>
              <w:t>由学院</w:t>
            </w:r>
            <w:r>
              <w:rPr>
                <w:szCs w:val="21"/>
              </w:rPr>
              <w:t>统一安排。有下列情况之一者，总评成绩为不及格：</w:t>
            </w:r>
          </w:p>
          <w:p>
            <w:pPr>
              <w:spacing w:line="276" w:lineRule="auto"/>
              <w:rPr>
                <w:szCs w:val="21"/>
              </w:rPr>
            </w:pPr>
            <w:r>
              <w:rPr>
                <w:rFonts w:hint="eastAsia"/>
                <w:szCs w:val="21"/>
              </w:rPr>
              <w:t>（1）</w:t>
            </w:r>
            <w:r>
              <w:rPr>
                <w:szCs w:val="21"/>
              </w:rPr>
              <w:t>缺交作业次数达1/3以上者</w:t>
            </w:r>
            <w:r>
              <w:rPr>
                <w:rFonts w:hint="eastAsia"/>
                <w:szCs w:val="21"/>
              </w:rPr>
              <w:t>。</w:t>
            </w:r>
          </w:p>
          <w:p>
            <w:pPr>
              <w:spacing w:line="276" w:lineRule="auto"/>
              <w:rPr>
                <w:szCs w:val="21"/>
              </w:rPr>
            </w:pPr>
            <w:r>
              <w:rPr>
                <w:rFonts w:hint="eastAsia"/>
                <w:szCs w:val="21"/>
              </w:rPr>
              <w:t>（2）</w:t>
            </w:r>
            <w:r>
              <w:rPr>
                <w:szCs w:val="21"/>
              </w:rPr>
              <w:t>缺课次数达本学期总授课学时的1/3以上者</w:t>
            </w:r>
            <w:r>
              <w:rPr>
                <w:rFonts w:hint="eastAsia"/>
                <w:szCs w:val="21"/>
              </w:rPr>
              <w:t>。</w:t>
            </w:r>
          </w:p>
          <w:p>
            <w:pPr>
              <w:spacing w:line="276" w:lineRule="auto"/>
              <w:rPr>
                <w:szCs w:val="21"/>
              </w:rPr>
            </w:pPr>
            <w:r>
              <w:rPr>
                <w:rFonts w:hint="eastAsia"/>
                <w:szCs w:val="21"/>
              </w:rPr>
              <w:t>（3）</w:t>
            </w:r>
            <w:r>
              <w:rPr>
                <w:szCs w:val="21"/>
              </w:rPr>
              <w:t>课程目标小于0.6。</w:t>
            </w:r>
          </w:p>
        </w:tc>
      </w:tr>
    </w:tbl>
    <w:p>
      <w:pPr>
        <w:spacing w:line="360" w:lineRule="auto"/>
        <w:ind w:firstLine="562" w:firstLineChars="200"/>
        <w:rPr>
          <w:rFonts w:hint="eastAsia"/>
          <w:b/>
          <w:sz w:val="28"/>
          <w:szCs w:val="28"/>
        </w:rPr>
      </w:pPr>
      <w:r>
        <w:rPr>
          <w:rFonts w:hint="eastAsia"/>
          <w:b/>
          <w:sz w:val="28"/>
          <w:szCs w:val="28"/>
        </w:rPr>
        <w:t>六、考核方式</w:t>
      </w:r>
    </w:p>
    <w:p>
      <w:pPr>
        <w:spacing w:line="360" w:lineRule="auto"/>
        <w:rPr>
          <w:sz w:val="24"/>
        </w:rPr>
      </w:pPr>
      <w:r>
        <w:rPr>
          <w:rFonts w:hint="eastAsia"/>
          <w:sz w:val="24"/>
        </w:rPr>
        <w:t>（一）</w:t>
      </w:r>
      <w:r>
        <w:rPr>
          <w:sz w:val="24"/>
        </w:rPr>
        <w:t>课程考核包括期末考试</w:t>
      </w:r>
      <w:r>
        <w:rPr>
          <w:rFonts w:hint="eastAsia"/>
          <w:sz w:val="24"/>
        </w:rPr>
        <w:t>和</w:t>
      </w:r>
      <w:r>
        <w:rPr>
          <w:sz w:val="24"/>
        </w:rPr>
        <w:t>平时及作业情况考核，期末考试采用闭卷笔试。</w:t>
      </w:r>
    </w:p>
    <w:p>
      <w:pPr>
        <w:spacing w:line="360" w:lineRule="auto"/>
        <w:rPr>
          <w:sz w:val="24"/>
        </w:rPr>
      </w:pPr>
      <w:r>
        <w:rPr>
          <w:rFonts w:hint="eastAsia"/>
          <w:sz w:val="24"/>
        </w:rPr>
        <w:t>（二）</w:t>
      </w:r>
      <w:r>
        <w:rPr>
          <w:sz w:val="24"/>
        </w:rPr>
        <w:t>课程成绩=平时成绩×</w:t>
      </w:r>
      <w:r>
        <w:rPr>
          <w:rFonts w:hint="eastAsia"/>
          <w:sz w:val="24"/>
        </w:rPr>
        <w:t>3</w:t>
      </w:r>
      <w:r>
        <w:rPr>
          <w:sz w:val="24"/>
        </w:rPr>
        <w:t>0%+期末考试成绩×</w:t>
      </w:r>
      <w:r>
        <w:rPr>
          <w:rFonts w:hint="eastAsia"/>
          <w:sz w:val="24"/>
        </w:rPr>
        <w:t>7</w:t>
      </w:r>
      <w:r>
        <w:rPr>
          <w:sz w:val="24"/>
        </w:rPr>
        <w:t>0%。</w:t>
      </w:r>
      <w:r>
        <w:rPr>
          <w:rFonts w:hint="eastAsia"/>
          <w:sz w:val="24"/>
        </w:rPr>
        <w:t>具体内容和比例如表所示。</w:t>
      </w:r>
    </w:p>
    <w:tbl>
      <w:tblPr>
        <w:tblStyle w:val="10"/>
        <w:tblpPr w:leftFromText="180" w:rightFromText="180" w:vertAnchor="text" w:horzAnchor="margin" w:tblpXSpec="center" w:tblpY="244"/>
        <w:tblW w:w="91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715"/>
        <w:gridCol w:w="1560"/>
        <w:gridCol w:w="3260"/>
        <w:gridCol w:w="638"/>
        <w:gridCol w:w="638"/>
        <w:gridCol w:w="638"/>
        <w:gridCol w:w="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vMerge w:val="restart"/>
            <w:shd w:val="clear" w:color="auto" w:fill="FFFFFF"/>
            <w:noWrap w:val="0"/>
            <w:tcMar>
              <w:left w:w="57" w:type="dxa"/>
              <w:right w:w="57" w:type="dxa"/>
            </w:tcMar>
            <w:vAlign w:val="center"/>
          </w:tcPr>
          <w:p>
            <w:pPr>
              <w:pStyle w:val="14"/>
              <w:jc w:val="center"/>
              <w:rPr>
                <w:rFonts w:eastAsia="宋体"/>
              </w:rPr>
            </w:pPr>
            <w:r>
              <w:rPr>
                <w:rFonts w:hint="eastAsia" w:eastAsia="宋体"/>
              </w:rPr>
              <w:t>考核环节</w:t>
            </w:r>
          </w:p>
        </w:tc>
        <w:tc>
          <w:tcPr>
            <w:tcW w:w="715" w:type="dxa"/>
            <w:vMerge w:val="restart"/>
            <w:shd w:val="clear" w:color="auto" w:fill="FFFFFF"/>
            <w:noWrap w:val="0"/>
            <w:vAlign w:val="center"/>
          </w:tcPr>
          <w:p>
            <w:pPr>
              <w:pStyle w:val="14"/>
              <w:jc w:val="center"/>
              <w:rPr>
                <w:rFonts w:eastAsia="宋体"/>
              </w:rPr>
            </w:pPr>
            <w:r>
              <w:rPr>
                <w:rFonts w:hint="eastAsia" w:eastAsia="宋体"/>
              </w:rPr>
              <w:t>成绩比例</w:t>
            </w:r>
          </w:p>
        </w:tc>
        <w:tc>
          <w:tcPr>
            <w:tcW w:w="4820" w:type="dxa"/>
            <w:gridSpan w:val="2"/>
            <w:vMerge w:val="restart"/>
            <w:shd w:val="clear" w:color="auto" w:fill="FFFFFF"/>
            <w:noWrap w:val="0"/>
            <w:vAlign w:val="center"/>
          </w:tcPr>
          <w:p>
            <w:pPr>
              <w:pStyle w:val="14"/>
              <w:jc w:val="center"/>
              <w:rPr>
                <w:rFonts w:eastAsia="宋体"/>
              </w:rPr>
            </w:pPr>
            <w:r>
              <w:rPr>
                <w:rFonts w:eastAsia="宋体"/>
              </w:rPr>
              <w:t>考核</w:t>
            </w:r>
            <w:r>
              <w:rPr>
                <w:rFonts w:hint="eastAsia" w:eastAsia="宋体"/>
              </w:rPr>
              <w:t>内容与</w:t>
            </w:r>
            <w:r>
              <w:rPr>
                <w:rFonts w:eastAsia="宋体"/>
              </w:rPr>
              <w:t>评价细则</w:t>
            </w:r>
          </w:p>
        </w:tc>
        <w:tc>
          <w:tcPr>
            <w:tcW w:w="2552" w:type="dxa"/>
            <w:gridSpan w:val="4"/>
            <w:shd w:val="clear" w:color="auto" w:fill="FFFFFF"/>
            <w:noWrap w:val="0"/>
            <w:vAlign w:val="center"/>
          </w:tcPr>
          <w:p>
            <w:pPr>
              <w:pStyle w:val="14"/>
              <w:jc w:val="center"/>
              <w:rPr>
                <w:rFonts w:eastAsia="宋体"/>
              </w:rPr>
            </w:pPr>
            <w:r>
              <w:rPr>
                <w:rFonts w:hint="eastAsia" w:eastAsia="宋体"/>
              </w:rPr>
              <w:t>支撑目标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vMerge w:val="continue"/>
            <w:shd w:val="clear" w:color="auto" w:fill="FFFFFF"/>
            <w:noWrap w:val="0"/>
            <w:tcMar>
              <w:left w:w="57" w:type="dxa"/>
              <w:right w:w="57" w:type="dxa"/>
            </w:tcMar>
            <w:vAlign w:val="center"/>
          </w:tcPr>
          <w:p>
            <w:pPr>
              <w:pStyle w:val="14"/>
              <w:jc w:val="center"/>
              <w:rPr>
                <w:rFonts w:eastAsia="宋体"/>
              </w:rPr>
            </w:pPr>
          </w:p>
        </w:tc>
        <w:tc>
          <w:tcPr>
            <w:tcW w:w="715" w:type="dxa"/>
            <w:vMerge w:val="continue"/>
            <w:shd w:val="clear" w:color="auto" w:fill="FFFFFF"/>
            <w:noWrap w:val="0"/>
            <w:vAlign w:val="center"/>
          </w:tcPr>
          <w:p>
            <w:pPr>
              <w:pStyle w:val="14"/>
              <w:jc w:val="center"/>
              <w:rPr>
                <w:rFonts w:eastAsia="宋体"/>
              </w:rPr>
            </w:pPr>
          </w:p>
        </w:tc>
        <w:tc>
          <w:tcPr>
            <w:tcW w:w="4820" w:type="dxa"/>
            <w:gridSpan w:val="2"/>
            <w:vMerge w:val="continue"/>
            <w:shd w:val="clear" w:color="auto" w:fill="FFFFFF"/>
            <w:noWrap w:val="0"/>
            <w:vAlign w:val="center"/>
          </w:tcPr>
          <w:p>
            <w:pPr>
              <w:pStyle w:val="14"/>
              <w:jc w:val="center"/>
              <w:rPr>
                <w:rFonts w:eastAsia="宋体"/>
              </w:rPr>
            </w:pPr>
          </w:p>
        </w:tc>
        <w:tc>
          <w:tcPr>
            <w:tcW w:w="638" w:type="dxa"/>
            <w:shd w:val="clear" w:color="auto" w:fill="FFFFFF"/>
            <w:noWrap w:val="0"/>
            <w:vAlign w:val="center"/>
          </w:tcPr>
          <w:p>
            <w:pPr>
              <w:pStyle w:val="14"/>
              <w:jc w:val="center"/>
              <w:rPr>
                <w:rFonts w:eastAsia="宋体"/>
              </w:rPr>
            </w:pPr>
            <w:r>
              <w:rPr>
                <w:rFonts w:hint="eastAsia" w:eastAsia="宋体"/>
              </w:rPr>
              <w:t>目标1</w:t>
            </w:r>
          </w:p>
        </w:tc>
        <w:tc>
          <w:tcPr>
            <w:tcW w:w="638" w:type="dxa"/>
            <w:shd w:val="clear" w:color="auto" w:fill="FFFFFF"/>
            <w:noWrap w:val="0"/>
            <w:vAlign w:val="center"/>
          </w:tcPr>
          <w:p>
            <w:pPr>
              <w:pStyle w:val="14"/>
              <w:jc w:val="center"/>
              <w:rPr>
                <w:rFonts w:eastAsia="宋体"/>
              </w:rPr>
            </w:pPr>
            <w:r>
              <w:rPr>
                <w:rFonts w:hint="eastAsia" w:eastAsia="宋体"/>
              </w:rPr>
              <w:t>目标2</w:t>
            </w:r>
          </w:p>
        </w:tc>
        <w:tc>
          <w:tcPr>
            <w:tcW w:w="638" w:type="dxa"/>
            <w:shd w:val="clear" w:color="auto" w:fill="FFFFFF"/>
            <w:noWrap w:val="0"/>
            <w:vAlign w:val="center"/>
          </w:tcPr>
          <w:p>
            <w:pPr>
              <w:pStyle w:val="14"/>
              <w:jc w:val="center"/>
              <w:rPr>
                <w:rFonts w:eastAsia="宋体"/>
              </w:rPr>
            </w:pPr>
            <w:r>
              <w:rPr>
                <w:rFonts w:hint="eastAsia" w:eastAsia="宋体"/>
              </w:rPr>
              <w:t>目标3</w:t>
            </w:r>
          </w:p>
        </w:tc>
        <w:tc>
          <w:tcPr>
            <w:tcW w:w="638" w:type="dxa"/>
            <w:shd w:val="clear" w:color="auto" w:fill="FFFFFF"/>
            <w:noWrap w:val="0"/>
            <w:vAlign w:val="center"/>
          </w:tcPr>
          <w:p>
            <w:pPr>
              <w:pStyle w:val="14"/>
              <w:jc w:val="center"/>
              <w:rPr>
                <w:rFonts w:eastAsia="宋体"/>
              </w:rPr>
            </w:pPr>
            <w:r>
              <w:rPr>
                <w:rFonts w:hint="eastAsia" w:eastAsia="宋体"/>
              </w:rPr>
              <w:t>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shd w:val="clear" w:color="auto" w:fill="FFFFFF"/>
            <w:noWrap w:val="0"/>
            <w:tcMar>
              <w:left w:w="57" w:type="dxa"/>
              <w:right w:w="57" w:type="dxa"/>
            </w:tcMar>
            <w:vAlign w:val="center"/>
          </w:tcPr>
          <w:p>
            <w:pPr>
              <w:pStyle w:val="14"/>
              <w:jc w:val="center"/>
              <w:rPr>
                <w:rFonts w:eastAsia="宋体"/>
              </w:rPr>
            </w:pPr>
            <w:r>
              <w:rPr>
                <w:rFonts w:hint="eastAsia" w:eastAsia="宋体"/>
              </w:rPr>
              <w:t>平时表现</w:t>
            </w:r>
          </w:p>
        </w:tc>
        <w:tc>
          <w:tcPr>
            <w:tcW w:w="715" w:type="dxa"/>
            <w:shd w:val="clear" w:color="auto" w:fill="FFFFFF"/>
            <w:noWrap w:val="0"/>
            <w:vAlign w:val="center"/>
          </w:tcPr>
          <w:p>
            <w:pPr>
              <w:pStyle w:val="14"/>
              <w:jc w:val="center"/>
              <w:rPr>
                <w:rFonts w:eastAsia="宋体"/>
              </w:rPr>
            </w:pPr>
            <w:r>
              <w:rPr>
                <w:rFonts w:hint="eastAsia" w:eastAsia="宋体"/>
              </w:rPr>
              <w:t>10%</w:t>
            </w:r>
          </w:p>
        </w:tc>
        <w:tc>
          <w:tcPr>
            <w:tcW w:w="4820" w:type="dxa"/>
            <w:gridSpan w:val="2"/>
            <w:shd w:val="clear" w:color="auto" w:fill="FFFFFF"/>
            <w:noWrap w:val="0"/>
            <w:vAlign w:val="center"/>
          </w:tcPr>
          <w:p>
            <w:pPr>
              <w:pStyle w:val="14"/>
              <w:rPr>
                <w:rFonts w:eastAsia="宋体"/>
              </w:rPr>
            </w:pPr>
            <w:r>
              <w:rPr>
                <w:rFonts w:hint="eastAsia" w:eastAsia="宋体"/>
              </w:rPr>
              <w:t>课堂不定期点名，考核能否按时到勤，对于旷课、迟到和早退者适当扣分，根据平时课堂笔记、课堂回答问题等情况确定平时表现分数。</w:t>
            </w:r>
          </w:p>
        </w:tc>
        <w:tc>
          <w:tcPr>
            <w:tcW w:w="638" w:type="dxa"/>
            <w:shd w:val="clear" w:color="auto" w:fill="FFFFFF"/>
            <w:noWrap w:val="0"/>
            <w:vAlign w:val="center"/>
          </w:tcPr>
          <w:p>
            <w:pPr>
              <w:pStyle w:val="14"/>
              <w:jc w:val="center"/>
              <w:rPr>
                <w:rFonts w:eastAsia="宋体"/>
                <w:highlight w:val="yellow"/>
              </w:rPr>
            </w:pPr>
            <w:r>
              <w:rPr>
                <w:rFonts w:hint="eastAsia" w:eastAsia="宋体"/>
              </w:rPr>
              <w:t>2.5%</w:t>
            </w:r>
          </w:p>
        </w:tc>
        <w:tc>
          <w:tcPr>
            <w:tcW w:w="638" w:type="dxa"/>
            <w:shd w:val="clear" w:color="auto" w:fill="FFFFFF"/>
            <w:noWrap w:val="0"/>
            <w:vAlign w:val="center"/>
          </w:tcPr>
          <w:p>
            <w:pPr>
              <w:pStyle w:val="14"/>
              <w:jc w:val="center"/>
              <w:rPr>
                <w:rFonts w:eastAsia="宋体"/>
                <w:highlight w:val="yellow"/>
              </w:rPr>
            </w:pPr>
            <w:r>
              <w:rPr>
                <w:rFonts w:hint="eastAsia" w:eastAsia="宋体"/>
              </w:rPr>
              <w:t>2.5%</w:t>
            </w:r>
          </w:p>
        </w:tc>
        <w:tc>
          <w:tcPr>
            <w:tcW w:w="638" w:type="dxa"/>
            <w:shd w:val="clear" w:color="auto" w:fill="FFFFFF"/>
            <w:noWrap w:val="0"/>
            <w:vAlign w:val="center"/>
          </w:tcPr>
          <w:p>
            <w:pPr>
              <w:pStyle w:val="14"/>
              <w:jc w:val="center"/>
              <w:rPr>
                <w:rFonts w:eastAsia="宋体"/>
              </w:rPr>
            </w:pPr>
            <w:r>
              <w:rPr>
                <w:rFonts w:hint="eastAsia" w:eastAsia="宋体"/>
              </w:rPr>
              <w:t>2.5%</w:t>
            </w:r>
          </w:p>
        </w:tc>
        <w:tc>
          <w:tcPr>
            <w:tcW w:w="638" w:type="dxa"/>
            <w:shd w:val="clear" w:color="auto" w:fill="FFFFFF"/>
            <w:noWrap w:val="0"/>
            <w:vAlign w:val="center"/>
          </w:tcPr>
          <w:p>
            <w:pPr>
              <w:pStyle w:val="14"/>
              <w:jc w:val="center"/>
              <w:rPr>
                <w:rFonts w:eastAsia="宋体"/>
              </w:rPr>
            </w:pPr>
            <w:r>
              <w:rPr>
                <w:rFonts w:hint="eastAsia" w:eastAsia="宋体"/>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shd w:val="clear" w:color="auto" w:fill="FFFFFF"/>
            <w:noWrap w:val="0"/>
            <w:tcMar>
              <w:left w:w="57" w:type="dxa"/>
              <w:right w:w="57" w:type="dxa"/>
            </w:tcMar>
            <w:vAlign w:val="center"/>
          </w:tcPr>
          <w:p>
            <w:pPr>
              <w:pStyle w:val="14"/>
              <w:jc w:val="center"/>
              <w:rPr>
                <w:rFonts w:hint="eastAsia" w:eastAsia="宋体"/>
              </w:rPr>
            </w:pPr>
            <w:r>
              <w:rPr>
                <w:rFonts w:eastAsia="宋体"/>
              </w:rPr>
              <w:t>作</w:t>
            </w:r>
            <w:r>
              <w:rPr>
                <w:rFonts w:hint="eastAsia" w:eastAsia="宋体"/>
              </w:rPr>
              <w:t xml:space="preserve">    </w:t>
            </w:r>
            <w:r>
              <w:rPr>
                <w:rFonts w:eastAsia="宋体"/>
              </w:rPr>
              <w:t>业</w:t>
            </w:r>
          </w:p>
        </w:tc>
        <w:tc>
          <w:tcPr>
            <w:tcW w:w="715" w:type="dxa"/>
            <w:shd w:val="clear" w:color="auto" w:fill="FFFFFF"/>
            <w:noWrap w:val="0"/>
            <w:vAlign w:val="center"/>
          </w:tcPr>
          <w:p>
            <w:pPr>
              <w:pStyle w:val="14"/>
              <w:jc w:val="center"/>
              <w:rPr>
                <w:rFonts w:hint="eastAsia" w:eastAsia="宋体"/>
              </w:rPr>
            </w:pPr>
            <w:r>
              <w:rPr>
                <w:rFonts w:hint="eastAsia" w:eastAsia="宋体"/>
              </w:rPr>
              <w:t>10</w:t>
            </w:r>
            <w:r>
              <w:rPr>
                <w:rFonts w:eastAsia="宋体"/>
              </w:rPr>
              <w:t>%</w:t>
            </w:r>
          </w:p>
        </w:tc>
        <w:tc>
          <w:tcPr>
            <w:tcW w:w="4820" w:type="dxa"/>
            <w:gridSpan w:val="2"/>
            <w:shd w:val="clear" w:color="auto" w:fill="FFFFFF"/>
            <w:noWrap w:val="0"/>
            <w:vAlign w:val="center"/>
          </w:tcPr>
          <w:p>
            <w:pPr>
              <w:pStyle w:val="14"/>
              <w:rPr>
                <w:rFonts w:hint="eastAsia" w:eastAsia="宋体"/>
              </w:rPr>
            </w:pPr>
            <w:r>
              <w:rPr>
                <w:rFonts w:hint="eastAsia" w:eastAsia="宋体"/>
                <w:szCs w:val="21"/>
              </w:rPr>
              <w:t>重点章节对应有思考题和习题，考核学生对每节课知识点的复习、理解和掌握度。对每次作业完成情况做记录并百分制打分。</w:t>
            </w:r>
          </w:p>
        </w:tc>
        <w:tc>
          <w:tcPr>
            <w:tcW w:w="638" w:type="dxa"/>
            <w:shd w:val="clear" w:color="auto" w:fill="FFFFFF"/>
            <w:noWrap w:val="0"/>
            <w:vAlign w:val="center"/>
          </w:tcPr>
          <w:p>
            <w:pPr>
              <w:pStyle w:val="14"/>
              <w:jc w:val="center"/>
              <w:rPr>
                <w:rFonts w:hint="eastAsia" w:eastAsia="宋体"/>
              </w:rPr>
            </w:pPr>
            <w:r>
              <w:rPr>
                <w:rFonts w:hint="eastAsia" w:eastAsia="宋体"/>
              </w:rPr>
              <w:t>2.5%</w:t>
            </w:r>
          </w:p>
        </w:tc>
        <w:tc>
          <w:tcPr>
            <w:tcW w:w="638" w:type="dxa"/>
            <w:shd w:val="clear" w:color="auto" w:fill="FFFFFF"/>
            <w:noWrap w:val="0"/>
            <w:vAlign w:val="center"/>
          </w:tcPr>
          <w:p>
            <w:pPr>
              <w:pStyle w:val="14"/>
              <w:jc w:val="center"/>
              <w:rPr>
                <w:rFonts w:hint="eastAsia" w:eastAsia="宋体"/>
              </w:rPr>
            </w:pPr>
            <w:r>
              <w:rPr>
                <w:rFonts w:hint="eastAsia" w:eastAsia="宋体"/>
              </w:rPr>
              <w:t>2.5%</w:t>
            </w:r>
          </w:p>
        </w:tc>
        <w:tc>
          <w:tcPr>
            <w:tcW w:w="638" w:type="dxa"/>
            <w:shd w:val="clear" w:color="auto" w:fill="FFFFFF"/>
            <w:noWrap w:val="0"/>
            <w:vAlign w:val="center"/>
          </w:tcPr>
          <w:p>
            <w:pPr>
              <w:pStyle w:val="14"/>
              <w:jc w:val="center"/>
              <w:rPr>
                <w:rFonts w:eastAsia="宋体"/>
              </w:rPr>
            </w:pPr>
            <w:r>
              <w:rPr>
                <w:rFonts w:hint="eastAsia" w:eastAsia="宋体"/>
              </w:rPr>
              <w:t>2.5%</w:t>
            </w:r>
          </w:p>
        </w:tc>
        <w:tc>
          <w:tcPr>
            <w:tcW w:w="638" w:type="dxa"/>
            <w:shd w:val="clear" w:color="auto" w:fill="FFFFFF"/>
            <w:noWrap w:val="0"/>
            <w:vAlign w:val="center"/>
          </w:tcPr>
          <w:p>
            <w:pPr>
              <w:pStyle w:val="14"/>
              <w:jc w:val="center"/>
              <w:rPr>
                <w:rFonts w:eastAsia="宋体"/>
              </w:rPr>
            </w:pPr>
            <w:r>
              <w:rPr>
                <w:rFonts w:hint="eastAsia" w:eastAsia="宋体"/>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043" w:type="dxa"/>
            <w:shd w:val="clear" w:color="auto" w:fill="auto"/>
            <w:noWrap w:val="0"/>
            <w:tcMar>
              <w:left w:w="57" w:type="dxa"/>
              <w:right w:w="57" w:type="dxa"/>
            </w:tcMar>
            <w:vAlign w:val="center"/>
          </w:tcPr>
          <w:p>
            <w:pPr>
              <w:pStyle w:val="14"/>
              <w:jc w:val="center"/>
              <w:rPr>
                <w:rFonts w:hint="eastAsia" w:eastAsia="宋体"/>
              </w:rPr>
            </w:pPr>
            <w:r>
              <w:rPr>
                <w:rFonts w:hint="eastAsia" w:eastAsia="宋体"/>
              </w:rPr>
              <w:t>测    验</w:t>
            </w:r>
          </w:p>
        </w:tc>
        <w:tc>
          <w:tcPr>
            <w:tcW w:w="715" w:type="dxa"/>
            <w:shd w:val="clear" w:color="auto" w:fill="auto"/>
            <w:noWrap w:val="0"/>
            <w:vAlign w:val="center"/>
          </w:tcPr>
          <w:p>
            <w:pPr>
              <w:pStyle w:val="14"/>
              <w:jc w:val="center"/>
              <w:rPr>
                <w:rFonts w:eastAsia="宋体"/>
              </w:rPr>
            </w:pPr>
            <w:r>
              <w:rPr>
                <w:rFonts w:hint="eastAsia" w:eastAsia="宋体"/>
              </w:rPr>
              <w:t>10%</w:t>
            </w:r>
          </w:p>
        </w:tc>
        <w:tc>
          <w:tcPr>
            <w:tcW w:w="4820" w:type="dxa"/>
            <w:gridSpan w:val="2"/>
            <w:shd w:val="clear" w:color="auto" w:fill="auto"/>
            <w:noWrap w:val="0"/>
            <w:vAlign w:val="center"/>
          </w:tcPr>
          <w:p>
            <w:pPr>
              <w:pStyle w:val="14"/>
              <w:rPr>
                <w:rFonts w:eastAsia="宋体"/>
                <w:szCs w:val="21"/>
              </w:rPr>
            </w:pPr>
            <w:r>
              <w:rPr>
                <w:rFonts w:hint="eastAsia" w:eastAsia="宋体"/>
                <w:color w:val="000000"/>
                <w:szCs w:val="21"/>
              </w:rPr>
              <w:t>平时测验，考察学生对教学内容的掌握情况，以随堂测试的形式进行。</w:t>
            </w:r>
          </w:p>
        </w:tc>
        <w:tc>
          <w:tcPr>
            <w:tcW w:w="638" w:type="dxa"/>
            <w:shd w:val="clear" w:color="auto" w:fill="FFFFFF"/>
            <w:noWrap w:val="0"/>
            <w:vAlign w:val="center"/>
          </w:tcPr>
          <w:p>
            <w:pPr>
              <w:jc w:val="center"/>
              <w:rPr>
                <w:color w:val="000000"/>
                <w:szCs w:val="21"/>
              </w:rPr>
            </w:pPr>
            <w:r>
              <w:rPr>
                <w:rFonts w:hint="eastAsia"/>
              </w:rPr>
              <w:t>2.5%</w:t>
            </w:r>
          </w:p>
        </w:tc>
        <w:tc>
          <w:tcPr>
            <w:tcW w:w="638" w:type="dxa"/>
            <w:shd w:val="clear" w:color="auto" w:fill="FFFFFF"/>
            <w:noWrap w:val="0"/>
            <w:vAlign w:val="center"/>
          </w:tcPr>
          <w:p>
            <w:pPr>
              <w:jc w:val="center"/>
              <w:rPr>
                <w:color w:val="000000"/>
                <w:szCs w:val="21"/>
              </w:rPr>
            </w:pPr>
            <w:r>
              <w:rPr>
                <w:rFonts w:hint="eastAsia"/>
              </w:rPr>
              <w:t>2.5%</w:t>
            </w:r>
          </w:p>
        </w:tc>
        <w:tc>
          <w:tcPr>
            <w:tcW w:w="638" w:type="dxa"/>
            <w:shd w:val="clear" w:color="auto" w:fill="FFFFFF"/>
            <w:noWrap w:val="0"/>
            <w:vAlign w:val="center"/>
          </w:tcPr>
          <w:p>
            <w:pPr>
              <w:pStyle w:val="14"/>
              <w:jc w:val="center"/>
              <w:rPr>
                <w:rFonts w:eastAsia="宋体"/>
                <w:color w:val="000000"/>
                <w:szCs w:val="21"/>
              </w:rPr>
            </w:pPr>
            <w:r>
              <w:rPr>
                <w:rFonts w:hint="eastAsia" w:eastAsia="宋体"/>
              </w:rPr>
              <w:t>2.5%</w:t>
            </w:r>
          </w:p>
        </w:tc>
        <w:tc>
          <w:tcPr>
            <w:tcW w:w="638" w:type="dxa"/>
            <w:shd w:val="clear" w:color="auto" w:fill="FFFFFF"/>
            <w:noWrap w:val="0"/>
            <w:vAlign w:val="center"/>
          </w:tcPr>
          <w:p>
            <w:pPr>
              <w:pStyle w:val="14"/>
              <w:jc w:val="center"/>
              <w:rPr>
                <w:rFonts w:eastAsia="宋体"/>
                <w:color w:val="000000"/>
                <w:szCs w:val="21"/>
              </w:rPr>
            </w:pPr>
            <w:r>
              <w:rPr>
                <w:rFonts w:hint="eastAsia" w:eastAsia="宋体"/>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043" w:type="dxa"/>
            <w:vMerge w:val="restart"/>
            <w:shd w:val="clear" w:color="auto" w:fill="auto"/>
            <w:noWrap w:val="0"/>
            <w:tcMar>
              <w:left w:w="57" w:type="dxa"/>
              <w:right w:w="57" w:type="dxa"/>
            </w:tcMar>
            <w:vAlign w:val="center"/>
          </w:tcPr>
          <w:p>
            <w:pPr>
              <w:pStyle w:val="14"/>
              <w:jc w:val="center"/>
              <w:rPr>
                <w:rFonts w:eastAsia="宋体"/>
              </w:rPr>
            </w:pPr>
            <w:r>
              <w:rPr>
                <w:rFonts w:eastAsia="宋体"/>
              </w:rPr>
              <w:t>期末</w:t>
            </w:r>
            <w:r>
              <w:rPr>
                <w:rFonts w:hint="eastAsia" w:eastAsia="宋体"/>
              </w:rPr>
              <w:t>试卷</w:t>
            </w:r>
          </w:p>
        </w:tc>
        <w:tc>
          <w:tcPr>
            <w:tcW w:w="715" w:type="dxa"/>
            <w:vMerge w:val="restart"/>
            <w:shd w:val="clear" w:color="auto" w:fill="auto"/>
            <w:noWrap w:val="0"/>
            <w:vAlign w:val="center"/>
          </w:tcPr>
          <w:p>
            <w:pPr>
              <w:pStyle w:val="14"/>
              <w:jc w:val="center"/>
              <w:rPr>
                <w:rFonts w:eastAsia="宋体"/>
              </w:rPr>
            </w:pPr>
            <w:r>
              <w:rPr>
                <w:rFonts w:hint="eastAsia" w:eastAsia="宋体"/>
              </w:rPr>
              <w:t>70</w:t>
            </w:r>
            <w:r>
              <w:rPr>
                <w:rFonts w:eastAsia="宋体"/>
              </w:rPr>
              <w:t>%</w:t>
            </w:r>
            <w:r>
              <w:rPr>
                <w:rFonts w:hint="eastAsia" w:eastAsia="宋体"/>
              </w:rPr>
              <w:t xml:space="preserve"> </w:t>
            </w:r>
          </w:p>
        </w:tc>
        <w:tc>
          <w:tcPr>
            <w:tcW w:w="1560" w:type="dxa"/>
            <w:tcBorders>
              <w:left w:val="single" w:color="auto" w:sz="4" w:space="0"/>
            </w:tcBorders>
            <w:shd w:val="clear" w:color="auto" w:fill="auto"/>
            <w:noWrap w:val="0"/>
            <w:vAlign w:val="center"/>
          </w:tcPr>
          <w:p>
            <w:pPr>
              <w:pStyle w:val="14"/>
              <w:jc w:val="center"/>
              <w:rPr>
                <w:rFonts w:eastAsia="宋体"/>
                <w:color w:val="000000"/>
                <w:szCs w:val="21"/>
              </w:rPr>
            </w:pPr>
            <w:r>
              <w:rPr>
                <w:rFonts w:hint="eastAsia" w:eastAsia="宋体"/>
                <w:color w:val="000000"/>
                <w:szCs w:val="21"/>
              </w:rPr>
              <w:t>题型</w:t>
            </w:r>
          </w:p>
        </w:tc>
        <w:tc>
          <w:tcPr>
            <w:tcW w:w="3260" w:type="dxa"/>
            <w:tcBorders>
              <w:left w:val="single" w:color="auto" w:sz="4" w:space="0"/>
            </w:tcBorders>
            <w:shd w:val="clear" w:color="auto" w:fill="auto"/>
            <w:noWrap w:val="0"/>
            <w:vAlign w:val="center"/>
          </w:tcPr>
          <w:p>
            <w:pPr>
              <w:widowControl/>
              <w:jc w:val="center"/>
            </w:pPr>
            <w:r>
              <w:rPr>
                <w:rFonts w:hint="eastAsia"/>
                <w:color w:val="000000"/>
                <w:szCs w:val="21"/>
              </w:rPr>
              <w:t>考核内容及相应试题</w:t>
            </w:r>
          </w:p>
        </w:tc>
        <w:tc>
          <w:tcPr>
            <w:tcW w:w="2552" w:type="dxa"/>
            <w:gridSpan w:val="4"/>
            <w:tcBorders>
              <w:tl2br w:val="single" w:color="auto" w:sz="4" w:space="0"/>
            </w:tcBorders>
            <w:shd w:val="clear" w:color="auto" w:fill="FFFFFF"/>
            <w:noWrap w:val="0"/>
            <w:vAlign w:val="top"/>
          </w:tcPr>
          <w:p>
            <w:pPr>
              <w:pStyle w:val="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noWrap w:val="0"/>
            <w:tcMar>
              <w:left w:w="57" w:type="dxa"/>
              <w:right w:w="57" w:type="dxa"/>
            </w:tcMar>
            <w:vAlign w:val="center"/>
          </w:tcPr>
          <w:p>
            <w:pPr>
              <w:pStyle w:val="14"/>
              <w:jc w:val="center"/>
              <w:rPr>
                <w:rFonts w:eastAsia="宋体"/>
              </w:rPr>
            </w:pPr>
          </w:p>
        </w:tc>
        <w:tc>
          <w:tcPr>
            <w:tcW w:w="715" w:type="dxa"/>
            <w:vMerge w:val="continue"/>
            <w:shd w:val="clear" w:color="auto" w:fill="auto"/>
            <w:noWrap w:val="0"/>
            <w:vAlign w:val="center"/>
          </w:tcPr>
          <w:p>
            <w:pPr>
              <w:pStyle w:val="14"/>
              <w:jc w:val="center"/>
              <w:rPr>
                <w:rFonts w:eastAsia="宋体"/>
              </w:rPr>
            </w:pPr>
          </w:p>
        </w:tc>
        <w:tc>
          <w:tcPr>
            <w:tcW w:w="1560" w:type="dxa"/>
            <w:tcBorders>
              <w:left w:val="single" w:color="auto" w:sz="4" w:space="0"/>
            </w:tcBorders>
            <w:shd w:val="clear" w:color="auto" w:fill="auto"/>
            <w:noWrap w:val="0"/>
            <w:vAlign w:val="center"/>
          </w:tcPr>
          <w:p>
            <w:pPr>
              <w:pStyle w:val="14"/>
              <w:jc w:val="center"/>
              <w:rPr>
                <w:rFonts w:eastAsia="宋体"/>
                <w:color w:val="000000"/>
                <w:szCs w:val="21"/>
              </w:rPr>
            </w:pPr>
            <w:r>
              <w:rPr>
                <w:rFonts w:hint="eastAsia" w:eastAsia="宋体"/>
                <w:color w:val="000000"/>
                <w:szCs w:val="21"/>
              </w:rPr>
              <w:t>选择题</w:t>
            </w:r>
          </w:p>
        </w:tc>
        <w:tc>
          <w:tcPr>
            <w:tcW w:w="3260" w:type="dxa"/>
            <w:tcBorders>
              <w:left w:val="single" w:color="auto" w:sz="4" w:space="0"/>
            </w:tcBorders>
            <w:shd w:val="clear" w:color="auto" w:fill="auto"/>
            <w:noWrap w:val="0"/>
            <w:vAlign w:val="center"/>
          </w:tcPr>
          <w:p>
            <w:pPr>
              <w:pStyle w:val="14"/>
              <w:rPr>
                <w:rFonts w:hint="eastAsia" w:eastAsia="宋体"/>
                <w:color w:val="000000"/>
                <w:szCs w:val="21"/>
              </w:rPr>
            </w:pPr>
            <w:r>
              <w:rPr>
                <w:rFonts w:hint="eastAsia" w:eastAsia="宋体"/>
                <w:color w:val="000000"/>
                <w:szCs w:val="21"/>
              </w:rPr>
              <w:t>主要考核废弃物处理、安全生产、防火防爆等技术方法。</w:t>
            </w:r>
          </w:p>
        </w:tc>
        <w:tc>
          <w:tcPr>
            <w:tcW w:w="638" w:type="dxa"/>
            <w:shd w:val="clear" w:color="auto" w:fill="FFFFFF"/>
            <w:noWrap w:val="0"/>
            <w:vAlign w:val="center"/>
          </w:tcPr>
          <w:p>
            <w:pPr>
              <w:widowControl/>
              <w:jc w:val="center"/>
            </w:pPr>
            <w:r>
              <w:rPr>
                <w:rFonts w:hint="eastAsia"/>
              </w:rPr>
              <w:t>2.5%</w:t>
            </w:r>
          </w:p>
        </w:tc>
        <w:tc>
          <w:tcPr>
            <w:tcW w:w="638" w:type="dxa"/>
            <w:shd w:val="clear" w:color="auto" w:fill="FFFFFF"/>
            <w:noWrap w:val="0"/>
            <w:vAlign w:val="center"/>
          </w:tcPr>
          <w:p>
            <w:pPr>
              <w:widowControl/>
              <w:jc w:val="center"/>
            </w:pPr>
            <w:r>
              <w:rPr>
                <w:rFonts w:hint="eastAsia"/>
              </w:rPr>
              <w:t>2.5%</w:t>
            </w:r>
          </w:p>
        </w:tc>
        <w:tc>
          <w:tcPr>
            <w:tcW w:w="638" w:type="dxa"/>
            <w:shd w:val="clear" w:color="auto" w:fill="FFFFFF"/>
            <w:noWrap w:val="0"/>
            <w:vAlign w:val="center"/>
          </w:tcPr>
          <w:p>
            <w:pPr>
              <w:widowControl/>
              <w:jc w:val="center"/>
            </w:pPr>
            <w:r>
              <w:rPr>
                <w:rFonts w:hint="eastAsia"/>
              </w:rPr>
              <w:t>2.5%</w:t>
            </w:r>
          </w:p>
        </w:tc>
        <w:tc>
          <w:tcPr>
            <w:tcW w:w="638" w:type="dxa"/>
            <w:shd w:val="clear" w:color="auto" w:fill="FFFFFF"/>
            <w:noWrap w:val="0"/>
            <w:vAlign w:val="center"/>
          </w:tcPr>
          <w:p>
            <w:pPr>
              <w:widowControl/>
              <w:jc w:val="center"/>
            </w:pPr>
            <w:r>
              <w:rPr>
                <w:rFonts w:hint="eastAsi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noWrap w:val="0"/>
            <w:tcMar>
              <w:left w:w="57" w:type="dxa"/>
              <w:right w:w="57" w:type="dxa"/>
            </w:tcMar>
            <w:vAlign w:val="center"/>
          </w:tcPr>
          <w:p>
            <w:pPr>
              <w:pStyle w:val="14"/>
              <w:jc w:val="center"/>
              <w:rPr>
                <w:rFonts w:eastAsia="宋体"/>
              </w:rPr>
            </w:pPr>
          </w:p>
        </w:tc>
        <w:tc>
          <w:tcPr>
            <w:tcW w:w="715" w:type="dxa"/>
            <w:vMerge w:val="continue"/>
            <w:shd w:val="clear" w:color="auto" w:fill="auto"/>
            <w:noWrap w:val="0"/>
            <w:vAlign w:val="center"/>
          </w:tcPr>
          <w:p>
            <w:pPr>
              <w:pStyle w:val="14"/>
              <w:jc w:val="center"/>
              <w:rPr>
                <w:rFonts w:eastAsia="宋体"/>
              </w:rPr>
            </w:pPr>
          </w:p>
        </w:tc>
        <w:tc>
          <w:tcPr>
            <w:tcW w:w="1560" w:type="dxa"/>
            <w:tcBorders>
              <w:left w:val="single" w:color="auto" w:sz="4" w:space="0"/>
            </w:tcBorders>
            <w:shd w:val="clear" w:color="auto" w:fill="auto"/>
            <w:noWrap w:val="0"/>
            <w:vAlign w:val="center"/>
          </w:tcPr>
          <w:p>
            <w:pPr>
              <w:pStyle w:val="14"/>
              <w:jc w:val="center"/>
              <w:rPr>
                <w:rFonts w:hint="eastAsia" w:eastAsia="宋体"/>
                <w:color w:val="000000"/>
                <w:szCs w:val="21"/>
              </w:rPr>
            </w:pPr>
            <w:r>
              <w:rPr>
                <w:rFonts w:hint="eastAsia" w:eastAsia="宋体"/>
                <w:color w:val="000000"/>
                <w:szCs w:val="21"/>
              </w:rPr>
              <w:t>判断</w:t>
            </w:r>
            <w:r>
              <w:rPr>
                <w:rFonts w:eastAsia="宋体"/>
                <w:color w:val="000000"/>
                <w:szCs w:val="21"/>
              </w:rPr>
              <w:t>题</w:t>
            </w:r>
          </w:p>
        </w:tc>
        <w:tc>
          <w:tcPr>
            <w:tcW w:w="3260" w:type="dxa"/>
            <w:tcBorders>
              <w:left w:val="single" w:color="auto" w:sz="4" w:space="0"/>
            </w:tcBorders>
            <w:shd w:val="clear" w:color="auto" w:fill="auto"/>
            <w:noWrap w:val="0"/>
            <w:vAlign w:val="center"/>
          </w:tcPr>
          <w:p>
            <w:pPr>
              <w:pStyle w:val="14"/>
              <w:rPr>
                <w:rFonts w:hint="eastAsia" w:eastAsia="宋体"/>
                <w:color w:val="000000"/>
                <w:szCs w:val="21"/>
              </w:rPr>
            </w:pPr>
            <w:r>
              <w:rPr>
                <w:rFonts w:hint="eastAsia" w:eastAsia="宋体"/>
                <w:color w:val="000000"/>
                <w:szCs w:val="21"/>
              </w:rPr>
              <w:t>主要考核废弃物处理技术、防火防爆技术、安全生产等。</w:t>
            </w:r>
          </w:p>
        </w:tc>
        <w:tc>
          <w:tcPr>
            <w:tcW w:w="638" w:type="dxa"/>
            <w:shd w:val="clear" w:color="auto" w:fill="FFFFFF"/>
            <w:noWrap w:val="0"/>
            <w:vAlign w:val="center"/>
          </w:tcPr>
          <w:p>
            <w:pPr>
              <w:widowControl/>
              <w:jc w:val="center"/>
            </w:pPr>
            <w:r>
              <w:rPr>
                <w:rFonts w:hint="eastAsia"/>
              </w:rPr>
              <w:t>2%</w:t>
            </w:r>
          </w:p>
        </w:tc>
        <w:tc>
          <w:tcPr>
            <w:tcW w:w="638" w:type="dxa"/>
            <w:shd w:val="clear" w:color="auto" w:fill="FFFFFF"/>
            <w:noWrap w:val="0"/>
            <w:vAlign w:val="center"/>
          </w:tcPr>
          <w:p>
            <w:pPr>
              <w:widowControl/>
              <w:jc w:val="center"/>
            </w:pPr>
            <w:r>
              <w:rPr>
                <w:rFonts w:hint="eastAsia"/>
              </w:rPr>
              <w:t>3%</w:t>
            </w:r>
          </w:p>
        </w:tc>
        <w:tc>
          <w:tcPr>
            <w:tcW w:w="638" w:type="dxa"/>
            <w:shd w:val="clear" w:color="auto" w:fill="FFFFFF"/>
            <w:noWrap w:val="0"/>
            <w:vAlign w:val="center"/>
          </w:tcPr>
          <w:p>
            <w:pPr>
              <w:widowControl/>
              <w:jc w:val="center"/>
            </w:pPr>
            <w:r>
              <w:rPr>
                <w:rFonts w:hint="eastAsia"/>
              </w:rPr>
              <w:t>3%</w:t>
            </w:r>
          </w:p>
        </w:tc>
        <w:tc>
          <w:tcPr>
            <w:tcW w:w="638" w:type="dxa"/>
            <w:shd w:val="clear" w:color="auto" w:fill="FFFFFF"/>
            <w:noWrap w:val="0"/>
            <w:vAlign w:val="center"/>
          </w:tcPr>
          <w:p>
            <w:pPr>
              <w:widowControl/>
              <w:jc w:val="cente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noWrap w:val="0"/>
            <w:tcMar>
              <w:left w:w="57" w:type="dxa"/>
              <w:right w:w="57" w:type="dxa"/>
            </w:tcMar>
            <w:vAlign w:val="center"/>
          </w:tcPr>
          <w:p>
            <w:pPr>
              <w:pStyle w:val="14"/>
              <w:jc w:val="center"/>
              <w:rPr>
                <w:rFonts w:eastAsia="宋体"/>
              </w:rPr>
            </w:pPr>
          </w:p>
        </w:tc>
        <w:tc>
          <w:tcPr>
            <w:tcW w:w="715" w:type="dxa"/>
            <w:vMerge w:val="continue"/>
            <w:shd w:val="clear" w:color="auto" w:fill="auto"/>
            <w:noWrap w:val="0"/>
            <w:vAlign w:val="center"/>
          </w:tcPr>
          <w:p>
            <w:pPr>
              <w:pStyle w:val="14"/>
              <w:jc w:val="center"/>
              <w:rPr>
                <w:rFonts w:eastAsia="宋体"/>
              </w:rPr>
            </w:pPr>
          </w:p>
        </w:tc>
        <w:tc>
          <w:tcPr>
            <w:tcW w:w="1560" w:type="dxa"/>
            <w:tcBorders>
              <w:left w:val="single" w:color="auto" w:sz="4" w:space="0"/>
            </w:tcBorders>
            <w:shd w:val="clear" w:color="auto" w:fill="auto"/>
            <w:noWrap w:val="0"/>
            <w:vAlign w:val="center"/>
          </w:tcPr>
          <w:p>
            <w:pPr>
              <w:pStyle w:val="14"/>
              <w:jc w:val="center"/>
              <w:rPr>
                <w:rFonts w:hint="eastAsia" w:eastAsia="宋体"/>
                <w:color w:val="000000"/>
                <w:szCs w:val="21"/>
              </w:rPr>
            </w:pPr>
            <w:r>
              <w:rPr>
                <w:rFonts w:hint="eastAsia" w:eastAsia="宋体"/>
                <w:color w:val="000000"/>
                <w:szCs w:val="21"/>
              </w:rPr>
              <w:t>简答题</w:t>
            </w:r>
          </w:p>
        </w:tc>
        <w:tc>
          <w:tcPr>
            <w:tcW w:w="3260" w:type="dxa"/>
            <w:tcBorders>
              <w:left w:val="single" w:color="auto" w:sz="4" w:space="0"/>
            </w:tcBorders>
            <w:shd w:val="clear" w:color="auto" w:fill="auto"/>
            <w:noWrap w:val="0"/>
            <w:vAlign w:val="center"/>
          </w:tcPr>
          <w:p>
            <w:pPr>
              <w:pStyle w:val="14"/>
              <w:rPr>
                <w:rFonts w:hint="eastAsia" w:eastAsia="宋体"/>
                <w:color w:val="000000"/>
                <w:szCs w:val="21"/>
              </w:rPr>
            </w:pPr>
            <w:r>
              <w:rPr>
                <w:rFonts w:hint="eastAsia" w:eastAsia="宋体"/>
                <w:color w:val="000000"/>
                <w:szCs w:val="21"/>
              </w:rPr>
              <w:t>主要考核废弃物处理方法、清洁生产和安全生产、检修技术、安全设计管理相关概念及相关法律法规等。</w:t>
            </w:r>
          </w:p>
        </w:tc>
        <w:tc>
          <w:tcPr>
            <w:tcW w:w="638" w:type="dxa"/>
            <w:shd w:val="clear" w:color="auto" w:fill="FFFFFF"/>
            <w:noWrap w:val="0"/>
            <w:vAlign w:val="center"/>
          </w:tcPr>
          <w:p>
            <w:pPr>
              <w:pStyle w:val="14"/>
              <w:jc w:val="center"/>
              <w:rPr>
                <w:rFonts w:eastAsia="宋体"/>
                <w:color w:val="000000"/>
                <w:szCs w:val="21"/>
              </w:rPr>
            </w:pPr>
            <w:r>
              <w:rPr>
                <w:rFonts w:hint="eastAsia" w:eastAsia="宋体"/>
                <w:color w:val="000000"/>
                <w:szCs w:val="21"/>
              </w:rPr>
              <w:t>8%</w:t>
            </w:r>
          </w:p>
        </w:tc>
        <w:tc>
          <w:tcPr>
            <w:tcW w:w="638" w:type="dxa"/>
            <w:shd w:val="clear" w:color="auto" w:fill="FFFFFF"/>
            <w:noWrap w:val="0"/>
            <w:vAlign w:val="center"/>
          </w:tcPr>
          <w:p>
            <w:pPr>
              <w:pStyle w:val="14"/>
              <w:jc w:val="center"/>
              <w:rPr>
                <w:rFonts w:eastAsia="宋体"/>
                <w:color w:val="000000"/>
                <w:szCs w:val="21"/>
              </w:rPr>
            </w:pPr>
            <w:r>
              <w:rPr>
                <w:rFonts w:hint="eastAsia" w:eastAsia="宋体"/>
                <w:color w:val="000000"/>
                <w:szCs w:val="21"/>
              </w:rPr>
              <w:t>12%</w:t>
            </w:r>
          </w:p>
        </w:tc>
        <w:tc>
          <w:tcPr>
            <w:tcW w:w="638" w:type="dxa"/>
            <w:shd w:val="clear" w:color="auto" w:fill="FFFFFF"/>
            <w:noWrap w:val="0"/>
            <w:vAlign w:val="center"/>
          </w:tcPr>
          <w:p>
            <w:pPr>
              <w:pStyle w:val="14"/>
              <w:jc w:val="center"/>
              <w:rPr>
                <w:rFonts w:eastAsia="宋体"/>
                <w:color w:val="000000"/>
                <w:szCs w:val="21"/>
              </w:rPr>
            </w:pPr>
            <w:r>
              <w:rPr>
                <w:rFonts w:hint="eastAsia" w:eastAsia="宋体"/>
                <w:color w:val="000000"/>
                <w:szCs w:val="21"/>
              </w:rPr>
              <w:t>12</w:t>
            </w:r>
            <w:r>
              <w:rPr>
                <w:rFonts w:eastAsia="宋体"/>
                <w:color w:val="000000"/>
                <w:szCs w:val="21"/>
              </w:rPr>
              <w:t>%</w:t>
            </w:r>
          </w:p>
        </w:tc>
        <w:tc>
          <w:tcPr>
            <w:tcW w:w="638" w:type="dxa"/>
            <w:shd w:val="clear" w:color="auto" w:fill="FFFFFF"/>
            <w:noWrap w:val="0"/>
            <w:vAlign w:val="center"/>
          </w:tcPr>
          <w:p>
            <w:pPr>
              <w:pStyle w:val="14"/>
              <w:jc w:val="center"/>
              <w:rPr>
                <w:rFonts w:eastAsia="宋体"/>
                <w:color w:val="000000"/>
                <w:szCs w:val="21"/>
              </w:rPr>
            </w:pPr>
            <w:r>
              <w:rPr>
                <w:rFonts w:hint="eastAsia" w:eastAsia="宋体"/>
                <w:color w:val="000000"/>
                <w:szCs w:val="21"/>
              </w:rPr>
              <w:t>8</w:t>
            </w:r>
            <w:r>
              <w:rPr>
                <w:rFonts w:eastAsia="宋体"/>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noWrap w:val="0"/>
            <w:tcMar>
              <w:left w:w="57" w:type="dxa"/>
              <w:right w:w="57" w:type="dxa"/>
            </w:tcMar>
            <w:vAlign w:val="center"/>
          </w:tcPr>
          <w:p>
            <w:pPr>
              <w:pStyle w:val="14"/>
              <w:jc w:val="center"/>
              <w:rPr>
                <w:rFonts w:eastAsia="宋体"/>
              </w:rPr>
            </w:pPr>
          </w:p>
        </w:tc>
        <w:tc>
          <w:tcPr>
            <w:tcW w:w="715" w:type="dxa"/>
            <w:vMerge w:val="continue"/>
            <w:shd w:val="clear" w:color="auto" w:fill="auto"/>
            <w:noWrap w:val="0"/>
            <w:vAlign w:val="center"/>
          </w:tcPr>
          <w:p>
            <w:pPr>
              <w:pStyle w:val="14"/>
              <w:jc w:val="center"/>
              <w:rPr>
                <w:rFonts w:eastAsia="宋体"/>
              </w:rPr>
            </w:pPr>
          </w:p>
        </w:tc>
        <w:tc>
          <w:tcPr>
            <w:tcW w:w="1560" w:type="dxa"/>
            <w:tcBorders>
              <w:left w:val="single" w:color="auto" w:sz="4" w:space="0"/>
            </w:tcBorders>
            <w:shd w:val="clear" w:color="auto" w:fill="auto"/>
            <w:noWrap w:val="0"/>
            <w:vAlign w:val="center"/>
          </w:tcPr>
          <w:p>
            <w:pPr>
              <w:pStyle w:val="14"/>
              <w:jc w:val="center"/>
              <w:rPr>
                <w:rFonts w:eastAsia="宋体"/>
                <w:color w:val="000000"/>
                <w:szCs w:val="21"/>
              </w:rPr>
            </w:pPr>
            <w:r>
              <w:rPr>
                <w:rFonts w:hint="eastAsia" w:eastAsia="宋体"/>
                <w:color w:val="000000"/>
                <w:szCs w:val="21"/>
              </w:rPr>
              <w:t>计算</w:t>
            </w:r>
            <w:r>
              <w:rPr>
                <w:rFonts w:eastAsia="宋体"/>
                <w:color w:val="000000"/>
                <w:szCs w:val="21"/>
              </w:rPr>
              <w:t>题</w:t>
            </w:r>
          </w:p>
        </w:tc>
        <w:tc>
          <w:tcPr>
            <w:tcW w:w="3260" w:type="dxa"/>
            <w:tcBorders>
              <w:left w:val="single" w:color="auto" w:sz="4" w:space="0"/>
              <w:bottom w:val="single" w:color="auto" w:sz="4" w:space="0"/>
            </w:tcBorders>
            <w:shd w:val="clear" w:color="auto" w:fill="auto"/>
            <w:noWrap w:val="0"/>
            <w:vAlign w:val="center"/>
          </w:tcPr>
          <w:p>
            <w:pPr>
              <w:pStyle w:val="14"/>
              <w:rPr>
                <w:rFonts w:hint="eastAsia" w:eastAsia="宋体"/>
                <w:color w:val="000000"/>
                <w:szCs w:val="21"/>
              </w:rPr>
            </w:pPr>
            <w:r>
              <w:rPr>
                <w:rFonts w:hint="eastAsia" w:eastAsia="宋体"/>
                <w:color w:val="000000"/>
                <w:szCs w:val="21"/>
              </w:rPr>
              <w:t>主要考核有关爆炸极限、空气质量评价等。</w:t>
            </w:r>
          </w:p>
        </w:tc>
        <w:tc>
          <w:tcPr>
            <w:tcW w:w="638" w:type="dxa"/>
            <w:shd w:val="clear" w:color="auto" w:fill="FFFFFF"/>
            <w:noWrap w:val="0"/>
            <w:vAlign w:val="center"/>
          </w:tcPr>
          <w:p>
            <w:pPr>
              <w:pStyle w:val="14"/>
              <w:jc w:val="center"/>
              <w:rPr>
                <w:rFonts w:eastAsia="宋体"/>
                <w:color w:val="000000"/>
                <w:szCs w:val="21"/>
              </w:rPr>
            </w:pPr>
            <w:r>
              <w:rPr>
                <w:rFonts w:hint="eastAsia" w:eastAsia="宋体"/>
                <w:color w:val="000000"/>
                <w:szCs w:val="21"/>
              </w:rPr>
              <w:t>0%</w:t>
            </w:r>
          </w:p>
        </w:tc>
        <w:tc>
          <w:tcPr>
            <w:tcW w:w="638" w:type="dxa"/>
            <w:shd w:val="clear" w:color="auto" w:fill="FFFFFF"/>
            <w:noWrap w:val="0"/>
            <w:vAlign w:val="center"/>
          </w:tcPr>
          <w:p>
            <w:pPr>
              <w:pStyle w:val="14"/>
              <w:jc w:val="center"/>
              <w:rPr>
                <w:rFonts w:eastAsia="宋体"/>
                <w:color w:val="000000"/>
                <w:szCs w:val="21"/>
              </w:rPr>
            </w:pPr>
            <w:r>
              <w:rPr>
                <w:rFonts w:hint="eastAsia" w:eastAsia="宋体"/>
                <w:color w:val="000000"/>
                <w:szCs w:val="21"/>
              </w:rPr>
              <w:t>5%</w:t>
            </w:r>
          </w:p>
        </w:tc>
        <w:tc>
          <w:tcPr>
            <w:tcW w:w="638" w:type="dxa"/>
            <w:shd w:val="clear" w:color="auto" w:fill="FFFFFF"/>
            <w:noWrap w:val="0"/>
            <w:vAlign w:val="center"/>
          </w:tcPr>
          <w:p>
            <w:pPr>
              <w:pStyle w:val="14"/>
              <w:jc w:val="center"/>
              <w:rPr>
                <w:rFonts w:eastAsia="宋体"/>
                <w:color w:val="000000"/>
                <w:szCs w:val="21"/>
              </w:rPr>
            </w:pPr>
            <w:r>
              <w:rPr>
                <w:rFonts w:hint="eastAsia" w:eastAsia="宋体"/>
                <w:color w:val="000000"/>
                <w:szCs w:val="21"/>
              </w:rPr>
              <w:t>5%</w:t>
            </w:r>
          </w:p>
        </w:tc>
        <w:tc>
          <w:tcPr>
            <w:tcW w:w="638" w:type="dxa"/>
            <w:shd w:val="clear" w:color="auto" w:fill="FFFFFF"/>
            <w:noWrap w:val="0"/>
            <w:vAlign w:val="center"/>
          </w:tcPr>
          <w:p>
            <w:pPr>
              <w:pStyle w:val="14"/>
              <w:jc w:val="center"/>
              <w:rPr>
                <w:rFonts w:eastAsia="宋体"/>
                <w:color w:val="000000"/>
                <w:szCs w:val="21"/>
              </w:rPr>
            </w:pPr>
            <w:r>
              <w:rPr>
                <w:rFonts w:hint="eastAsia" w:eastAsia="宋体"/>
                <w:color w:val="00000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043" w:type="dxa"/>
            <w:shd w:val="clear" w:color="auto" w:fill="auto"/>
            <w:noWrap w:val="0"/>
            <w:tcMar>
              <w:left w:w="57" w:type="dxa"/>
              <w:right w:w="57" w:type="dxa"/>
            </w:tcMar>
            <w:vAlign w:val="center"/>
          </w:tcPr>
          <w:p>
            <w:pPr>
              <w:pStyle w:val="14"/>
              <w:jc w:val="center"/>
              <w:rPr>
                <w:rFonts w:eastAsia="宋体"/>
              </w:rPr>
            </w:pPr>
            <w:r>
              <w:rPr>
                <w:rFonts w:hint="eastAsia" w:eastAsia="宋体"/>
              </w:rPr>
              <w:t>合    计</w:t>
            </w:r>
          </w:p>
        </w:tc>
        <w:tc>
          <w:tcPr>
            <w:tcW w:w="715" w:type="dxa"/>
            <w:shd w:val="clear" w:color="auto" w:fill="auto"/>
            <w:noWrap w:val="0"/>
            <w:vAlign w:val="center"/>
          </w:tcPr>
          <w:p>
            <w:pPr>
              <w:pStyle w:val="14"/>
              <w:jc w:val="center"/>
              <w:rPr>
                <w:rFonts w:eastAsia="宋体"/>
              </w:rPr>
            </w:pPr>
            <w:r>
              <w:rPr>
                <w:rFonts w:hint="eastAsia" w:eastAsia="宋体"/>
              </w:rPr>
              <w:t>100%</w:t>
            </w:r>
          </w:p>
        </w:tc>
        <w:tc>
          <w:tcPr>
            <w:tcW w:w="4820" w:type="dxa"/>
            <w:gridSpan w:val="2"/>
            <w:tcBorders>
              <w:left w:val="single" w:color="auto" w:sz="4" w:space="0"/>
            </w:tcBorders>
            <w:shd w:val="clear" w:color="auto" w:fill="auto"/>
            <w:noWrap w:val="0"/>
            <w:vAlign w:val="center"/>
          </w:tcPr>
          <w:p>
            <w:pPr>
              <w:pStyle w:val="14"/>
              <w:rPr>
                <w:rFonts w:eastAsia="宋体"/>
                <w:color w:val="000000"/>
                <w:szCs w:val="21"/>
              </w:rPr>
            </w:pPr>
          </w:p>
        </w:tc>
        <w:tc>
          <w:tcPr>
            <w:tcW w:w="638" w:type="dxa"/>
            <w:shd w:val="clear" w:color="auto" w:fill="FFFFFF"/>
            <w:noWrap w:val="0"/>
            <w:vAlign w:val="center"/>
          </w:tcPr>
          <w:p>
            <w:pPr>
              <w:pStyle w:val="14"/>
              <w:jc w:val="center"/>
              <w:rPr>
                <w:rFonts w:eastAsia="宋体"/>
                <w:color w:val="000000"/>
                <w:szCs w:val="21"/>
              </w:rPr>
            </w:pPr>
            <w:r>
              <w:rPr>
                <w:rFonts w:eastAsia="宋体"/>
                <w:color w:val="000000"/>
                <w:szCs w:val="21"/>
              </w:rPr>
              <w:t>2</w:t>
            </w:r>
            <w:r>
              <w:rPr>
                <w:rFonts w:hint="eastAsia" w:eastAsia="宋体"/>
                <w:color w:val="000000"/>
                <w:szCs w:val="21"/>
              </w:rPr>
              <w:t>0%</w:t>
            </w:r>
          </w:p>
        </w:tc>
        <w:tc>
          <w:tcPr>
            <w:tcW w:w="638" w:type="dxa"/>
            <w:shd w:val="clear" w:color="auto" w:fill="FFFFFF"/>
            <w:noWrap w:val="0"/>
            <w:vAlign w:val="center"/>
          </w:tcPr>
          <w:p>
            <w:pPr>
              <w:pStyle w:val="14"/>
              <w:jc w:val="center"/>
              <w:rPr>
                <w:rFonts w:eastAsia="宋体"/>
                <w:color w:val="000000"/>
                <w:szCs w:val="21"/>
              </w:rPr>
            </w:pPr>
            <w:r>
              <w:rPr>
                <w:rFonts w:eastAsia="宋体"/>
                <w:color w:val="000000"/>
                <w:szCs w:val="21"/>
              </w:rPr>
              <w:t>3</w:t>
            </w:r>
            <w:r>
              <w:rPr>
                <w:rFonts w:hint="eastAsia" w:eastAsia="宋体"/>
                <w:color w:val="000000"/>
                <w:szCs w:val="21"/>
              </w:rPr>
              <w:t>0%</w:t>
            </w:r>
          </w:p>
        </w:tc>
        <w:tc>
          <w:tcPr>
            <w:tcW w:w="638" w:type="dxa"/>
            <w:shd w:val="clear" w:color="auto" w:fill="FFFFFF"/>
            <w:noWrap w:val="0"/>
            <w:vAlign w:val="center"/>
          </w:tcPr>
          <w:p>
            <w:pPr>
              <w:pStyle w:val="14"/>
              <w:jc w:val="center"/>
              <w:rPr>
                <w:rFonts w:eastAsia="宋体"/>
                <w:color w:val="000000"/>
                <w:szCs w:val="21"/>
              </w:rPr>
            </w:pPr>
            <w:r>
              <w:rPr>
                <w:rFonts w:hint="eastAsia" w:eastAsia="宋体"/>
                <w:color w:val="000000"/>
                <w:szCs w:val="21"/>
              </w:rPr>
              <w:t>3</w:t>
            </w:r>
            <w:r>
              <w:rPr>
                <w:rFonts w:eastAsia="宋体"/>
                <w:color w:val="000000"/>
                <w:szCs w:val="21"/>
              </w:rPr>
              <w:t>0%</w:t>
            </w:r>
          </w:p>
        </w:tc>
        <w:tc>
          <w:tcPr>
            <w:tcW w:w="638" w:type="dxa"/>
            <w:shd w:val="clear" w:color="auto" w:fill="FFFFFF"/>
            <w:noWrap w:val="0"/>
            <w:vAlign w:val="center"/>
          </w:tcPr>
          <w:p>
            <w:pPr>
              <w:pStyle w:val="14"/>
              <w:jc w:val="center"/>
              <w:rPr>
                <w:rFonts w:eastAsia="宋体"/>
                <w:color w:val="000000"/>
                <w:szCs w:val="21"/>
              </w:rPr>
            </w:pPr>
            <w:r>
              <w:rPr>
                <w:rFonts w:hint="eastAsia" w:eastAsia="宋体"/>
                <w:color w:val="000000"/>
                <w:szCs w:val="21"/>
              </w:rPr>
              <w:t>2</w:t>
            </w:r>
            <w:r>
              <w:rPr>
                <w:rFonts w:eastAsia="宋体"/>
                <w:color w:val="000000"/>
                <w:szCs w:val="21"/>
              </w:rPr>
              <w:t>0%</w:t>
            </w:r>
          </w:p>
        </w:tc>
      </w:tr>
    </w:tbl>
    <w:p>
      <w:pPr>
        <w:spacing w:line="360" w:lineRule="auto"/>
        <w:rPr>
          <w:sz w:val="24"/>
          <w:szCs w:val="22"/>
        </w:rPr>
      </w:pPr>
      <w:r>
        <w:rPr>
          <w:rFonts w:hint="eastAsia"/>
          <w:sz w:val="24"/>
          <w:szCs w:val="22"/>
        </w:rPr>
        <w:t>备注：</w:t>
      </w:r>
      <w:r>
        <w:rPr>
          <w:sz w:val="24"/>
          <w:szCs w:val="22"/>
        </w:rPr>
        <w:t>课程目标达成度计算方法如下：</w:t>
      </w:r>
    </w:p>
    <w:p>
      <w:pPr>
        <w:spacing w:line="360" w:lineRule="auto"/>
        <w:ind w:firstLine="480" w:firstLineChars="200"/>
        <w:rPr>
          <w:position w:val="-26"/>
          <w:sz w:val="24"/>
          <w:szCs w:val="22"/>
        </w:rPr>
      </w:pPr>
      <w:r>
        <w:rPr>
          <w:position w:val="-26"/>
          <w:sz w:val="24"/>
          <w:szCs w:val="22"/>
        </w:rPr>
        <w:object>
          <v:shape id="_x0000_i1031" o:spt="75" type="#_x0000_t75" style="height:32.4pt;width:336.8pt;" o:ole="t" filled="f" o:preferrelative="t" stroked="f" coordsize="21600,21600">
            <v:path/>
            <v:fill on="f" focussize="0,0"/>
            <v:stroke on="f"/>
            <v:imagedata r:id="rId20" o:title=""/>
            <o:lock v:ext="edit" aspectratio="t"/>
            <w10:wrap type="none"/>
            <w10:anchorlock/>
          </v:shape>
          <o:OLEObject Type="Embed" ProgID="Equation.DSMT4" ShapeID="_x0000_i1031" DrawAspect="Content" ObjectID="_1468075731" r:id="rId26">
            <o:LockedField>false</o:LockedField>
          </o:OLEObject>
        </w:object>
      </w:r>
    </w:p>
    <w:p>
      <w:pPr>
        <w:spacing w:line="360" w:lineRule="auto"/>
        <w:ind w:firstLine="562" w:firstLineChars="200"/>
        <w:rPr>
          <w:rFonts w:hint="eastAsia"/>
          <w:b/>
          <w:sz w:val="28"/>
          <w:szCs w:val="28"/>
        </w:rPr>
      </w:pPr>
      <w:r>
        <w:rPr>
          <w:rFonts w:hint="eastAsia"/>
          <w:b/>
          <w:sz w:val="28"/>
          <w:szCs w:val="28"/>
        </w:rPr>
        <w:t>七</w:t>
      </w:r>
      <w:r>
        <w:rPr>
          <w:b/>
          <w:sz w:val="28"/>
          <w:szCs w:val="28"/>
        </w:rPr>
        <w:t>、</w:t>
      </w:r>
      <w:r>
        <w:rPr>
          <w:rFonts w:hint="eastAsia"/>
          <w:b/>
          <w:sz w:val="28"/>
          <w:szCs w:val="28"/>
        </w:rPr>
        <w:t>有关说明</w:t>
      </w:r>
    </w:p>
    <w:p>
      <w:pPr>
        <w:spacing w:line="360" w:lineRule="auto"/>
        <w:ind w:firstLine="482" w:firstLineChars="200"/>
        <w:rPr>
          <w:rFonts w:hint="eastAsia"/>
          <w:b/>
          <w:color w:val="000000"/>
          <w:sz w:val="24"/>
        </w:rPr>
      </w:pPr>
      <w:r>
        <w:rPr>
          <w:rFonts w:hint="eastAsia"/>
          <w:b/>
          <w:color w:val="000000"/>
          <w:sz w:val="24"/>
        </w:rPr>
        <w:t>（一）持续改进</w:t>
      </w:r>
    </w:p>
    <w:p>
      <w:pPr>
        <w:spacing w:line="360" w:lineRule="auto"/>
        <w:ind w:firstLine="480" w:firstLineChars="200"/>
        <w:rPr>
          <w:sz w:val="24"/>
          <w:szCs w:val="22"/>
        </w:rPr>
      </w:pPr>
      <w:r>
        <w:rPr>
          <w:sz w:val="24"/>
          <w:szCs w:val="22"/>
        </w:rPr>
        <w:t>本课程根据学生作业、课堂讨论、实验环节、平时考核情况和学生、教学督导等</w:t>
      </w:r>
      <w:r>
        <w:rPr>
          <w:rFonts w:hint="eastAsia"/>
          <w:sz w:val="24"/>
          <w:szCs w:val="22"/>
        </w:rPr>
        <w:t>的</w:t>
      </w:r>
      <w:r>
        <w:rPr>
          <w:sz w:val="24"/>
          <w:szCs w:val="22"/>
        </w:rPr>
        <w:t>反馈，及时对教学中</w:t>
      </w:r>
      <w:r>
        <w:rPr>
          <w:rFonts w:hint="eastAsia"/>
          <w:sz w:val="24"/>
          <w:szCs w:val="22"/>
        </w:rPr>
        <w:t>的</w:t>
      </w:r>
      <w:r>
        <w:rPr>
          <w:sz w:val="24"/>
          <w:szCs w:val="22"/>
        </w:rPr>
        <w:t>不足之处进行改进，并在下一轮课程教学中</w:t>
      </w:r>
      <w:r>
        <w:rPr>
          <w:rFonts w:hint="eastAsia"/>
          <w:sz w:val="24"/>
          <w:szCs w:val="22"/>
        </w:rPr>
        <w:t>整改完善</w:t>
      </w:r>
      <w:r>
        <w:rPr>
          <w:sz w:val="24"/>
          <w:szCs w:val="22"/>
        </w:rPr>
        <w:t>，确保相应毕业要求指标点达成。</w:t>
      </w:r>
    </w:p>
    <w:p>
      <w:pPr>
        <w:spacing w:line="360" w:lineRule="auto"/>
        <w:ind w:firstLine="482" w:firstLineChars="200"/>
        <w:rPr>
          <w:rFonts w:hint="eastAsia"/>
          <w:b/>
          <w:color w:val="000000"/>
          <w:sz w:val="24"/>
        </w:rPr>
      </w:pPr>
      <w:r>
        <w:rPr>
          <w:rFonts w:hint="eastAsia"/>
          <w:b/>
          <w:color w:val="000000"/>
          <w:sz w:val="24"/>
        </w:rPr>
        <w:t>（二）</w:t>
      </w:r>
      <w:r>
        <w:rPr>
          <w:b/>
          <w:color w:val="000000"/>
          <w:sz w:val="24"/>
        </w:rPr>
        <w:t>参考书目及学习资料</w:t>
      </w:r>
    </w:p>
    <w:p>
      <w:pPr>
        <w:autoSpaceDE w:val="0"/>
        <w:autoSpaceDN w:val="0"/>
        <w:adjustRightInd w:val="0"/>
        <w:spacing w:line="360" w:lineRule="auto"/>
        <w:ind w:firstLine="480" w:firstLineChars="200"/>
        <w:jc w:val="left"/>
        <w:rPr>
          <w:rFonts w:hint="eastAsia"/>
          <w:kern w:val="0"/>
          <w:sz w:val="24"/>
          <w:szCs w:val="21"/>
        </w:rPr>
      </w:pPr>
      <w:r>
        <w:rPr>
          <w:rFonts w:hint="eastAsia"/>
          <w:kern w:val="0"/>
          <w:sz w:val="24"/>
          <w:szCs w:val="21"/>
        </w:rPr>
        <w:t>略</w:t>
      </w:r>
    </w:p>
    <w:p>
      <w:pPr>
        <w:autoSpaceDE w:val="0"/>
        <w:autoSpaceDN w:val="0"/>
        <w:adjustRightInd w:val="0"/>
        <w:spacing w:line="360" w:lineRule="auto"/>
        <w:ind w:firstLine="480" w:firstLineChars="200"/>
        <w:jc w:val="left"/>
        <w:rPr>
          <w:rFonts w:hint="eastAsia"/>
          <w:kern w:val="0"/>
          <w:sz w:val="24"/>
          <w:szCs w:val="21"/>
        </w:rPr>
      </w:pPr>
    </w:p>
    <w:p>
      <w:pPr>
        <w:autoSpaceDE w:val="0"/>
        <w:autoSpaceDN w:val="0"/>
        <w:adjustRightInd w:val="0"/>
        <w:spacing w:line="360" w:lineRule="auto"/>
        <w:ind w:firstLine="6240" w:firstLineChars="2600"/>
        <w:jc w:val="left"/>
        <w:rPr>
          <w:kern w:val="0"/>
          <w:sz w:val="24"/>
          <w:szCs w:val="21"/>
        </w:rPr>
      </w:pPr>
      <w:r>
        <w:rPr>
          <w:kern w:val="0"/>
          <w:sz w:val="24"/>
          <w:szCs w:val="21"/>
        </w:rPr>
        <w:t>执笔人：</w:t>
      </w:r>
      <w:r>
        <w:rPr>
          <w:rFonts w:hint="eastAsia"/>
          <w:kern w:val="0"/>
          <w:sz w:val="24"/>
          <w:szCs w:val="21"/>
        </w:rPr>
        <w:t>刘天宇</w:t>
      </w:r>
      <w:r>
        <w:rPr>
          <w:kern w:val="0"/>
          <w:sz w:val="24"/>
          <w:szCs w:val="21"/>
        </w:rPr>
        <w:t xml:space="preserve"> </w:t>
      </w:r>
    </w:p>
    <w:p>
      <w:pPr>
        <w:autoSpaceDE w:val="0"/>
        <w:autoSpaceDN w:val="0"/>
        <w:adjustRightInd w:val="0"/>
        <w:spacing w:line="360" w:lineRule="auto"/>
        <w:ind w:firstLine="6240" w:firstLineChars="2600"/>
        <w:jc w:val="left"/>
        <w:rPr>
          <w:kern w:val="0"/>
          <w:sz w:val="24"/>
        </w:rPr>
      </w:pPr>
      <w:r>
        <w:rPr>
          <w:rFonts w:hint="eastAsia" w:cs="宋体"/>
          <w:kern w:val="0"/>
          <w:sz w:val="24"/>
        </w:rPr>
        <w:t>审定人：</w:t>
      </w:r>
      <w:r>
        <w:rPr>
          <w:kern w:val="0"/>
          <w:sz w:val="24"/>
        </w:rPr>
        <w:t xml:space="preserve"> </w:t>
      </w:r>
      <w:r>
        <w:rPr>
          <w:rFonts w:hint="eastAsia" w:cs="宋体"/>
          <w:kern w:val="0"/>
          <w:sz w:val="24"/>
        </w:rPr>
        <w:t>魏雪姣</w:t>
      </w:r>
    </w:p>
    <w:p>
      <w:pPr>
        <w:autoSpaceDE w:val="0"/>
        <w:autoSpaceDN w:val="0"/>
        <w:adjustRightInd w:val="0"/>
        <w:spacing w:line="360" w:lineRule="auto"/>
        <w:ind w:firstLine="6240" w:firstLineChars="2600"/>
        <w:jc w:val="left"/>
        <w:rPr>
          <w:rFonts w:hint="eastAsia" w:ascii="宋体" w:hAnsi="宋体" w:cs="宋体"/>
          <w:sz w:val="24"/>
        </w:rPr>
      </w:pPr>
      <w:r>
        <w:rPr>
          <w:rFonts w:hint="eastAsia" w:cs="宋体"/>
          <w:kern w:val="0"/>
          <w:sz w:val="24"/>
        </w:rPr>
        <w:t>审批人：</w:t>
      </w:r>
      <w:r>
        <w:rPr>
          <w:kern w:val="0"/>
          <w:sz w:val="24"/>
        </w:rPr>
        <w:t xml:space="preserve"> </w:t>
      </w:r>
      <w:r>
        <w:rPr>
          <w:rFonts w:hint="eastAsia" w:ascii="宋体" w:hAnsi="宋体" w:cs="宋体"/>
          <w:sz w:val="24"/>
        </w:rPr>
        <w:t>吴泽颖</w:t>
      </w:r>
    </w:p>
    <w:p>
      <w:pPr>
        <w:spacing w:line="360" w:lineRule="auto"/>
        <w:ind w:firstLine="6000" w:firstLineChars="2500"/>
        <w:rPr>
          <w:rFonts w:hint="eastAsia"/>
          <w:kern w:val="0"/>
          <w:sz w:val="24"/>
          <w:szCs w:val="21"/>
          <w:lang w:val="en-US" w:eastAsia="zh-CN"/>
        </w:rPr>
      </w:pPr>
      <w:r>
        <w:rPr>
          <w:rFonts w:hint="eastAsia"/>
          <w:kern w:val="0"/>
          <w:sz w:val="24"/>
          <w:szCs w:val="21"/>
        </w:rPr>
        <w:t>批准时间：</w:t>
      </w:r>
      <w:r>
        <w:rPr>
          <w:rFonts w:hint="eastAsia"/>
          <w:kern w:val="0"/>
          <w:sz w:val="24"/>
          <w:szCs w:val="21"/>
          <w:lang w:val="en-US" w:eastAsia="zh-CN"/>
        </w:rPr>
        <w:t>2021.9.1</w:t>
      </w:r>
    </w:p>
    <w:p>
      <w:pPr>
        <w:spacing w:line="360" w:lineRule="auto"/>
        <w:ind w:firstLine="6000" w:firstLineChars="2500"/>
        <w:rPr>
          <w:rFonts w:hint="eastAsia"/>
          <w:kern w:val="0"/>
          <w:sz w:val="24"/>
          <w:szCs w:val="21"/>
          <w:lang w:val="en-US" w:eastAsia="zh-CN"/>
        </w:rPr>
      </w:pPr>
    </w:p>
    <w:p>
      <w:pPr>
        <w:spacing w:line="360" w:lineRule="auto"/>
        <w:ind w:firstLine="6000" w:firstLineChars="2500"/>
        <w:rPr>
          <w:rFonts w:hint="eastAsia"/>
          <w:kern w:val="0"/>
          <w:sz w:val="24"/>
          <w:szCs w:val="21"/>
          <w:lang w:val="en-US" w:eastAsia="zh-CN"/>
        </w:rPr>
      </w:pPr>
    </w:p>
    <w:p>
      <w:pPr>
        <w:spacing w:line="360" w:lineRule="auto"/>
        <w:ind w:firstLine="6000" w:firstLineChars="2500"/>
        <w:rPr>
          <w:rFonts w:hint="eastAsia"/>
          <w:kern w:val="0"/>
          <w:sz w:val="24"/>
          <w:szCs w:val="21"/>
          <w:lang w:val="en-US" w:eastAsia="zh-CN"/>
        </w:rPr>
      </w:pPr>
    </w:p>
    <w:p>
      <w:pPr>
        <w:spacing w:line="360" w:lineRule="auto"/>
        <w:ind w:firstLine="6000" w:firstLineChars="2500"/>
        <w:rPr>
          <w:rFonts w:hint="eastAsia"/>
          <w:kern w:val="0"/>
          <w:sz w:val="24"/>
          <w:szCs w:val="21"/>
          <w:lang w:val="en-US" w:eastAsia="zh-CN"/>
        </w:rPr>
      </w:pPr>
    </w:p>
    <w:p>
      <w:pPr>
        <w:spacing w:line="360" w:lineRule="auto"/>
        <w:ind w:firstLine="6000" w:firstLineChars="2500"/>
        <w:rPr>
          <w:rFonts w:hint="eastAsia"/>
          <w:kern w:val="0"/>
          <w:sz w:val="24"/>
          <w:szCs w:val="21"/>
          <w:lang w:val="en-US" w:eastAsia="zh-CN"/>
        </w:rPr>
      </w:pPr>
    </w:p>
    <w:p>
      <w:pPr>
        <w:spacing w:line="360" w:lineRule="auto"/>
        <w:ind w:firstLine="6000" w:firstLineChars="2500"/>
        <w:rPr>
          <w:rFonts w:hint="eastAsia"/>
          <w:kern w:val="0"/>
          <w:sz w:val="24"/>
          <w:szCs w:val="21"/>
          <w:lang w:val="en-US" w:eastAsia="zh-CN"/>
        </w:rPr>
      </w:pPr>
    </w:p>
    <w:p>
      <w:pPr>
        <w:spacing w:line="360" w:lineRule="auto"/>
        <w:ind w:firstLine="6000" w:firstLineChars="2500"/>
        <w:rPr>
          <w:rFonts w:hint="eastAsia"/>
          <w:kern w:val="0"/>
          <w:sz w:val="24"/>
          <w:szCs w:val="21"/>
          <w:lang w:val="en-US" w:eastAsia="zh-CN"/>
        </w:rPr>
      </w:pPr>
    </w:p>
    <w:p>
      <w:pPr>
        <w:pStyle w:val="3"/>
        <w:bidi w:val="0"/>
        <w:jc w:val="center"/>
        <w:rPr>
          <w:b/>
          <w:bCs/>
        </w:rPr>
      </w:pPr>
      <w:bookmarkStart w:id="106" w:name="_Toc17948"/>
      <w:bookmarkStart w:id="107" w:name="_Toc2244"/>
      <w:r>
        <w:rPr>
          <w:rFonts w:hint="eastAsia"/>
        </w:rPr>
        <w:t>化学反应工程课程教学大纲</w:t>
      </w:r>
      <w:bookmarkEnd w:id="106"/>
      <w:bookmarkEnd w:id="107"/>
    </w:p>
    <w:p>
      <w:pPr>
        <w:adjustRightInd/>
        <w:snapToGrid/>
        <w:spacing w:line="312" w:lineRule="auto"/>
        <w:ind w:firstLine="0" w:firstLineChars="0"/>
        <w:jc w:val="center"/>
        <w:rPr>
          <w:b/>
          <w:bCs/>
          <w:sz w:val="30"/>
        </w:rPr>
      </w:pPr>
      <w:r>
        <w:rPr>
          <w:b/>
          <w:bCs/>
          <w:sz w:val="30"/>
        </w:rPr>
        <w:t>（Chemical Reaction Engineering）</w:t>
      </w:r>
    </w:p>
    <w:p>
      <w:pPr>
        <w:adjustRightInd/>
        <w:snapToGrid/>
        <w:spacing w:line="312" w:lineRule="auto"/>
        <w:ind w:firstLine="600" w:firstLineChars="0"/>
        <w:jc w:val="center"/>
        <w:rPr>
          <w:rFonts w:eastAsia="黑体"/>
          <w:bCs/>
          <w:sz w:val="30"/>
        </w:rPr>
      </w:pPr>
    </w:p>
    <w:p>
      <w:pPr>
        <w:adjustRightInd/>
        <w:snapToGrid/>
        <w:spacing w:line="360" w:lineRule="auto"/>
        <w:ind w:firstLine="551" w:firstLineChars="196"/>
        <w:rPr>
          <w:rFonts w:hint="eastAsia"/>
          <w:b/>
          <w:sz w:val="28"/>
          <w:szCs w:val="28"/>
        </w:rPr>
      </w:pPr>
      <w:r>
        <w:rPr>
          <w:b/>
          <w:sz w:val="28"/>
          <w:szCs w:val="28"/>
        </w:rPr>
        <w:t>一、课程概况</w:t>
      </w:r>
    </w:p>
    <w:p>
      <w:pPr>
        <w:adjustRightInd/>
        <w:snapToGrid/>
        <w:spacing w:line="360" w:lineRule="auto"/>
        <w:ind w:firstLine="482"/>
        <w:rPr>
          <w:b/>
          <w:sz w:val="28"/>
          <w:szCs w:val="28"/>
        </w:rPr>
      </w:pPr>
      <w:r>
        <w:rPr>
          <w:b/>
          <w:bCs/>
          <w:kern w:val="0"/>
        </w:rPr>
        <w:t>课程代码</w:t>
      </w:r>
      <w:r>
        <w:rPr>
          <w:b/>
          <w:kern w:val="0"/>
        </w:rPr>
        <w:t>：</w:t>
      </w:r>
      <w:r>
        <w:rPr>
          <w:bCs/>
          <w:kern w:val="0"/>
        </w:rPr>
        <w:t>2501047</w:t>
      </w:r>
    </w:p>
    <w:p>
      <w:pPr>
        <w:adjustRightInd/>
        <w:snapToGrid/>
        <w:spacing w:line="360" w:lineRule="auto"/>
        <w:ind w:firstLine="482"/>
        <w:rPr>
          <w:kern w:val="0"/>
        </w:rPr>
      </w:pPr>
      <w:r>
        <w:rPr>
          <w:b/>
          <w:bCs/>
          <w:kern w:val="0"/>
        </w:rPr>
        <w:t>学    分</w:t>
      </w:r>
      <w:r>
        <w:rPr>
          <w:b/>
          <w:kern w:val="0"/>
        </w:rPr>
        <w:t>：</w:t>
      </w:r>
      <w:r>
        <w:rPr>
          <w:rFonts w:hint="eastAsia"/>
          <w:kern w:val="0"/>
        </w:rPr>
        <w:t>3</w:t>
      </w:r>
    </w:p>
    <w:p>
      <w:pPr>
        <w:adjustRightInd/>
        <w:snapToGrid/>
        <w:spacing w:line="360" w:lineRule="auto"/>
        <w:ind w:firstLine="482"/>
        <w:rPr>
          <w:kern w:val="0"/>
        </w:rPr>
      </w:pPr>
      <w:r>
        <w:rPr>
          <w:b/>
          <w:bCs/>
          <w:kern w:val="0"/>
        </w:rPr>
        <w:t>学    时</w:t>
      </w:r>
      <w:r>
        <w:rPr>
          <w:b/>
          <w:kern w:val="0"/>
        </w:rPr>
        <w:t>：</w:t>
      </w:r>
      <w:r>
        <w:rPr>
          <w:kern w:val="0"/>
        </w:rPr>
        <w:t>4</w:t>
      </w:r>
      <w:r>
        <w:rPr>
          <w:rFonts w:hint="eastAsia"/>
          <w:kern w:val="0"/>
        </w:rPr>
        <w:t>8</w:t>
      </w:r>
    </w:p>
    <w:p>
      <w:pPr>
        <w:adjustRightInd/>
        <w:snapToGrid/>
        <w:spacing w:line="360" w:lineRule="auto"/>
        <w:ind w:firstLine="482"/>
        <w:rPr>
          <w:bCs/>
          <w:kern w:val="0"/>
        </w:rPr>
      </w:pPr>
      <w:r>
        <w:rPr>
          <w:b/>
          <w:bCs/>
          <w:kern w:val="0"/>
        </w:rPr>
        <w:t>先修课程</w:t>
      </w:r>
      <w:r>
        <w:rPr>
          <w:b/>
          <w:kern w:val="0"/>
        </w:rPr>
        <w:t>：</w:t>
      </w:r>
      <w:r>
        <w:rPr>
          <w:rFonts w:hint="eastAsia"/>
          <w:kern w:val="0"/>
        </w:rPr>
        <w:t>高等数学、化工原理、大学物理、物理化学</w:t>
      </w:r>
    </w:p>
    <w:p>
      <w:pPr>
        <w:adjustRightInd/>
        <w:snapToGrid/>
        <w:spacing w:line="360" w:lineRule="auto"/>
        <w:ind w:firstLine="482"/>
        <w:rPr>
          <w:kern w:val="0"/>
        </w:rPr>
      </w:pPr>
      <w:r>
        <w:rPr>
          <w:b/>
          <w:bCs/>
          <w:kern w:val="0"/>
        </w:rPr>
        <w:t>适用专业</w:t>
      </w:r>
      <w:r>
        <w:rPr>
          <w:b/>
          <w:kern w:val="0"/>
        </w:rPr>
        <w:t>：</w:t>
      </w:r>
      <w:r>
        <w:rPr>
          <w:rFonts w:hint="eastAsia"/>
          <w:kern w:val="0"/>
        </w:rPr>
        <w:t>化学工程与工艺</w:t>
      </w:r>
      <w:r>
        <w:rPr>
          <w:kern w:val="0"/>
        </w:rPr>
        <w:t xml:space="preserve">                          </w:t>
      </w:r>
    </w:p>
    <w:p>
      <w:pPr>
        <w:adjustRightInd/>
        <w:snapToGrid/>
        <w:spacing w:line="360" w:lineRule="auto"/>
        <w:ind w:firstLine="482"/>
      </w:pPr>
      <w:r>
        <w:rPr>
          <w:rFonts w:hint="eastAsia"/>
          <w:b/>
          <w:bCs/>
          <w:kern w:val="0"/>
        </w:rPr>
        <w:t>建议</w:t>
      </w:r>
      <w:r>
        <w:rPr>
          <w:b/>
          <w:bCs/>
          <w:kern w:val="0"/>
        </w:rPr>
        <w:t>教材</w:t>
      </w:r>
      <w:r>
        <w:rPr>
          <w:b/>
          <w:kern w:val="0"/>
        </w:rPr>
        <w:t>：</w:t>
      </w:r>
      <w:r>
        <w:rPr>
          <w:szCs w:val="21"/>
        </w:rPr>
        <w:t>《</w:t>
      </w:r>
      <w:r>
        <w:rPr>
          <w:rFonts w:hint="eastAsia"/>
        </w:rPr>
        <w:t>化学反应工程</w:t>
      </w:r>
      <w:r>
        <w:t>》，</w:t>
      </w:r>
      <w:r>
        <w:rPr>
          <w:rFonts w:hint="eastAsia"/>
        </w:rPr>
        <w:t>许志美等</w:t>
      </w:r>
      <w:r>
        <w:t>，</w:t>
      </w:r>
      <w:r>
        <w:rPr>
          <w:rFonts w:hint="eastAsia"/>
        </w:rPr>
        <w:t>化学工业出版社</w:t>
      </w:r>
      <w:r>
        <w:t>，2019.10</w:t>
      </w:r>
    </w:p>
    <w:p>
      <w:pPr>
        <w:adjustRightInd/>
        <w:snapToGrid/>
        <w:spacing w:line="360" w:lineRule="auto"/>
        <w:ind w:firstLine="482"/>
        <w:rPr>
          <w:bCs/>
          <w:kern w:val="0"/>
        </w:rPr>
      </w:pPr>
      <w:r>
        <w:rPr>
          <w:b/>
          <w:bCs/>
          <w:kern w:val="0"/>
        </w:rPr>
        <w:t>课程归口：</w:t>
      </w:r>
      <w:r>
        <w:rPr>
          <w:rFonts w:hint="eastAsia"/>
          <w:bCs/>
          <w:kern w:val="0"/>
        </w:rPr>
        <w:t>化工与材料</w:t>
      </w:r>
      <w:r>
        <w:rPr>
          <w:kern w:val="0"/>
        </w:rPr>
        <w:t>学院</w:t>
      </w:r>
    </w:p>
    <w:p>
      <w:pPr>
        <w:adjustRightInd/>
        <w:snapToGrid/>
        <w:spacing w:line="360" w:lineRule="auto"/>
        <w:ind w:firstLine="482"/>
        <w:rPr>
          <w:bCs/>
          <w:kern w:val="0"/>
        </w:rPr>
      </w:pPr>
      <w:r>
        <w:rPr>
          <w:b/>
          <w:bCs/>
          <w:kern w:val="0"/>
        </w:rPr>
        <w:t>课程的性质与任务</w:t>
      </w:r>
      <w:r>
        <w:rPr>
          <w:rFonts w:hint="eastAsia"/>
          <w:b/>
          <w:bCs/>
          <w:kern w:val="0"/>
        </w:rPr>
        <w:t>：</w:t>
      </w:r>
      <w:r>
        <w:rPr>
          <w:rFonts w:hint="eastAsia"/>
          <w:kern w:val="0"/>
        </w:rPr>
        <w:t>本课程为“化学工程与工艺”专业培养目标的核心课程，可以使学生实现将数学、自然科学、工程基础和专业知识用于解决复杂化学工程问题，设计满足特定需求的系统、单元或工艺流程和基于科学原理并采用科学方法对复杂化学工程问题进行研究等知识和能力要求。</w:t>
      </w:r>
      <w:r>
        <w:rPr>
          <w:rFonts w:hint="eastAsia"/>
          <w:color w:val="000000"/>
          <w:kern w:val="0"/>
        </w:rPr>
        <w:t>通过本门课程的学习，培养学生牢固地掌握化学反应工程最基本的原理和计算方法，能够理论联系实际，增长提出问题、分析问题和解决问题的能力。</w:t>
      </w:r>
    </w:p>
    <w:p>
      <w:pPr>
        <w:adjustRightInd/>
        <w:snapToGrid/>
        <w:spacing w:line="360" w:lineRule="auto"/>
        <w:rPr>
          <w:rFonts w:ascii="Times New Roman" w:hAnsi="Times New Roman" w:eastAsia="宋体" w:cs="Times New Roman"/>
          <w:b/>
          <w:sz w:val="28"/>
          <w:szCs w:val="28"/>
        </w:rPr>
      </w:pPr>
      <w:r>
        <w:rPr>
          <w:rFonts w:hint="eastAsia" w:ascii="Times New Roman" w:hAnsi="Times New Roman" w:eastAsia="宋体" w:cs="Times New Roman"/>
          <w:b/>
          <w:sz w:val="28"/>
          <w:szCs w:val="28"/>
          <w:lang w:eastAsia="zh-CN"/>
        </w:rPr>
        <w:t>二、</w:t>
      </w:r>
      <w:r>
        <w:rPr>
          <w:rFonts w:ascii="Times New Roman" w:hAnsi="Times New Roman" w:eastAsia="宋体" w:cs="Times New Roman"/>
          <w:b/>
          <w:sz w:val="28"/>
          <w:szCs w:val="28"/>
        </w:rPr>
        <w:t>课程目标</w:t>
      </w:r>
    </w:p>
    <w:tbl>
      <w:tblPr>
        <w:tblStyle w:val="10"/>
        <w:tblW w:w="92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119"/>
        <w:gridCol w:w="2292"/>
        <w:gridCol w:w="3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38" w:type="dxa"/>
            <w:tcBorders>
              <w:top w:val="single" w:color="auto" w:sz="4" w:space="0"/>
              <w:left w:val="single" w:color="auto" w:sz="4" w:space="0"/>
              <w:bottom w:val="single" w:color="auto" w:sz="4" w:space="0"/>
              <w:right w:val="single" w:color="auto" w:sz="4" w:space="0"/>
            </w:tcBorders>
            <w:noWrap/>
            <w:vAlign w:val="center"/>
          </w:tcPr>
          <w:p>
            <w:pPr>
              <w:widowControl/>
              <w:ind w:firstLine="0" w:firstLineChars="0"/>
              <w:rPr>
                <w:b/>
                <w:bCs/>
                <w:kern w:val="0"/>
                <w:sz w:val="21"/>
                <w:szCs w:val="21"/>
              </w:rPr>
            </w:pPr>
            <w:r>
              <w:rPr>
                <w:rFonts w:hint="eastAsia"/>
                <w:b/>
                <w:bCs/>
                <w:kern w:val="0"/>
                <w:szCs w:val="21"/>
              </w:rPr>
              <w:t>序号</w:t>
            </w:r>
          </w:p>
        </w:tc>
        <w:tc>
          <w:tcPr>
            <w:tcW w:w="3119" w:type="dxa"/>
            <w:tcBorders>
              <w:top w:val="single" w:color="auto" w:sz="4" w:space="0"/>
              <w:left w:val="single" w:color="auto" w:sz="4" w:space="0"/>
              <w:bottom w:val="single" w:color="auto" w:sz="4" w:space="0"/>
              <w:right w:val="single" w:color="auto" w:sz="4" w:space="0"/>
            </w:tcBorders>
            <w:noWrap/>
            <w:vAlign w:val="center"/>
          </w:tcPr>
          <w:p>
            <w:pPr>
              <w:widowControl/>
              <w:ind w:firstLine="482"/>
              <w:jc w:val="center"/>
              <w:rPr>
                <w:rFonts w:hint="eastAsia"/>
                <w:b/>
                <w:bCs/>
                <w:kern w:val="0"/>
                <w:szCs w:val="21"/>
              </w:rPr>
            </w:pPr>
            <w:r>
              <w:rPr>
                <w:rFonts w:hint="eastAsia"/>
                <w:b/>
                <w:bCs/>
                <w:kern w:val="0"/>
                <w:szCs w:val="21"/>
              </w:rPr>
              <w:t>课程目标</w:t>
            </w:r>
          </w:p>
        </w:tc>
        <w:tc>
          <w:tcPr>
            <w:tcW w:w="2292" w:type="dxa"/>
            <w:tcBorders>
              <w:top w:val="single" w:color="auto" w:sz="4" w:space="0"/>
              <w:left w:val="single" w:color="auto" w:sz="4" w:space="0"/>
              <w:bottom w:val="single" w:color="auto" w:sz="4" w:space="0"/>
              <w:right w:val="single" w:color="auto" w:sz="4" w:space="0"/>
            </w:tcBorders>
            <w:noWrap/>
            <w:vAlign w:val="center"/>
          </w:tcPr>
          <w:p>
            <w:pPr>
              <w:widowControl/>
              <w:ind w:firstLine="482"/>
              <w:jc w:val="center"/>
              <w:rPr>
                <w:b/>
                <w:bCs/>
                <w:kern w:val="0"/>
                <w:szCs w:val="21"/>
              </w:rPr>
            </w:pPr>
            <w:r>
              <w:rPr>
                <w:rFonts w:hint="eastAsia"/>
                <w:b/>
                <w:bCs/>
                <w:kern w:val="0"/>
                <w:szCs w:val="21"/>
              </w:rPr>
              <w:t>支撑毕业要求观测点</w:t>
            </w:r>
          </w:p>
        </w:tc>
        <w:tc>
          <w:tcPr>
            <w:tcW w:w="3067" w:type="dxa"/>
            <w:tcBorders>
              <w:top w:val="single" w:color="auto" w:sz="4" w:space="0"/>
              <w:left w:val="single" w:color="auto" w:sz="4" w:space="0"/>
              <w:bottom w:val="single" w:color="auto" w:sz="4" w:space="0"/>
              <w:right w:val="single" w:color="auto" w:sz="4" w:space="0"/>
            </w:tcBorders>
            <w:noWrap/>
            <w:vAlign w:val="center"/>
          </w:tcPr>
          <w:p>
            <w:pPr>
              <w:widowControl/>
              <w:ind w:firstLine="482"/>
              <w:jc w:val="center"/>
              <w:rPr>
                <w:rFonts w:hint="eastAsia"/>
                <w:b/>
                <w:bCs/>
                <w:kern w:val="0"/>
                <w:szCs w:val="21"/>
              </w:rPr>
            </w:pPr>
            <w:r>
              <w:rPr>
                <w:rFonts w:hint="eastAsia"/>
                <w:b/>
                <w:bCs/>
                <w:kern w:val="0"/>
                <w:szCs w:val="21"/>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38" w:type="dxa"/>
            <w:tcBorders>
              <w:top w:val="single" w:color="auto" w:sz="4" w:space="0"/>
              <w:left w:val="single" w:color="auto" w:sz="4" w:space="0"/>
              <w:bottom w:val="single" w:color="auto" w:sz="4" w:space="0"/>
              <w:right w:val="single" w:color="auto" w:sz="4" w:space="0"/>
            </w:tcBorders>
            <w:noWrap/>
            <w:vAlign w:val="center"/>
          </w:tcPr>
          <w:p>
            <w:pPr>
              <w:widowControl/>
              <w:ind w:firstLine="480"/>
              <w:jc w:val="center"/>
              <w:rPr>
                <w:kern w:val="0"/>
                <w:szCs w:val="21"/>
              </w:rPr>
            </w:pPr>
            <w:r>
              <w:rPr>
                <w:kern w:val="0"/>
                <w:szCs w:val="21"/>
              </w:rPr>
              <w:t>1</w:t>
            </w:r>
          </w:p>
        </w:tc>
        <w:tc>
          <w:tcPr>
            <w:tcW w:w="3119" w:type="dxa"/>
            <w:tcBorders>
              <w:top w:val="single" w:color="auto" w:sz="4" w:space="0"/>
              <w:left w:val="single" w:color="auto" w:sz="4" w:space="0"/>
              <w:bottom w:val="single" w:color="auto" w:sz="4" w:space="0"/>
              <w:right w:val="single" w:color="auto" w:sz="4" w:space="0"/>
            </w:tcBorders>
            <w:noWrap/>
            <w:vAlign w:val="center"/>
          </w:tcPr>
          <w:p>
            <w:pPr>
              <w:ind w:firstLine="482"/>
              <w:rPr>
                <w:rFonts w:hint="eastAsia"/>
                <w:color w:val="000000"/>
                <w:kern w:val="0"/>
                <w:szCs w:val="21"/>
              </w:rPr>
            </w:pPr>
            <w:r>
              <w:rPr>
                <w:rFonts w:hint="eastAsia"/>
                <w:b/>
                <w:kern w:val="0"/>
                <w:szCs w:val="21"/>
              </w:rPr>
              <w:t>目标</w:t>
            </w:r>
            <w:r>
              <w:rPr>
                <w:b/>
                <w:kern w:val="0"/>
                <w:szCs w:val="21"/>
              </w:rPr>
              <w:t>1</w:t>
            </w:r>
            <w:r>
              <w:rPr>
                <w:rFonts w:hint="eastAsia"/>
                <w:b/>
                <w:kern w:val="0"/>
                <w:szCs w:val="21"/>
              </w:rPr>
              <w:t>：</w:t>
            </w:r>
            <w:r>
              <w:rPr>
                <w:rFonts w:hint="eastAsia"/>
                <w:color w:val="000000"/>
                <w:kern w:val="0"/>
                <w:szCs w:val="21"/>
              </w:rPr>
              <w:t xml:space="preserve"> 能够根据化学热力学和动力学的基本原理来分析外界因素对化学反应速率的影响。</w:t>
            </w:r>
          </w:p>
          <w:p>
            <w:pPr>
              <w:ind w:firstLine="480"/>
              <w:rPr>
                <w:kern w:val="0"/>
                <w:szCs w:val="21"/>
              </w:rPr>
            </w:pPr>
            <w:r>
              <w:rPr>
                <w:rFonts w:hint="eastAsia"/>
                <w:color w:val="FF0000"/>
                <w:kern w:val="0"/>
                <w:szCs w:val="21"/>
              </w:rPr>
              <w:t xml:space="preserve"> </w:t>
            </w:r>
          </w:p>
        </w:tc>
        <w:tc>
          <w:tcPr>
            <w:tcW w:w="2292" w:type="dxa"/>
            <w:tcBorders>
              <w:top w:val="single" w:color="auto" w:sz="4" w:space="0"/>
              <w:left w:val="single" w:color="auto" w:sz="4" w:space="0"/>
              <w:bottom w:val="single" w:color="auto" w:sz="4" w:space="0"/>
              <w:right w:val="single" w:color="auto" w:sz="4" w:space="0"/>
            </w:tcBorders>
            <w:noWrap/>
            <w:vAlign w:val="center"/>
          </w:tcPr>
          <w:p>
            <w:pPr>
              <w:widowControl/>
              <w:ind w:firstLine="482"/>
              <w:rPr>
                <w:kern w:val="0"/>
                <w:szCs w:val="21"/>
              </w:rPr>
            </w:pPr>
            <w:r>
              <w:rPr>
                <w:rFonts w:hint="eastAsia"/>
                <w:b/>
                <w:szCs w:val="21"/>
              </w:rPr>
              <w:t>观测点</w:t>
            </w:r>
            <w:r>
              <w:rPr>
                <w:b/>
                <w:szCs w:val="21"/>
              </w:rPr>
              <w:t>1.4</w:t>
            </w:r>
            <w:r>
              <w:rPr>
                <w:rFonts w:hint="eastAsia"/>
                <w:szCs w:val="21"/>
              </w:rPr>
              <w:t>：掌握化工反应、分离等专业知识。</w:t>
            </w:r>
          </w:p>
        </w:tc>
        <w:tc>
          <w:tcPr>
            <w:tcW w:w="3067" w:type="dxa"/>
            <w:tcBorders>
              <w:top w:val="single" w:color="auto" w:sz="4" w:space="0"/>
              <w:left w:val="single" w:color="auto" w:sz="4" w:space="0"/>
              <w:bottom w:val="single" w:color="auto" w:sz="4" w:space="0"/>
              <w:right w:val="single" w:color="auto" w:sz="4" w:space="0"/>
            </w:tcBorders>
            <w:noWrap/>
            <w:vAlign w:val="center"/>
          </w:tcPr>
          <w:p>
            <w:pPr>
              <w:widowControl/>
              <w:ind w:firstLine="482"/>
              <w:rPr>
                <w:kern w:val="0"/>
                <w:szCs w:val="21"/>
              </w:rPr>
            </w:pPr>
            <w:r>
              <w:rPr>
                <w:rFonts w:hint="eastAsia"/>
                <w:b/>
                <w:szCs w:val="21"/>
              </w:rPr>
              <w:t>毕业要求</w:t>
            </w:r>
            <w:r>
              <w:rPr>
                <w:b/>
                <w:szCs w:val="21"/>
              </w:rPr>
              <w:t>1</w:t>
            </w:r>
            <w:r>
              <w:rPr>
                <w:rFonts w:hint="eastAsia"/>
                <w:szCs w:val="21"/>
              </w:rPr>
              <w:t>毕业要求1：工程知识：能够将数学、自然科学、工程基础和专业知识用于解决化学工程与工艺领域复杂工程问题。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38" w:type="dxa"/>
            <w:tcBorders>
              <w:top w:val="single" w:color="auto" w:sz="4" w:space="0"/>
              <w:left w:val="single" w:color="auto" w:sz="4" w:space="0"/>
              <w:bottom w:val="single" w:color="auto" w:sz="4" w:space="0"/>
              <w:right w:val="single" w:color="auto" w:sz="4" w:space="0"/>
            </w:tcBorders>
            <w:noWrap/>
            <w:vAlign w:val="center"/>
          </w:tcPr>
          <w:p>
            <w:pPr>
              <w:widowControl/>
              <w:ind w:firstLine="480"/>
              <w:jc w:val="center"/>
              <w:rPr>
                <w:kern w:val="0"/>
                <w:szCs w:val="21"/>
              </w:rPr>
            </w:pPr>
            <w:r>
              <w:rPr>
                <w:kern w:val="0"/>
                <w:szCs w:val="21"/>
              </w:rPr>
              <w:t>2</w:t>
            </w:r>
          </w:p>
        </w:tc>
        <w:tc>
          <w:tcPr>
            <w:tcW w:w="3119" w:type="dxa"/>
            <w:tcBorders>
              <w:top w:val="single" w:color="auto" w:sz="4" w:space="0"/>
              <w:left w:val="single" w:color="auto" w:sz="4" w:space="0"/>
              <w:bottom w:val="single" w:color="auto" w:sz="4" w:space="0"/>
              <w:right w:val="single" w:color="auto" w:sz="4" w:space="0"/>
            </w:tcBorders>
            <w:noWrap/>
            <w:vAlign w:val="center"/>
          </w:tcPr>
          <w:p>
            <w:pPr>
              <w:widowControl/>
              <w:ind w:firstLine="0" w:firstLineChars="0"/>
              <w:rPr>
                <w:rFonts w:hint="eastAsia"/>
                <w:color w:val="FF0000"/>
                <w:kern w:val="0"/>
                <w:szCs w:val="21"/>
              </w:rPr>
            </w:pPr>
            <w:r>
              <w:rPr>
                <w:rFonts w:hint="eastAsia"/>
                <w:b/>
                <w:kern w:val="0"/>
                <w:szCs w:val="21"/>
              </w:rPr>
              <w:t>目标</w:t>
            </w:r>
            <w:r>
              <w:rPr>
                <w:b/>
                <w:kern w:val="0"/>
                <w:szCs w:val="21"/>
              </w:rPr>
              <w:t>2</w:t>
            </w:r>
            <w:r>
              <w:rPr>
                <w:rFonts w:hint="eastAsia"/>
                <w:b/>
                <w:kern w:val="0"/>
                <w:szCs w:val="21"/>
              </w:rPr>
              <w:t>：</w:t>
            </w:r>
            <w:r>
              <w:rPr>
                <w:rFonts w:hint="eastAsia"/>
                <w:color w:val="000000"/>
                <w:kern w:val="0"/>
                <w:szCs w:val="21"/>
              </w:rPr>
              <w:t xml:space="preserve"> 能熟练运用“三传一反”基本方程式，求解理想反应器模型的能力。能掌握各类化学反应器的设计计算方法，进行反应器的工艺计算。</w:t>
            </w:r>
          </w:p>
        </w:tc>
        <w:tc>
          <w:tcPr>
            <w:tcW w:w="2292" w:type="dxa"/>
            <w:tcBorders>
              <w:top w:val="single" w:color="auto" w:sz="4" w:space="0"/>
              <w:left w:val="single" w:color="auto" w:sz="4" w:space="0"/>
              <w:bottom w:val="single" w:color="auto" w:sz="4" w:space="0"/>
              <w:right w:val="single" w:color="auto" w:sz="4" w:space="0"/>
            </w:tcBorders>
            <w:noWrap/>
            <w:vAlign w:val="center"/>
          </w:tcPr>
          <w:p>
            <w:pPr>
              <w:widowControl/>
              <w:ind w:firstLine="482"/>
              <w:rPr>
                <w:kern w:val="0"/>
                <w:szCs w:val="21"/>
              </w:rPr>
            </w:pPr>
            <w:r>
              <w:rPr>
                <w:rFonts w:hint="eastAsia"/>
                <w:b/>
                <w:color w:val="000000"/>
                <w:kern w:val="0"/>
                <w:szCs w:val="21"/>
              </w:rPr>
              <w:t>观测点</w:t>
            </w:r>
            <w:r>
              <w:rPr>
                <w:b/>
                <w:color w:val="000000"/>
                <w:kern w:val="0"/>
                <w:szCs w:val="21"/>
              </w:rPr>
              <w:t>2.3</w:t>
            </w:r>
            <w:r>
              <w:rPr>
                <w:rFonts w:hint="eastAsia"/>
                <w:color w:val="000000"/>
                <w:kern w:val="0"/>
                <w:szCs w:val="21"/>
              </w:rPr>
              <w:t>能够正确表达一个化学工程问题的解决方案</w:t>
            </w:r>
          </w:p>
        </w:tc>
        <w:tc>
          <w:tcPr>
            <w:tcW w:w="3067" w:type="dxa"/>
            <w:tcBorders>
              <w:top w:val="single" w:color="auto" w:sz="4" w:space="0"/>
              <w:left w:val="single" w:color="auto" w:sz="4" w:space="0"/>
              <w:bottom w:val="single" w:color="auto" w:sz="4" w:space="0"/>
              <w:right w:val="single" w:color="auto" w:sz="4" w:space="0"/>
            </w:tcBorders>
            <w:noWrap/>
            <w:vAlign w:val="center"/>
          </w:tcPr>
          <w:p>
            <w:pPr>
              <w:widowControl/>
              <w:ind w:firstLine="482"/>
              <w:rPr>
                <w:kern w:val="0"/>
                <w:szCs w:val="21"/>
              </w:rPr>
            </w:pPr>
            <w:r>
              <w:rPr>
                <w:rFonts w:hint="eastAsia"/>
                <w:b/>
                <w:color w:val="000000"/>
                <w:kern w:val="0"/>
                <w:szCs w:val="21"/>
              </w:rPr>
              <w:t>毕业要求2：</w:t>
            </w:r>
            <w:r>
              <w:rPr>
                <w:rFonts w:hint="eastAsia"/>
                <w:color w:val="000000"/>
                <w:kern w:val="0"/>
                <w:szCs w:val="21"/>
              </w:rPr>
              <w:t>问题分析：能够应用数学、自然科学和工程科学的基本原理，识别、表达、并通过文献研究分析化学工程与工艺领域复杂工程问题，以获得有效结论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38" w:type="dxa"/>
            <w:tcBorders>
              <w:top w:val="single" w:color="auto" w:sz="4" w:space="0"/>
              <w:left w:val="single" w:color="auto" w:sz="4" w:space="0"/>
              <w:bottom w:val="single" w:color="auto" w:sz="4" w:space="0"/>
              <w:right w:val="single" w:color="auto" w:sz="4" w:space="0"/>
            </w:tcBorders>
            <w:noWrap/>
            <w:vAlign w:val="center"/>
          </w:tcPr>
          <w:p>
            <w:pPr>
              <w:widowControl/>
              <w:ind w:firstLine="480"/>
              <w:jc w:val="center"/>
              <w:rPr>
                <w:kern w:val="0"/>
                <w:szCs w:val="21"/>
              </w:rPr>
            </w:pPr>
            <w:r>
              <w:rPr>
                <w:rFonts w:hint="eastAsia"/>
                <w:kern w:val="0"/>
                <w:szCs w:val="21"/>
              </w:rPr>
              <w:t>3</w:t>
            </w:r>
          </w:p>
        </w:tc>
        <w:tc>
          <w:tcPr>
            <w:tcW w:w="3119" w:type="dxa"/>
            <w:tcBorders>
              <w:top w:val="single" w:color="auto" w:sz="4" w:space="0"/>
              <w:left w:val="single" w:color="auto" w:sz="4" w:space="0"/>
              <w:bottom w:val="single" w:color="auto" w:sz="4" w:space="0"/>
              <w:right w:val="single" w:color="auto" w:sz="4" w:space="0"/>
            </w:tcBorders>
            <w:noWrap/>
            <w:vAlign w:val="center"/>
          </w:tcPr>
          <w:p>
            <w:pPr>
              <w:widowControl/>
              <w:ind w:firstLine="0" w:firstLineChars="0"/>
              <w:rPr>
                <w:rFonts w:hint="eastAsia"/>
                <w:b/>
                <w:kern w:val="0"/>
                <w:szCs w:val="21"/>
              </w:rPr>
            </w:pPr>
            <w:r>
              <w:rPr>
                <w:rFonts w:hint="eastAsia"/>
                <w:b/>
                <w:kern w:val="0"/>
                <w:szCs w:val="21"/>
              </w:rPr>
              <w:t>目标</w:t>
            </w:r>
            <w:r>
              <w:rPr>
                <w:b/>
                <w:kern w:val="0"/>
                <w:szCs w:val="21"/>
              </w:rPr>
              <w:t>3</w:t>
            </w:r>
            <w:r>
              <w:rPr>
                <w:rFonts w:hint="eastAsia"/>
                <w:b/>
                <w:kern w:val="0"/>
                <w:szCs w:val="21"/>
              </w:rPr>
              <w:t>：</w:t>
            </w:r>
            <w:r>
              <w:rPr>
                <w:rFonts w:hint="eastAsia"/>
                <w:kern w:val="0"/>
                <w:szCs w:val="21"/>
              </w:rPr>
              <w:t>能运用工程分析方法，解决工程问题的能力。使学生掌握化学反应工程学科的理论体系、研究方法，了解学科前沿</w:t>
            </w:r>
            <w:r>
              <w:rPr>
                <w:rFonts w:hint="eastAsia"/>
                <w:b/>
                <w:kern w:val="0"/>
                <w:szCs w:val="21"/>
              </w:rPr>
              <w:t>。</w:t>
            </w:r>
          </w:p>
        </w:tc>
        <w:tc>
          <w:tcPr>
            <w:tcW w:w="2292" w:type="dxa"/>
            <w:tcBorders>
              <w:top w:val="single" w:color="auto" w:sz="4" w:space="0"/>
              <w:left w:val="single" w:color="auto" w:sz="4" w:space="0"/>
              <w:bottom w:val="single" w:color="auto" w:sz="4" w:space="0"/>
              <w:right w:val="single" w:color="auto" w:sz="4" w:space="0"/>
            </w:tcBorders>
            <w:noWrap/>
            <w:vAlign w:val="center"/>
          </w:tcPr>
          <w:p>
            <w:pPr>
              <w:widowControl/>
              <w:ind w:firstLine="482"/>
              <w:rPr>
                <w:rFonts w:hint="eastAsia"/>
                <w:b/>
                <w:color w:val="000000"/>
                <w:kern w:val="0"/>
                <w:szCs w:val="21"/>
              </w:rPr>
            </w:pPr>
            <w:r>
              <w:rPr>
                <w:rFonts w:hint="eastAsia"/>
                <w:b/>
                <w:color w:val="000000"/>
                <w:kern w:val="0"/>
                <w:szCs w:val="21"/>
              </w:rPr>
              <w:t>观测点</w:t>
            </w:r>
            <w:r>
              <w:rPr>
                <w:b/>
                <w:color w:val="000000"/>
                <w:kern w:val="0"/>
                <w:szCs w:val="21"/>
              </w:rPr>
              <w:t>3</w:t>
            </w:r>
            <w:r>
              <w:rPr>
                <w:rFonts w:hint="eastAsia"/>
                <w:b/>
                <w:color w:val="000000"/>
                <w:kern w:val="0"/>
                <w:szCs w:val="21"/>
              </w:rPr>
              <w:t>.3</w:t>
            </w:r>
            <w:r>
              <w:rPr>
                <w:rFonts w:hint="eastAsia"/>
                <w:color w:val="000000"/>
                <w:kern w:val="0"/>
                <w:szCs w:val="21"/>
              </w:rPr>
              <w:t>能够集成单元过程进行工艺流程设计，对流程设计进一步优化，体现创新意识，考虑社会、健康、安全、法律、文化以及环境等因素</w:t>
            </w:r>
          </w:p>
        </w:tc>
        <w:tc>
          <w:tcPr>
            <w:tcW w:w="3067" w:type="dxa"/>
            <w:tcBorders>
              <w:top w:val="single" w:color="auto" w:sz="4" w:space="0"/>
              <w:left w:val="single" w:color="auto" w:sz="4" w:space="0"/>
              <w:bottom w:val="single" w:color="auto" w:sz="4" w:space="0"/>
              <w:right w:val="single" w:color="auto" w:sz="4" w:space="0"/>
            </w:tcBorders>
            <w:noWrap/>
            <w:vAlign w:val="center"/>
          </w:tcPr>
          <w:p>
            <w:pPr>
              <w:widowControl/>
              <w:ind w:firstLine="482"/>
              <w:rPr>
                <w:rFonts w:hint="eastAsia"/>
                <w:b/>
                <w:color w:val="000000"/>
                <w:kern w:val="0"/>
                <w:szCs w:val="21"/>
              </w:rPr>
            </w:pPr>
            <w:r>
              <w:rPr>
                <w:rFonts w:hint="eastAsia"/>
                <w:b/>
                <w:color w:val="000000"/>
                <w:kern w:val="0"/>
                <w:szCs w:val="21"/>
              </w:rPr>
              <w:t>毕业要求3：</w:t>
            </w:r>
            <w:r>
              <w:rPr>
                <w:rFonts w:hint="eastAsia"/>
                <w:color w:val="000000"/>
                <w:kern w:val="0"/>
                <w:szCs w:val="21"/>
              </w:rPr>
              <w:t>设计/开发方案：能够设计针对化学工程与工艺领域复杂工程问题的解决方案，设计满足特定需求的系统、单元（部件）或工艺流程，并能够在设计环节中体现创新意识，考虑社会、健康、安全、法律、文化以及环境等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38" w:type="dxa"/>
            <w:tcBorders>
              <w:top w:val="single" w:color="auto" w:sz="4" w:space="0"/>
              <w:left w:val="single" w:color="auto" w:sz="4" w:space="0"/>
              <w:bottom w:val="single" w:color="auto" w:sz="4" w:space="0"/>
              <w:right w:val="single" w:color="auto" w:sz="4" w:space="0"/>
            </w:tcBorders>
            <w:noWrap/>
            <w:vAlign w:val="center"/>
          </w:tcPr>
          <w:p>
            <w:pPr>
              <w:widowControl/>
              <w:ind w:firstLine="480"/>
              <w:jc w:val="center"/>
              <w:rPr>
                <w:kern w:val="0"/>
                <w:szCs w:val="21"/>
              </w:rPr>
            </w:pPr>
            <w:r>
              <w:rPr>
                <w:rFonts w:hint="eastAsia"/>
                <w:kern w:val="0"/>
                <w:szCs w:val="21"/>
              </w:rPr>
              <w:t>4</w:t>
            </w:r>
          </w:p>
        </w:tc>
        <w:tc>
          <w:tcPr>
            <w:tcW w:w="3119" w:type="dxa"/>
            <w:tcBorders>
              <w:top w:val="single" w:color="auto" w:sz="4" w:space="0"/>
              <w:left w:val="single" w:color="auto" w:sz="4" w:space="0"/>
              <w:bottom w:val="single" w:color="auto" w:sz="4" w:space="0"/>
              <w:right w:val="single" w:color="auto" w:sz="4" w:space="0"/>
            </w:tcBorders>
            <w:noWrap/>
            <w:vAlign w:val="center"/>
          </w:tcPr>
          <w:p>
            <w:pPr>
              <w:widowControl/>
              <w:ind w:firstLine="0" w:firstLineChars="0"/>
              <w:rPr>
                <w:rFonts w:hint="eastAsia"/>
                <w:b/>
                <w:kern w:val="0"/>
                <w:szCs w:val="21"/>
              </w:rPr>
            </w:pPr>
            <w:r>
              <w:rPr>
                <w:rFonts w:hint="eastAsia"/>
                <w:b/>
                <w:kern w:val="0"/>
                <w:szCs w:val="21"/>
              </w:rPr>
              <w:t>目标</w:t>
            </w:r>
            <w:r>
              <w:rPr>
                <w:b/>
                <w:kern w:val="0"/>
                <w:szCs w:val="21"/>
              </w:rPr>
              <w:t>4</w:t>
            </w:r>
            <w:r>
              <w:rPr>
                <w:rFonts w:hint="eastAsia"/>
                <w:b/>
                <w:kern w:val="0"/>
                <w:szCs w:val="21"/>
              </w:rPr>
              <w:t>：</w:t>
            </w:r>
            <w:r>
              <w:rPr>
                <w:rFonts w:hint="eastAsia"/>
                <w:kern w:val="0"/>
                <w:szCs w:val="21"/>
              </w:rPr>
              <w:t>能应用理论推演和实验研究工业反应过程的规律而建立数学模拟结合工程实践的经验应用于工程设计和放大。</w:t>
            </w:r>
          </w:p>
        </w:tc>
        <w:tc>
          <w:tcPr>
            <w:tcW w:w="2292" w:type="dxa"/>
            <w:tcBorders>
              <w:top w:val="single" w:color="auto" w:sz="4" w:space="0"/>
              <w:left w:val="single" w:color="auto" w:sz="4" w:space="0"/>
              <w:bottom w:val="single" w:color="auto" w:sz="4" w:space="0"/>
              <w:right w:val="single" w:color="auto" w:sz="4" w:space="0"/>
            </w:tcBorders>
            <w:noWrap/>
            <w:vAlign w:val="center"/>
          </w:tcPr>
          <w:p>
            <w:pPr>
              <w:widowControl/>
              <w:ind w:firstLine="482"/>
              <w:rPr>
                <w:rFonts w:hint="eastAsia"/>
                <w:color w:val="000000"/>
                <w:kern w:val="0"/>
                <w:szCs w:val="21"/>
              </w:rPr>
            </w:pPr>
            <w:r>
              <w:rPr>
                <w:rFonts w:hint="eastAsia"/>
                <w:b/>
                <w:color w:val="000000"/>
                <w:kern w:val="0"/>
                <w:szCs w:val="21"/>
              </w:rPr>
              <w:t>观测点5</w:t>
            </w:r>
            <w:r>
              <w:rPr>
                <w:b/>
                <w:color w:val="000000"/>
                <w:kern w:val="0"/>
                <w:szCs w:val="21"/>
              </w:rPr>
              <w:t>.2</w:t>
            </w:r>
            <w:r>
              <w:rPr>
                <w:rFonts w:hint="eastAsia"/>
                <w:color w:val="000000"/>
                <w:kern w:val="0"/>
                <w:szCs w:val="21"/>
              </w:rPr>
              <w:t>能够针对化工产品开发、化工单元设计、化工过程设计等复 杂化工问题，选用合适的现代仪器、信息技术工具、工程工具和模拟软件，进行分析、计算与设计</w:t>
            </w:r>
          </w:p>
        </w:tc>
        <w:tc>
          <w:tcPr>
            <w:tcW w:w="3067" w:type="dxa"/>
            <w:tcBorders>
              <w:top w:val="single" w:color="auto" w:sz="4" w:space="0"/>
              <w:left w:val="single" w:color="auto" w:sz="4" w:space="0"/>
              <w:bottom w:val="single" w:color="auto" w:sz="4" w:space="0"/>
              <w:right w:val="single" w:color="auto" w:sz="4" w:space="0"/>
            </w:tcBorders>
            <w:noWrap/>
            <w:vAlign w:val="center"/>
          </w:tcPr>
          <w:p>
            <w:pPr>
              <w:widowControl/>
              <w:ind w:firstLine="482"/>
              <w:rPr>
                <w:rFonts w:hint="eastAsia"/>
                <w:b/>
                <w:color w:val="000000"/>
                <w:kern w:val="0"/>
                <w:szCs w:val="21"/>
              </w:rPr>
            </w:pPr>
            <w:r>
              <w:rPr>
                <w:rFonts w:hint="eastAsia"/>
                <w:b/>
                <w:color w:val="000000"/>
                <w:kern w:val="0"/>
                <w:szCs w:val="21"/>
              </w:rPr>
              <w:t>毕业要求5：</w:t>
            </w:r>
            <w:r>
              <w:rPr>
                <w:rFonts w:hint="eastAsia"/>
                <w:color w:val="000000"/>
                <w:kern w:val="0"/>
                <w:szCs w:val="21"/>
              </w:rPr>
              <w:t>使用现代工具：能够针对化学工程与工艺领域复杂工程问题，开发、选择与使用恰当的技术、资源、现代工程工具和信息技术工具，包括对复杂工程问题的预测与模拟，并能够理解其局限性</w:t>
            </w:r>
          </w:p>
        </w:tc>
      </w:tr>
    </w:tbl>
    <w:p>
      <w:pPr>
        <w:adjustRightInd/>
        <w:snapToGrid/>
        <w:spacing w:line="360" w:lineRule="auto"/>
        <w:rPr>
          <w:rFonts w:hint="eastAsia" w:ascii="Times New Roman" w:hAnsi="Times New Roman" w:eastAsia="宋体" w:cs="Times New Roman"/>
          <w:b/>
          <w:sz w:val="28"/>
          <w:szCs w:val="28"/>
          <w:lang w:eastAsia="zh-CN"/>
        </w:rPr>
      </w:pPr>
      <w:r>
        <w:rPr>
          <w:rFonts w:hint="eastAsia" w:ascii="Times New Roman" w:hAnsi="Times New Roman" w:eastAsia="宋体" w:cs="Times New Roman"/>
          <w:b/>
          <w:sz w:val="28"/>
          <w:szCs w:val="28"/>
          <w:lang w:eastAsia="zh-CN"/>
        </w:rPr>
        <w:t>三、教学内容及要求</w:t>
      </w:r>
    </w:p>
    <w:tbl>
      <w:tblPr>
        <w:tblStyle w:val="10"/>
        <w:tblW w:w="9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3"/>
        <w:gridCol w:w="2683"/>
        <w:gridCol w:w="1033"/>
        <w:gridCol w:w="2400"/>
        <w:gridCol w:w="884"/>
        <w:gridCol w:w="833"/>
        <w:gridCol w:w="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shd w:val="clear" w:color="auto" w:fill="auto"/>
            <w:noWrap w:val="0"/>
            <w:vAlign w:val="center"/>
          </w:tcPr>
          <w:p>
            <w:pPr>
              <w:ind w:firstLine="0" w:firstLineChars="0"/>
              <w:rPr>
                <w:b/>
                <w:bCs/>
                <w:szCs w:val="21"/>
              </w:rPr>
            </w:pPr>
            <w:r>
              <w:rPr>
                <w:b/>
                <w:bCs/>
                <w:szCs w:val="21"/>
              </w:rPr>
              <w:t>序号</w:t>
            </w:r>
          </w:p>
        </w:tc>
        <w:tc>
          <w:tcPr>
            <w:tcW w:w="2683" w:type="dxa"/>
            <w:shd w:val="clear" w:color="auto" w:fill="auto"/>
            <w:noWrap w:val="0"/>
            <w:vAlign w:val="center"/>
          </w:tcPr>
          <w:p>
            <w:pPr>
              <w:ind w:firstLine="482"/>
              <w:jc w:val="center"/>
              <w:rPr>
                <w:b/>
                <w:bCs/>
                <w:szCs w:val="21"/>
              </w:rPr>
            </w:pPr>
            <w:r>
              <w:rPr>
                <w:b/>
                <w:bCs/>
                <w:szCs w:val="21"/>
              </w:rPr>
              <w:t>教学内容</w:t>
            </w:r>
          </w:p>
        </w:tc>
        <w:tc>
          <w:tcPr>
            <w:tcW w:w="1033" w:type="dxa"/>
            <w:shd w:val="clear" w:color="auto" w:fill="auto"/>
            <w:noWrap w:val="0"/>
            <w:vAlign w:val="center"/>
          </w:tcPr>
          <w:p>
            <w:pPr>
              <w:ind w:firstLine="0" w:firstLineChars="0"/>
              <w:rPr>
                <w:b/>
                <w:bCs/>
                <w:szCs w:val="21"/>
              </w:rPr>
            </w:pPr>
            <w:r>
              <w:rPr>
                <w:b/>
                <w:bCs/>
                <w:szCs w:val="21"/>
              </w:rPr>
              <w:t>思政元素</w:t>
            </w:r>
          </w:p>
          <w:p>
            <w:pPr>
              <w:ind w:firstLine="482"/>
              <w:jc w:val="center"/>
              <w:rPr>
                <w:b/>
                <w:bCs/>
                <w:szCs w:val="21"/>
              </w:rPr>
            </w:pPr>
          </w:p>
        </w:tc>
        <w:tc>
          <w:tcPr>
            <w:tcW w:w="2400" w:type="dxa"/>
            <w:shd w:val="clear" w:color="auto" w:fill="auto"/>
            <w:noWrap w:val="0"/>
            <w:vAlign w:val="center"/>
          </w:tcPr>
          <w:p>
            <w:pPr>
              <w:ind w:firstLine="482"/>
              <w:rPr>
                <w:b/>
                <w:bCs/>
                <w:szCs w:val="21"/>
              </w:rPr>
            </w:pPr>
            <w:r>
              <w:rPr>
                <w:b/>
                <w:bCs/>
                <w:szCs w:val="21"/>
              </w:rPr>
              <w:t>预期学习成果</w:t>
            </w:r>
          </w:p>
          <w:p>
            <w:pPr>
              <w:ind w:firstLine="482"/>
              <w:jc w:val="center"/>
              <w:rPr>
                <w:b/>
                <w:bCs/>
                <w:szCs w:val="21"/>
              </w:rPr>
            </w:pPr>
          </w:p>
        </w:tc>
        <w:tc>
          <w:tcPr>
            <w:tcW w:w="884" w:type="dxa"/>
            <w:shd w:val="clear" w:color="auto" w:fill="auto"/>
            <w:noWrap w:val="0"/>
            <w:vAlign w:val="center"/>
          </w:tcPr>
          <w:p>
            <w:pPr>
              <w:ind w:firstLine="0" w:firstLineChars="0"/>
              <w:rPr>
                <w:b/>
                <w:bCs/>
                <w:szCs w:val="21"/>
              </w:rPr>
            </w:pPr>
            <w:r>
              <w:rPr>
                <w:b/>
                <w:bCs/>
                <w:szCs w:val="21"/>
              </w:rPr>
              <w:t>教学学时</w:t>
            </w:r>
          </w:p>
        </w:tc>
        <w:tc>
          <w:tcPr>
            <w:tcW w:w="833" w:type="dxa"/>
            <w:shd w:val="clear" w:color="auto" w:fill="auto"/>
            <w:noWrap w:val="0"/>
            <w:vAlign w:val="center"/>
          </w:tcPr>
          <w:p>
            <w:pPr>
              <w:ind w:firstLine="0" w:firstLineChars="0"/>
              <w:rPr>
                <w:b/>
                <w:bCs/>
                <w:szCs w:val="21"/>
              </w:rPr>
            </w:pPr>
            <w:r>
              <w:rPr>
                <w:b/>
                <w:bCs/>
                <w:szCs w:val="21"/>
              </w:rPr>
              <w:t>教学方式</w:t>
            </w:r>
          </w:p>
        </w:tc>
        <w:tc>
          <w:tcPr>
            <w:tcW w:w="841" w:type="dxa"/>
            <w:shd w:val="clear" w:color="auto" w:fill="auto"/>
            <w:noWrap w:val="0"/>
            <w:vAlign w:val="center"/>
          </w:tcPr>
          <w:p>
            <w:pPr>
              <w:ind w:firstLine="0" w:firstLineChars="0"/>
              <w:rPr>
                <w:b/>
                <w:bCs/>
                <w:szCs w:val="21"/>
              </w:rPr>
            </w:pPr>
            <w:r>
              <w:rPr>
                <w:b/>
                <w:bCs/>
                <w:szCs w:val="21"/>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shd w:val="clear" w:color="auto" w:fill="auto"/>
            <w:noWrap w:val="0"/>
            <w:vAlign w:val="center"/>
          </w:tcPr>
          <w:p>
            <w:pPr>
              <w:ind w:firstLine="0" w:firstLineChars="0"/>
              <w:rPr>
                <w:szCs w:val="21"/>
              </w:rPr>
            </w:pPr>
            <w:r>
              <w:rPr>
                <w:szCs w:val="21"/>
              </w:rPr>
              <w:t>1</w:t>
            </w:r>
          </w:p>
        </w:tc>
        <w:tc>
          <w:tcPr>
            <w:tcW w:w="2683" w:type="dxa"/>
            <w:shd w:val="clear" w:color="auto" w:fill="auto"/>
            <w:noWrap w:val="0"/>
            <w:vAlign w:val="center"/>
          </w:tcPr>
          <w:p>
            <w:pPr>
              <w:ind w:firstLine="482"/>
              <w:rPr>
                <w:kern w:val="0"/>
                <w:szCs w:val="21"/>
              </w:rPr>
            </w:pPr>
            <w:r>
              <w:rPr>
                <w:rFonts w:hint="eastAsia"/>
                <w:b/>
                <w:kern w:val="0"/>
                <w:szCs w:val="21"/>
              </w:rPr>
              <w:t>绪论：</w:t>
            </w:r>
            <w:r>
              <w:rPr>
                <w:rFonts w:hint="eastAsia"/>
                <w:kern w:val="0"/>
                <w:szCs w:val="21"/>
              </w:rPr>
              <w:t>化学反应工程的研究对象和目的、研究内容和研究方法</w:t>
            </w:r>
          </w:p>
          <w:p>
            <w:pPr>
              <w:ind w:firstLine="482"/>
              <w:rPr>
                <w:rFonts w:hint="eastAsia"/>
                <w:kern w:val="0"/>
                <w:szCs w:val="21"/>
              </w:rPr>
            </w:pPr>
            <w:r>
              <w:rPr>
                <w:b/>
                <w:kern w:val="0"/>
                <w:szCs w:val="21"/>
              </w:rPr>
              <w:t>重点和难点：</w:t>
            </w:r>
            <w:r>
              <w:rPr>
                <w:rFonts w:hint="eastAsia"/>
                <w:kern w:val="0"/>
                <w:szCs w:val="21"/>
              </w:rPr>
              <w:t>化学反应和反应器的分类方法</w:t>
            </w:r>
          </w:p>
        </w:tc>
        <w:tc>
          <w:tcPr>
            <w:tcW w:w="1033" w:type="dxa"/>
            <w:shd w:val="clear" w:color="auto" w:fill="auto"/>
            <w:noWrap w:val="0"/>
            <w:vAlign w:val="center"/>
          </w:tcPr>
          <w:p>
            <w:pPr>
              <w:autoSpaceDE w:val="0"/>
              <w:autoSpaceDN w:val="0"/>
              <w:ind w:firstLine="480"/>
              <w:rPr>
                <w:kern w:val="0"/>
                <w:szCs w:val="21"/>
              </w:rPr>
            </w:pPr>
            <w:r>
              <w:rPr>
                <w:rFonts w:hint="eastAsia"/>
                <w:kern w:val="0"/>
                <w:szCs w:val="21"/>
              </w:rPr>
              <w:t>增强学生投身生态文明建设的责任感、使命感</w:t>
            </w:r>
          </w:p>
        </w:tc>
        <w:tc>
          <w:tcPr>
            <w:tcW w:w="2400" w:type="dxa"/>
            <w:shd w:val="clear" w:color="auto" w:fill="auto"/>
            <w:noWrap w:val="0"/>
            <w:vAlign w:val="center"/>
          </w:tcPr>
          <w:p>
            <w:pPr>
              <w:autoSpaceDE w:val="0"/>
              <w:autoSpaceDN w:val="0"/>
              <w:ind w:firstLine="480"/>
              <w:rPr>
                <w:kern w:val="0"/>
                <w:szCs w:val="21"/>
              </w:rPr>
            </w:pPr>
            <w:r>
              <w:rPr>
                <w:rFonts w:hint="eastAsia"/>
                <w:kern w:val="0"/>
                <w:szCs w:val="21"/>
              </w:rPr>
              <w:t>能够了解化学反应工程的研究对象和研究方法；能够掌握化学反应工程的研究内容，包括反应和反应器的分类方法；理解每种分类方法的概念及相关知识</w:t>
            </w:r>
          </w:p>
        </w:tc>
        <w:tc>
          <w:tcPr>
            <w:tcW w:w="884" w:type="dxa"/>
            <w:shd w:val="clear" w:color="auto" w:fill="auto"/>
            <w:noWrap w:val="0"/>
            <w:vAlign w:val="center"/>
          </w:tcPr>
          <w:p>
            <w:pPr>
              <w:ind w:firstLine="480"/>
              <w:jc w:val="center"/>
              <w:rPr>
                <w:szCs w:val="21"/>
              </w:rPr>
            </w:pPr>
            <w:r>
              <w:rPr>
                <w:szCs w:val="21"/>
              </w:rPr>
              <w:t>2</w:t>
            </w:r>
          </w:p>
        </w:tc>
        <w:tc>
          <w:tcPr>
            <w:tcW w:w="833" w:type="dxa"/>
            <w:shd w:val="clear" w:color="auto" w:fill="auto"/>
            <w:noWrap w:val="0"/>
            <w:vAlign w:val="center"/>
          </w:tcPr>
          <w:p>
            <w:pPr>
              <w:ind w:firstLine="480"/>
              <w:rPr>
                <w:szCs w:val="21"/>
              </w:rPr>
            </w:pPr>
            <w:r>
              <w:rPr>
                <w:szCs w:val="21"/>
              </w:rPr>
              <w:t>讲授/讨论/实例教学等</w:t>
            </w:r>
          </w:p>
        </w:tc>
        <w:tc>
          <w:tcPr>
            <w:tcW w:w="841" w:type="dxa"/>
            <w:shd w:val="clear" w:color="auto" w:fill="auto"/>
            <w:noWrap w:val="0"/>
            <w:vAlign w:val="center"/>
          </w:tcPr>
          <w:p>
            <w:pPr>
              <w:jc w:val="both"/>
              <w:rPr>
                <w:szCs w:val="21"/>
              </w:rPr>
            </w:pPr>
            <w:r>
              <w:rPr>
                <w:b/>
                <w:kern w:val="0"/>
                <w:szCs w:val="21"/>
              </w:rPr>
              <w:t>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shd w:val="clear" w:color="auto" w:fill="auto"/>
            <w:noWrap w:val="0"/>
            <w:vAlign w:val="center"/>
          </w:tcPr>
          <w:p>
            <w:pPr>
              <w:ind w:firstLine="0" w:firstLineChars="0"/>
              <w:rPr>
                <w:szCs w:val="21"/>
              </w:rPr>
            </w:pPr>
            <w:r>
              <w:rPr>
                <w:szCs w:val="21"/>
              </w:rPr>
              <w:t>2</w:t>
            </w:r>
          </w:p>
        </w:tc>
        <w:tc>
          <w:tcPr>
            <w:tcW w:w="2683" w:type="dxa"/>
            <w:shd w:val="clear" w:color="auto" w:fill="auto"/>
            <w:noWrap w:val="0"/>
            <w:vAlign w:val="center"/>
          </w:tcPr>
          <w:p>
            <w:pPr>
              <w:rPr>
                <w:kern w:val="0"/>
                <w:szCs w:val="21"/>
              </w:rPr>
            </w:pPr>
            <w:r>
              <w:rPr>
                <w:rFonts w:hint="eastAsia"/>
                <w:b/>
                <w:kern w:val="0"/>
                <w:szCs w:val="21"/>
              </w:rPr>
              <w:t>化学反应动力学：</w:t>
            </w:r>
            <w:r>
              <w:rPr>
                <w:rFonts w:hint="eastAsia"/>
                <w:kern w:val="0"/>
                <w:szCs w:val="21"/>
              </w:rPr>
              <w:t>基本概念、反应动力学表达式，影响化学反应的温度效应和浓度效应。</w:t>
            </w:r>
          </w:p>
          <w:p>
            <w:pPr>
              <w:rPr>
                <w:kern w:val="0"/>
                <w:szCs w:val="21"/>
              </w:rPr>
            </w:pPr>
            <w:r>
              <w:rPr>
                <w:b/>
                <w:kern w:val="0"/>
                <w:szCs w:val="21"/>
              </w:rPr>
              <w:t>重点和难点：</w:t>
            </w:r>
            <w:r>
              <w:rPr>
                <w:rFonts w:hint="eastAsia"/>
                <w:bCs/>
                <w:kern w:val="0"/>
                <w:szCs w:val="21"/>
              </w:rPr>
              <w:t>影响</w:t>
            </w:r>
            <w:r>
              <w:rPr>
                <w:rFonts w:hint="eastAsia"/>
                <w:kern w:val="0"/>
                <w:szCs w:val="21"/>
              </w:rPr>
              <w:t>化学反应的温度效应和浓度效应</w:t>
            </w:r>
          </w:p>
        </w:tc>
        <w:tc>
          <w:tcPr>
            <w:tcW w:w="1033" w:type="dxa"/>
            <w:shd w:val="clear" w:color="auto" w:fill="auto"/>
            <w:noWrap w:val="0"/>
            <w:vAlign w:val="center"/>
          </w:tcPr>
          <w:p>
            <w:pPr>
              <w:ind w:firstLine="480"/>
              <w:rPr>
                <w:szCs w:val="21"/>
              </w:rPr>
            </w:pPr>
            <w:r>
              <w:rPr>
                <w:rFonts w:hint="eastAsia"/>
                <w:szCs w:val="21"/>
              </w:rPr>
              <w:t>加强科学精神和工匠精神教育</w:t>
            </w:r>
          </w:p>
        </w:tc>
        <w:tc>
          <w:tcPr>
            <w:tcW w:w="2400" w:type="dxa"/>
            <w:shd w:val="clear" w:color="auto" w:fill="auto"/>
            <w:noWrap w:val="0"/>
            <w:vAlign w:val="center"/>
          </w:tcPr>
          <w:p>
            <w:pPr>
              <w:ind w:firstLine="480"/>
              <w:rPr>
                <w:szCs w:val="21"/>
              </w:rPr>
            </w:pPr>
            <w:r>
              <w:rPr>
                <w:kern w:val="0"/>
                <w:szCs w:val="21"/>
              </w:rPr>
              <w:t>能够</w:t>
            </w:r>
            <w:r>
              <w:rPr>
                <w:rFonts w:hint="eastAsia"/>
                <w:kern w:val="0"/>
                <w:szCs w:val="21"/>
              </w:rPr>
              <w:t>理解并掌握化学反应式与化学反应计量方程和化学反应速率等基本概念</w:t>
            </w:r>
            <w:r>
              <w:rPr>
                <w:kern w:val="0"/>
                <w:szCs w:val="21"/>
              </w:rPr>
              <w:t>；能够</w:t>
            </w:r>
            <w:r>
              <w:rPr>
                <w:rFonts w:hint="eastAsia"/>
                <w:kern w:val="0"/>
                <w:szCs w:val="21"/>
              </w:rPr>
              <w:t>理解并掌握三种建立动力学方程的方法</w:t>
            </w:r>
            <w:r>
              <w:rPr>
                <w:kern w:val="0"/>
                <w:szCs w:val="21"/>
              </w:rPr>
              <w:t>；</w:t>
            </w:r>
            <w:r>
              <w:rPr>
                <w:rFonts w:hint="eastAsia"/>
                <w:kern w:val="0"/>
                <w:szCs w:val="21"/>
              </w:rPr>
              <w:t>熟练掌握不同情况下影响化学反应的浓度效应和温度效应</w:t>
            </w:r>
          </w:p>
        </w:tc>
        <w:tc>
          <w:tcPr>
            <w:tcW w:w="884" w:type="dxa"/>
            <w:shd w:val="clear" w:color="auto" w:fill="auto"/>
            <w:noWrap w:val="0"/>
            <w:vAlign w:val="center"/>
          </w:tcPr>
          <w:p>
            <w:pPr>
              <w:ind w:firstLine="0" w:firstLineChars="0"/>
              <w:rPr>
                <w:szCs w:val="21"/>
              </w:rPr>
            </w:pPr>
            <w:r>
              <w:rPr>
                <w:szCs w:val="21"/>
              </w:rPr>
              <w:t>4</w:t>
            </w:r>
          </w:p>
        </w:tc>
        <w:tc>
          <w:tcPr>
            <w:tcW w:w="833" w:type="dxa"/>
            <w:shd w:val="clear" w:color="auto" w:fill="auto"/>
            <w:noWrap w:val="0"/>
            <w:vAlign w:val="center"/>
          </w:tcPr>
          <w:p>
            <w:pPr>
              <w:ind w:firstLine="480"/>
              <w:rPr>
                <w:szCs w:val="21"/>
              </w:rPr>
            </w:pPr>
            <w:r>
              <w:rPr>
                <w:szCs w:val="21"/>
              </w:rPr>
              <w:t>讲授讨论/等</w:t>
            </w:r>
          </w:p>
        </w:tc>
        <w:tc>
          <w:tcPr>
            <w:tcW w:w="841" w:type="dxa"/>
            <w:shd w:val="clear" w:color="auto" w:fill="auto"/>
            <w:noWrap w:val="0"/>
            <w:vAlign w:val="center"/>
          </w:tcPr>
          <w:p>
            <w:pPr>
              <w:ind w:firstLine="482"/>
              <w:jc w:val="center"/>
              <w:rPr>
                <w:kern w:val="0"/>
                <w:szCs w:val="21"/>
              </w:rPr>
            </w:pPr>
            <w:r>
              <w:rPr>
                <w:b/>
                <w:kern w:val="0"/>
                <w:szCs w:val="21"/>
              </w:rPr>
              <w:t>目标1</w:t>
            </w:r>
          </w:p>
          <w:p>
            <w:pPr>
              <w:ind w:firstLine="482"/>
              <w:jc w:val="center"/>
              <w:rPr>
                <w:szCs w:val="21"/>
              </w:rPr>
            </w:pPr>
            <w:r>
              <w:rPr>
                <w:b/>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shd w:val="clear" w:color="auto" w:fill="auto"/>
            <w:noWrap w:val="0"/>
            <w:vAlign w:val="center"/>
          </w:tcPr>
          <w:p>
            <w:pPr>
              <w:ind w:firstLine="0" w:firstLineChars="0"/>
              <w:rPr>
                <w:szCs w:val="21"/>
              </w:rPr>
            </w:pPr>
            <w:r>
              <w:rPr>
                <w:szCs w:val="21"/>
              </w:rPr>
              <w:t>3</w:t>
            </w:r>
          </w:p>
        </w:tc>
        <w:tc>
          <w:tcPr>
            <w:tcW w:w="2683" w:type="dxa"/>
            <w:shd w:val="clear" w:color="auto" w:fill="auto"/>
            <w:noWrap w:val="0"/>
            <w:vAlign w:val="center"/>
          </w:tcPr>
          <w:p>
            <w:pPr>
              <w:ind w:firstLine="482"/>
              <w:rPr>
                <w:kern w:val="0"/>
                <w:szCs w:val="21"/>
              </w:rPr>
            </w:pPr>
            <w:r>
              <w:rPr>
                <w:rFonts w:hint="eastAsia"/>
                <w:b/>
                <w:kern w:val="0"/>
                <w:szCs w:val="21"/>
              </w:rPr>
              <w:t>理想间歇反应器：</w:t>
            </w:r>
            <w:r>
              <w:rPr>
                <w:rFonts w:hint="eastAsia"/>
                <w:kern w:val="0"/>
                <w:szCs w:val="21"/>
              </w:rPr>
              <w:t>反应器设计的基本方程、理想间歇反应器中的简单反应、自催化反应特性、可逆反应特性、平行反应特性、连串反应特性与反应器选型</w:t>
            </w:r>
          </w:p>
          <w:p>
            <w:pPr>
              <w:ind w:firstLine="482"/>
              <w:rPr>
                <w:rFonts w:hint="eastAsia"/>
                <w:bCs/>
                <w:kern w:val="0"/>
                <w:szCs w:val="21"/>
              </w:rPr>
            </w:pPr>
            <w:r>
              <w:rPr>
                <w:b/>
                <w:kern w:val="0"/>
                <w:szCs w:val="21"/>
              </w:rPr>
              <w:t>重点和难点</w:t>
            </w:r>
            <w:r>
              <w:rPr>
                <w:rFonts w:hint="eastAsia"/>
                <w:b/>
                <w:kern w:val="0"/>
                <w:szCs w:val="21"/>
              </w:rPr>
              <w:t>：</w:t>
            </w:r>
            <w:r>
              <w:rPr>
                <w:rFonts w:hint="eastAsia"/>
                <w:bCs/>
                <w:kern w:val="0"/>
                <w:szCs w:val="21"/>
              </w:rPr>
              <w:t>理想间歇反应器中简单反应基本方程、计算和反应特性、可逆反应特性</w:t>
            </w:r>
          </w:p>
        </w:tc>
        <w:tc>
          <w:tcPr>
            <w:tcW w:w="1033" w:type="dxa"/>
            <w:shd w:val="clear" w:color="auto" w:fill="auto"/>
            <w:noWrap w:val="0"/>
            <w:vAlign w:val="center"/>
          </w:tcPr>
          <w:p>
            <w:pPr>
              <w:ind w:firstLine="480"/>
              <w:rPr>
                <w:szCs w:val="21"/>
              </w:rPr>
            </w:pPr>
            <w:r>
              <w:rPr>
                <w:rFonts w:hint="eastAsia"/>
                <w:szCs w:val="21"/>
              </w:rPr>
              <w:t>加强生态文明教育，引导学生树立崇尚自然、尊重自然的理念</w:t>
            </w:r>
          </w:p>
        </w:tc>
        <w:tc>
          <w:tcPr>
            <w:tcW w:w="2400" w:type="dxa"/>
            <w:shd w:val="clear" w:color="auto" w:fill="auto"/>
            <w:noWrap w:val="0"/>
            <w:vAlign w:val="center"/>
          </w:tcPr>
          <w:p>
            <w:pPr>
              <w:ind w:firstLine="480"/>
              <w:rPr>
                <w:szCs w:val="21"/>
              </w:rPr>
            </w:pPr>
            <w:r>
              <w:rPr>
                <w:rFonts w:hint="eastAsia"/>
                <w:kern w:val="0"/>
                <w:szCs w:val="21"/>
              </w:rPr>
              <w:t>能够掌握理想间歇反应器中简单反应基本方程、计算和反应特性； 能够</w:t>
            </w:r>
            <w:r>
              <w:rPr>
                <w:rFonts w:hint="eastAsia"/>
              </w:rPr>
              <w:t>理解自催化反应特性</w:t>
            </w:r>
            <w:r>
              <w:rPr>
                <w:rFonts w:hint="eastAsia"/>
                <w:kern w:val="0"/>
                <w:szCs w:val="21"/>
              </w:rPr>
              <w:t>；能够掌握可逆反应特性；能够了解平行反应特性；能够了解串联反应特性</w:t>
            </w:r>
          </w:p>
        </w:tc>
        <w:tc>
          <w:tcPr>
            <w:tcW w:w="884" w:type="dxa"/>
            <w:shd w:val="clear" w:color="auto" w:fill="auto"/>
            <w:noWrap w:val="0"/>
            <w:vAlign w:val="center"/>
          </w:tcPr>
          <w:p>
            <w:pPr>
              <w:ind w:firstLine="0" w:firstLineChars="0"/>
              <w:rPr>
                <w:szCs w:val="21"/>
              </w:rPr>
            </w:pPr>
            <w:r>
              <w:rPr>
                <w:szCs w:val="21"/>
              </w:rPr>
              <w:t>8</w:t>
            </w:r>
          </w:p>
        </w:tc>
        <w:tc>
          <w:tcPr>
            <w:tcW w:w="833" w:type="dxa"/>
            <w:shd w:val="clear" w:color="auto" w:fill="auto"/>
            <w:noWrap w:val="0"/>
            <w:vAlign w:val="center"/>
          </w:tcPr>
          <w:p>
            <w:pPr>
              <w:ind w:firstLine="480"/>
              <w:rPr>
                <w:szCs w:val="21"/>
              </w:rPr>
            </w:pPr>
            <w:r>
              <w:rPr>
                <w:szCs w:val="21"/>
              </w:rPr>
              <w:t>讲授/讨论/等</w:t>
            </w:r>
          </w:p>
        </w:tc>
        <w:tc>
          <w:tcPr>
            <w:tcW w:w="841" w:type="dxa"/>
            <w:shd w:val="clear" w:color="auto" w:fill="auto"/>
            <w:noWrap w:val="0"/>
            <w:vAlign w:val="center"/>
          </w:tcPr>
          <w:p>
            <w:pPr>
              <w:jc w:val="both"/>
              <w:rPr>
                <w:kern w:val="0"/>
                <w:szCs w:val="21"/>
              </w:rPr>
            </w:pPr>
            <w:r>
              <w:rPr>
                <w:b/>
                <w:kern w:val="0"/>
                <w:szCs w:val="21"/>
              </w:rPr>
              <w:t>目标1</w:t>
            </w:r>
          </w:p>
          <w:p>
            <w:pPr>
              <w:jc w:val="both"/>
              <w:rPr>
                <w:szCs w:val="21"/>
              </w:rPr>
            </w:pPr>
            <w:r>
              <w:rPr>
                <w:b/>
                <w:kern w:val="0"/>
                <w:szCs w:val="21"/>
              </w:rPr>
              <w:t>目标2</w:t>
            </w:r>
          </w:p>
        </w:tc>
      </w:tr>
    </w:tbl>
    <w:p>
      <w:pPr>
        <w:ind w:firstLine="480"/>
      </w:pPr>
      <w:r>
        <w:br w:type="page"/>
      </w:r>
    </w:p>
    <w:tbl>
      <w:tblPr>
        <w:tblStyle w:val="10"/>
        <w:tblW w:w="9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1"/>
        <w:gridCol w:w="2198"/>
        <w:gridCol w:w="906"/>
        <w:gridCol w:w="2387"/>
        <w:gridCol w:w="906"/>
        <w:gridCol w:w="906"/>
        <w:gridCol w:w="1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0" w:type="dxa"/>
            <w:shd w:val="clear" w:color="auto" w:fill="auto"/>
            <w:noWrap w:val="0"/>
            <w:vAlign w:val="center"/>
          </w:tcPr>
          <w:p>
            <w:pPr>
              <w:ind w:firstLine="480"/>
              <w:jc w:val="left"/>
              <w:rPr>
                <w:szCs w:val="21"/>
              </w:rPr>
            </w:pPr>
            <w:r>
              <w:rPr>
                <w:szCs w:val="21"/>
              </w:rPr>
              <w:t>4</w:t>
            </w:r>
          </w:p>
        </w:tc>
        <w:tc>
          <w:tcPr>
            <w:tcW w:w="2402" w:type="dxa"/>
            <w:shd w:val="clear" w:color="auto" w:fill="auto"/>
            <w:noWrap w:val="0"/>
            <w:vAlign w:val="center"/>
          </w:tcPr>
          <w:p>
            <w:pPr>
              <w:ind w:firstLine="482"/>
              <w:rPr>
                <w:kern w:val="0"/>
                <w:szCs w:val="21"/>
              </w:rPr>
            </w:pPr>
            <w:r>
              <w:rPr>
                <w:rFonts w:hint="eastAsia"/>
                <w:b/>
                <w:kern w:val="0"/>
                <w:szCs w:val="21"/>
              </w:rPr>
              <w:tab/>
            </w:r>
            <w:r>
              <w:rPr>
                <w:rFonts w:hint="eastAsia"/>
                <w:b/>
                <w:kern w:val="0"/>
                <w:szCs w:val="21"/>
              </w:rPr>
              <w:t>理想管式反应器：</w:t>
            </w:r>
            <w:r>
              <w:rPr>
                <w:rFonts w:hint="eastAsia"/>
                <w:kern w:val="0"/>
                <w:szCs w:val="21"/>
              </w:rPr>
              <w:t>理想流动管式反应器的特点、理想流动管式反应器基本方程式、空时、空速和停留时间、反应前后分子数变化的气相反应</w:t>
            </w:r>
          </w:p>
          <w:p>
            <w:pPr>
              <w:ind w:firstLine="482"/>
              <w:rPr>
                <w:kern w:val="0"/>
                <w:szCs w:val="21"/>
              </w:rPr>
            </w:pPr>
            <w:r>
              <w:rPr>
                <w:b/>
                <w:kern w:val="0"/>
                <w:szCs w:val="21"/>
              </w:rPr>
              <w:t>重点和难点：</w:t>
            </w:r>
            <w:r>
              <w:rPr>
                <w:rFonts w:hint="eastAsia"/>
                <w:kern w:val="0"/>
                <w:szCs w:val="21"/>
              </w:rPr>
              <w:t>理想管式反应器的特点、分子数变化的气相反应</w:t>
            </w:r>
          </w:p>
        </w:tc>
        <w:tc>
          <w:tcPr>
            <w:tcW w:w="780" w:type="dxa"/>
            <w:shd w:val="clear" w:color="auto" w:fill="auto"/>
            <w:noWrap w:val="0"/>
            <w:vAlign w:val="center"/>
          </w:tcPr>
          <w:p>
            <w:pPr>
              <w:autoSpaceDE w:val="0"/>
              <w:autoSpaceDN w:val="0"/>
              <w:ind w:firstLine="480"/>
              <w:rPr>
                <w:szCs w:val="21"/>
              </w:rPr>
            </w:pPr>
            <w:r>
              <w:rPr>
                <w:rFonts w:hint="eastAsia"/>
                <w:szCs w:val="21"/>
              </w:rPr>
              <w:t>增强学生投身生态文明建设的责任感、使命感</w:t>
            </w:r>
          </w:p>
        </w:tc>
        <w:tc>
          <w:tcPr>
            <w:tcW w:w="2622" w:type="dxa"/>
            <w:shd w:val="clear" w:color="auto" w:fill="auto"/>
            <w:noWrap w:val="0"/>
            <w:vAlign w:val="center"/>
          </w:tcPr>
          <w:p>
            <w:pPr>
              <w:autoSpaceDE w:val="0"/>
              <w:autoSpaceDN w:val="0"/>
              <w:ind w:firstLine="480"/>
              <w:rPr>
                <w:szCs w:val="21"/>
              </w:rPr>
            </w:pPr>
            <w:r>
              <w:rPr>
                <w:rFonts w:hint="eastAsia"/>
                <w:szCs w:val="21"/>
              </w:rPr>
              <w:t>能够理解理想流动管式反应器的特点；理想流动管式反应器基本方程式；掌握空时、空速和停留时间等基本概念。能够熟练掌握反应前后分子数变化的气相反应</w:t>
            </w:r>
          </w:p>
        </w:tc>
        <w:tc>
          <w:tcPr>
            <w:tcW w:w="756" w:type="dxa"/>
            <w:shd w:val="clear" w:color="auto" w:fill="auto"/>
            <w:noWrap w:val="0"/>
            <w:vAlign w:val="center"/>
          </w:tcPr>
          <w:p>
            <w:pPr>
              <w:ind w:firstLine="480"/>
              <w:jc w:val="center"/>
              <w:rPr>
                <w:szCs w:val="21"/>
              </w:rPr>
            </w:pPr>
            <w:r>
              <w:rPr>
                <w:szCs w:val="21"/>
              </w:rPr>
              <w:t>4</w:t>
            </w:r>
          </w:p>
        </w:tc>
        <w:tc>
          <w:tcPr>
            <w:tcW w:w="850" w:type="dxa"/>
            <w:shd w:val="clear" w:color="auto" w:fill="auto"/>
            <w:noWrap w:val="0"/>
            <w:vAlign w:val="center"/>
          </w:tcPr>
          <w:p>
            <w:pPr>
              <w:ind w:firstLine="480"/>
              <w:rPr>
                <w:szCs w:val="21"/>
              </w:rPr>
            </w:pPr>
            <w:r>
              <w:rPr>
                <w:szCs w:val="21"/>
              </w:rPr>
              <w:t>讲授讨论/等</w:t>
            </w:r>
          </w:p>
        </w:tc>
        <w:tc>
          <w:tcPr>
            <w:tcW w:w="1087" w:type="dxa"/>
            <w:shd w:val="clear" w:color="auto" w:fill="auto"/>
            <w:noWrap w:val="0"/>
            <w:vAlign w:val="center"/>
          </w:tcPr>
          <w:p>
            <w:pPr>
              <w:ind w:firstLine="482"/>
              <w:jc w:val="center"/>
              <w:rPr>
                <w:kern w:val="0"/>
                <w:szCs w:val="21"/>
              </w:rPr>
            </w:pPr>
            <w:r>
              <w:rPr>
                <w:b/>
                <w:kern w:val="0"/>
                <w:szCs w:val="21"/>
              </w:rPr>
              <w:t>目标1</w:t>
            </w:r>
          </w:p>
          <w:p>
            <w:pPr>
              <w:ind w:firstLine="482"/>
              <w:jc w:val="center"/>
              <w:rPr>
                <w:szCs w:val="21"/>
              </w:rPr>
            </w:pPr>
            <w:r>
              <w:rPr>
                <w:b/>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0" w:type="dxa"/>
            <w:shd w:val="clear" w:color="auto" w:fill="auto"/>
            <w:noWrap w:val="0"/>
            <w:vAlign w:val="center"/>
          </w:tcPr>
          <w:p>
            <w:pPr>
              <w:ind w:firstLine="480"/>
              <w:jc w:val="center"/>
              <w:rPr>
                <w:szCs w:val="21"/>
              </w:rPr>
            </w:pPr>
            <w:r>
              <w:rPr>
                <w:szCs w:val="21"/>
              </w:rPr>
              <w:t>5</w:t>
            </w:r>
          </w:p>
        </w:tc>
        <w:tc>
          <w:tcPr>
            <w:tcW w:w="2402" w:type="dxa"/>
            <w:shd w:val="clear" w:color="auto" w:fill="auto"/>
            <w:noWrap w:val="0"/>
            <w:vAlign w:val="center"/>
          </w:tcPr>
          <w:p>
            <w:pPr>
              <w:ind w:firstLine="482"/>
              <w:rPr>
                <w:kern w:val="0"/>
                <w:szCs w:val="21"/>
              </w:rPr>
            </w:pPr>
            <w:r>
              <w:rPr>
                <w:rFonts w:hint="eastAsia"/>
                <w:b/>
                <w:kern w:val="0"/>
                <w:szCs w:val="21"/>
              </w:rPr>
              <w:t>理想流动釜式反应器：</w:t>
            </w:r>
            <w:r>
              <w:rPr>
                <w:rFonts w:hint="eastAsia"/>
                <w:kern w:val="0"/>
                <w:szCs w:val="21"/>
              </w:rPr>
              <w:t>理想流动釜式反应器基本特征、基本计算、浓度分布与返混、返混的分析与讨论</w:t>
            </w:r>
          </w:p>
          <w:p>
            <w:pPr>
              <w:ind w:firstLine="482"/>
              <w:rPr>
                <w:kern w:val="0"/>
                <w:szCs w:val="21"/>
              </w:rPr>
            </w:pPr>
            <w:r>
              <w:rPr>
                <w:b/>
                <w:kern w:val="0"/>
                <w:szCs w:val="21"/>
              </w:rPr>
              <w:t>重点和难点：</w:t>
            </w:r>
            <w:r>
              <w:rPr>
                <w:rFonts w:hint="eastAsia"/>
                <w:kern w:val="0"/>
                <w:szCs w:val="21"/>
              </w:rPr>
              <w:t>CSTR基本特征、CSTR的返混及分析讨论</w:t>
            </w:r>
          </w:p>
        </w:tc>
        <w:tc>
          <w:tcPr>
            <w:tcW w:w="780" w:type="dxa"/>
            <w:shd w:val="clear" w:color="auto" w:fill="auto"/>
            <w:noWrap w:val="0"/>
            <w:vAlign w:val="center"/>
          </w:tcPr>
          <w:p>
            <w:pPr>
              <w:ind w:firstLine="480"/>
              <w:rPr>
                <w:szCs w:val="21"/>
              </w:rPr>
            </w:pPr>
            <w:r>
              <w:rPr>
                <w:rFonts w:hint="eastAsia"/>
                <w:szCs w:val="21"/>
              </w:rPr>
              <w:t>加强科学精神和工匠精神教育</w:t>
            </w:r>
          </w:p>
        </w:tc>
        <w:tc>
          <w:tcPr>
            <w:tcW w:w="2622" w:type="dxa"/>
            <w:shd w:val="clear" w:color="auto" w:fill="auto"/>
            <w:noWrap w:val="0"/>
            <w:vAlign w:val="center"/>
          </w:tcPr>
          <w:p>
            <w:pPr>
              <w:ind w:firstLine="480"/>
              <w:rPr>
                <w:szCs w:val="21"/>
              </w:rPr>
            </w:pPr>
            <w:r>
              <w:rPr>
                <w:rFonts w:hint="eastAsia"/>
                <w:szCs w:val="21"/>
              </w:rPr>
              <w:t>能够理解理想流动釜式反应器的基本特征；能够熟练掌握理想流动反应器的基本计算；能够理解理想流动反应器的返混及分析讨论</w:t>
            </w:r>
          </w:p>
        </w:tc>
        <w:tc>
          <w:tcPr>
            <w:tcW w:w="756" w:type="dxa"/>
            <w:shd w:val="clear" w:color="auto" w:fill="auto"/>
            <w:noWrap w:val="0"/>
            <w:vAlign w:val="center"/>
          </w:tcPr>
          <w:p>
            <w:pPr>
              <w:ind w:firstLine="480"/>
              <w:jc w:val="center"/>
              <w:rPr>
                <w:szCs w:val="21"/>
              </w:rPr>
            </w:pPr>
            <w:r>
              <w:rPr>
                <w:szCs w:val="21"/>
              </w:rPr>
              <w:t>8</w:t>
            </w:r>
          </w:p>
        </w:tc>
        <w:tc>
          <w:tcPr>
            <w:tcW w:w="850" w:type="dxa"/>
            <w:shd w:val="clear" w:color="auto" w:fill="auto"/>
            <w:noWrap w:val="0"/>
            <w:vAlign w:val="center"/>
          </w:tcPr>
          <w:p>
            <w:pPr>
              <w:ind w:firstLine="480"/>
              <w:rPr>
                <w:szCs w:val="21"/>
              </w:rPr>
            </w:pPr>
            <w:r>
              <w:rPr>
                <w:szCs w:val="21"/>
              </w:rPr>
              <w:t>讲授/讨论/等</w:t>
            </w:r>
          </w:p>
        </w:tc>
        <w:tc>
          <w:tcPr>
            <w:tcW w:w="1087" w:type="dxa"/>
            <w:shd w:val="clear" w:color="auto" w:fill="auto"/>
            <w:noWrap w:val="0"/>
            <w:vAlign w:val="center"/>
          </w:tcPr>
          <w:p>
            <w:pPr>
              <w:ind w:firstLine="482"/>
              <w:jc w:val="center"/>
              <w:rPr>
                <w:b/>
                <w:kern w:val="0"/>
                <w:szCs w:val="21"/>
              </w:rPr>
            </w:pPr>
            <w:r>
              <w:rPr>
                <w:b/>
                <w:kern w:val="0"/>
                <w:szCs w:val="21"/>
              </w:rPr>
              <w:t>目标3</w:t>
            </w:r>
          </w:p>
          <w:p>
            <w:pPr>
              <w:ind w:firstLine="482"/>
              <w:jc w:val="center"/>
              <w:rPr>
                <w:szCs w:val="21"/>
              </w:rPr>
            </w:pPr>
            <w:r>
              <w:rPr>
                <w:b/>
                <w:kern w:val="0"/>
                <w:szCs w:val="21"/>
              </w:rPr>
              <w:t>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670" w:type="dxa"/>
            <w:shd w:val="clear" w:color="auto" w:fill="auto"/>
            <w:noWrap w:val="0"/>
            <w:vAlign w:val="center"/>
          </w:tcPr>
          <w:p>
            <w:pPr>
              <w:ind w:firstLine="480"/>
              <w:jc w:val="center"/>
              <w:rPr>
                <w:szCs w:val="21"/>
              </w:rPr>
            </w:pPr>
            <w:r>
              <w:rPr>
                <w:rFonts w:hint="eastAsia"/>
                <w:szCs w:val="21"/>
              </w:rPr>
              <w:t>6</w:t>
            </w:r>
          </w:p>
        </w:tc>
        <w:tc>
          <w:tcPr>
            <w:tcW w:w="2402" w:type="dxa"/>
            <w:shd w:val="clear" w:color="auto" w:fill="auto"/>
            <w:noWrap w:val="0"/>
            <w:vAlign w:val="center"/>
          </w:tcPr>
          <w:p>
            <w:pPr>
              <w:ind w:firstLine="482"/>
              <w:jc w:val="center"/>
            </w:pPr>
            <w:r>
              <w:rPr>
                <w:rFonts w:hint="eastAsia"/>
                <w:b/>
                <w:kern w:val="0"/>
                <w:szCs w:val="21"/>
              </w:rPr>
              <w:t>反应器选型与操作优化：</w:t>
            </w:r>
            <w:r>
              <w:rPr>
                <w:rFonts w:hint="eastAsia"/>
              </w:rPr>
              <w:t>概述、简单反应过程的比较、自催化反应过程的优化、可逆反应的优化、平行反应的优化、串联反应过程的优化。</w:t>
            </w:r>
          </w:p>
          <w:p>
            <w:pPr>
              <w:ind w:firstLine="482"/>
              <w:jc w:val="center"/>
              <w:rPr>
                <w:rFonts w:hint="eastAsia"/>
                <w:b/>
                <w:kern w:val="0"/>
                <w:szCs w:val="21"/>
              </w:rPr>
            </w:pPr>
            <w:r>
              <w:rPr>
                <w:b/>
                <w:kern w:val="0"/>
                <w:szCs w:val="21"/>
              </w:rPr>
              <w:t>重点和难点：</w:t>
            </w:r>
            <w:r>
              <w:rPr>
                <w:rFonts w:hint="eastAsia"/>
                <w:kern w:val="0"/>
                <w:szCs w:val="21"/>
              </w:rPr>
              <w:t>简单反应过程的比较、可逆吸热和可逆放热反应的优化</w:t>
            </w:r>
          </w:p>
        </w:tc>
        <w:tc>
          <w:tcPr>
            <w:tcW w:w="780" w:type="dxa"/>
            <w:shd w:val="clear" w:color="auto" w:fill="auto"/>
            <w:noWrap w:val="0"/>
            <w:vAlign w:val="center"/>
          </w:tcPr>
          <w:p>
            <w:pPr>
              <w:ind w:firstLine="480"/>
              <w:jc w:val="center"/>
              <w:rPr>
                <w:szCs w:val="21"/>
              </w:rPr>
            </w:pPr>
            <w:r>
              <w:rPr>
                <w:rFonts w:hint="eastAsia"/>
                <w:szCs w:val="21"/>
              </w:rPr>
              <w:t>加强生态文明教育，引导学生树立崇尚自然、尊重自然的理念</w:t>
            </w:r>
          </w:p>
        </w:tc>
        <w:tc>
          <w:tcPr>
            <w:tcW w:w="2622" w:type="dxa"/>
            <w:shd w:val="clear" w:color="auto" w:fill="auto"/>
            <w:noWrap w:val="0"/>
            <w:vAlign w:val="center"/>
          </w:tcPr>
          <w:p>
            <w:pPr>
              <w:ind w:firstLine="480"/>
              <w:jc w:val="center"/>
              <w:rPr>
                <w:rFonts w:hint="eastAsia"/>
                <w:kern w:val="0"/>
                <w:szCs w:val="21"/>
              </w:rPr>
            </w:pPr>
            <w:r>
              <w:rPr>
                <w:rFonts w:hint="eastAsia"/>
                <w:kern w:val="0"/>
                <w:szCs w:val="21"/>
              </w:rPr>
              <w:t>能够了解反应器优化目的、技术指标等。能够理解简单反应在三种理想反应器中的比较；能够理解自催化、平行反应和串联反应的优化；能够熟练掌握可逆反应的优化</w:t>
            </w:r>
          </w:p>
        </w:tc>
        <w:tc>
          <w:tcPr>
            <w:tcW w:w="756" w:type="dxa"/>
            <w:shd w:val="clear" w:color="auto" w:fill="auto"/>
            <w:noWrap w:val="0"/>
            <w:vAlign w:val="center"/>
          </w:tcPr>
          <w:p>
            <w:pPr>
              <w:ind w:firstLine="480"/>
              <w:jc w:val="center"/>
              <w:rPr>
                <w:szCs w:val="21"/>
              </w:rPr>
            </w:pPr>
            <w:r>
              <w:rPr>
                <w:rFonts w:hint="eastAsia"/>
                <w:szCs w:val="21"/>
              </w:rPr>
              <w:t>6</w:t>
            </w:r>
          </w:p>
        </w:tc>
        <w:tc>
          <w:tcPr>
            <w:tcW w:w="850" w:type="dxa"/>
            <w:shd w:val="clear" w:color="auto" w:fill="auto"/>
            <w:noWrap w:val="0"/>
            <w:vAlign w:val="center"/>
          </w:tcPr>
          <w:p>
            <w:pPr>
              <w:ind w:firstLine="480"/>
              <w:jc w:val="center"/>
              <w:rPr>
                <w:szCs w:val="21"/>
              </w:rPr>
            </w:pPr>
            <w:r>
              <w:rPr>
                <w:szCs w:val="21"/>
              </w:rPr>
              <w:t>讲授/讨论/等</w:t>
            </w:r>
          </w:p>
        </w:tc>
        <w:tc>
          <w:tcPr>
            <w:tcW w:w="1087" w:type="dxa"/>
            <w:shd w:val="clear" w:color="auto" w:fill="auto"/>
            <w:noWrap w:val="0"/>
            <w:vAlign w:val="center"/>
          </w:tcPr>
          <w:p>
            <w:pPr>
              <w:ind w:firstLine="482"/>
              <w:jc w:val="center"/>
              <w:rPr>
                <w:b/>
                <w:kern w:val="0"/>
                <w:szCs w:val="21"/>
              </w:rPr>
            </w:pPr>
            <w:r>
              <w:rPr>
                <w:b/>
                <w:kern w:val="0"/>
                <w:szCs w:val="21"/>
              </w:rPr>
              <w:t>目标3</w:t>
            </w:r>
          </w:p>
          <w:p>
            <w:pPr>
              <w:ind w:firstLine="482"/>
              <w:jc w:val="center"/>
              <w:rPr>
                <w:b/>
                <w:kern w:val="0"/>
                <w:szCs w:val="21"/>
              </w:rPr>
            </w:pPr>
            <w:r>
              <w:rPr>
                <w:b/>
                <w:kern w:val="0"/>
                <w:szCs w:val="21"/>
              </w:rPr>
              <w:t>目标4</w:t>
            </w:r>
          </w:p>
          <w:p>
            <w:pPr>
              <w:ind w:firstLine="482"/>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670" w:type="dxa"/>
            <w:shd w:val="clear" w:color="auto" w:fill="auto"/>
            <w:noWrap w:val="0"/>
            <w:vAlign w:val="center"/>
          </w:tcPr>
          <w:p>
            <w:pPr>
              <w:ind w:firstLine="480"/>
              <w:jc w:val="center"/>
              <w:rPr>
                <w:rFonts w:hint="eastAsia"/>
                <w:szCs w:val="21"/>
              </w:rPr>
            </w:pPr>
            <w:r>
              <w:rPr>
                <w:rFonts w:hint="eastAsia"/>
                <w:szCs w:val="21"/>
              </w:rPr>
              <w:t>7</w:t>
            </w:r>
          </w:p>
        </w:tc>
        <w:tc>
          <w:tcPr>
            <w:tcW w:w="2402" w:type="dxa"/>
            <w:shd w:val="clear" w:color="auto" w:fill="auto"/>
            <w:noWrap w:val="0"/>
            <w:vAlign w:val="center"/>
          </w:tcPr>
          <w:p>
            <w:pPr>
              <w:ind w:firstLine="482"/>
              <w:jc w:val="center"/>
              <w:rPr>
                <w:kern w:val="0"/>
                <w:szCs w:val="21"/>
              </w:rPr>
            </w:pPr>
            <w:r>
              <w:rPr>
                <w:rFonts w:hint="eastAsia"/>
                <w:b/>
                <w:kern w:val="0"/>
                <w:szCs w:val="21"/>
              </w:rPr>
              <w:t>气固相催化反应动力学：</w:t>
            </w:r>
            <w:r>
              <w:rPr>
                <w:rFonts w:hint="eastAsia"/>
                <w:kern w:val="0"/>
                <w:szCs w:val="21"/>
              </w:rPr>
              <w:t>气固相催化反应本征动力学、气固相催化反应动力学的测定方法</w:t>
            </w:r>
          </w:p>
          <w:p>
            <w:pPr>
              <w:ind w:firstLine="482"/>
              <w:jc w:val="center"/>
              <w:rPr>
                <w:rFonts w:hint="eastAsia"/>
                <w:kern w:val="0"/>
                <w:szCs w:val="21"/>
              </w:rPr>
            </w:pPr>
            <w:r>
              <w:rPr>
                <w:b/>
                <w:kern w:val="0"/>
                <w:szCs w:val="21"/>
              </w:rPr>
              <w:t>重点和难点：</w:t>
            </w:r>
            <w:r>
              <w:rPr>
                <w:rFonts w:hint="eastAsia"/>
                <w:kern w:val="0"/>
                <w:szCs w:val="21"/>
              </w:rPr>
              <w:t>气固相催化反应与热质传递、</w:t>
            </w:r>
            <w:r>
              <w:t>气固相催化反应的基本特征</w:t>
            </w:r>
          </w:p>
        </w:tc>
        <w:tc>
          <w:tcPr>
            <w:tcW w:w="780" w:type="dxa"/>
            <w:shd w:val="clear" w:color="auto" w:fill="auto"/>
            <w:noWrap w:val="0"/>
            <w:vAlign w:val="center"/>
          </w:tcPr>
          <w:p>
            <w:pPr>
              <w:ind w:firstLine="480"/>
              <w:jc w:val="center"/>
              <w:rPr>
                <w:szCs w:val="21"/>
              </w:rPr>
            </w:pPr>
            <w:r>
              <w:rPr>
                <w:rFonts w:hint="eastAsia"/>
                <w:szCs w:val="21"/>
              </w:rPr>
              <w:t>增强学生投身生态文明建设的责任感、使命感</w:t>
            </w:r>
          </w:p>
        </w:tc>
        <w:tc>
          <w:tcPr>
            <w:tcW w:w="2622" w:type="dxa"/>
            <w:shd w:val="clear" w:color="auto" w:fill="auto"/>
            <w:noWrap w:val="0"/>
            <w:vAlign w:val="center"/>
          </w:tcPr>
          <w:p>
            <w:pPr>
              <w:ind w:firstLine="480"/>
              <w:jc w:val="center"/>
              <w:rPr>
                <w:kern w:val="0"/>
                <w:szCs w:val="21"/>
              </w:rPr>
            </w:pPr>
            <w:r>
              <w:rPr>
                <w:rFonts w:hint="eastAsia"/>
                <w:kern w:val="0"/>
                <w:szCs w:val="21"/>
              </w:rPr>
              <w:t>能够理解</w:t>
            </w:r>
          </w:p>
          <w:p>
            <w:pPr>
              <w:ind w:firstLine="480"/>
              <w:jc w:val="center"/>
              <w:rPr>
                <w:rFonts w:hint="eastAsia"/>
                <w:kern w:val="0"/>
                <w:szCs w:val="21"/>
              </w:rPr>
            </w:pPr>
            <w:r>
              <w:rPr>
                <w:rFonts w:hint="eastAsia"/>
                <w:kern w:val="0"/>
                <w:szCs w:val="21"/>
              </w:rPr>
              <w:t>气固相催化反应与热质传递过程；了解气固相催化反应的基本特征；能够熟练掌握气固相催化反应的动力学表达式；了解气固相催化反应动力学的测定方法。</w:t>
            </w:r>
          </w:p>
        </w:tc>
        <w:tc>
          <w:tcPr>
            <w:tcW w:w="756" w:type="dxa"/>
            <w:shd w:val="clear" w:color="auto" w:fill="auto"/>
            <w:noWrap w:val="0"/>
            <w:vAlign w:val="center"/>
          </w:tcPr>
          <w:p>
            <w:pPr>
              <w:ind w:firstLine="480"/>
              <w:jc w:val="center"/>
              <w:rPr>
                <w:szCs w:val="21"/>
              </w:rPr>
            </w:pPr>
            <w:r>
              <w:rPr>
                <w:rFonts w:hint="eastAsia"/>
                <w:szCs w:val="21"/>
              </w:rPr>
              <w:t>6</w:t>
            </w:r>
          </w:p>
        </w:tc>
        <w:tc>
          <w:tcPr>
            <w:tcW w:w="850" w:type="dxa"/>
            <w:shd w:val="clear" w:color="auto" w:fill="auto"/>
            <w:noWrap w:val="0"/>
            <w:vAlign w:val="center"/>
          </w:tcPr>
          <w:p>
            <w:pPr>
              <w:ind w:firstLine="480"/>
              <w:jc w:val="center"/>
              <w:rPr>
                <w:szCs w:val="21"/>
              </w:rPr>
            </w:pPr>
            <w:r>
              <w:rPr>
                <w:szCs w:val="21"/>
              </w:rPr>
              <w:t>讲授/讨论/等</w:t>
            </w:r>
          </w:p>
        </w:tc>
        <w:tc>
          <w:tcPr>
            <w:tcW w:w="1087" w:type="dxa"/>
            <w:shd w:val="clear" w:color="auto" w:fill="auto"/>
            <w:noWrap w:val="0"/>
            <w:vAlign w:val="center"/>
          </w:tcPr>
          <w:p>
            <w:pPr>
              <w:ind w:firstLine="482"/>
              <w:jc w:val="center"/>
              <w:rPr>
                <w:b/>
                <w:kern w:val="0"/>
                <w:szCs w:val="21"/>
              </w:rPr>
            </w:pPr>
            <w:r>
              <w:rPr>
                <w:b/>
                <w:kern w:val="0"/>
                <w:szCs w:val="21"/>
              </w:rPr>
              <w:t>目标3</w:t>
            </w:r>
          </w:p>
          <w:p>
            <w:pPr>
              <w:ind w:firstLine="482"/>
              <w:jc w:val="center"/>
              <w:rPr>
                <w:b/>
                <w:kern w:val="0"/>
                <w:szCs w:val="21"/>
              </w:rPr>
            </w:pPr>
            <w:r>
              <w:rPr>
                <w:b/>
                <w:kern w:val="0"/>
                <w:szCs w:val="21"/>
              </w:rPr>
              <w:t>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670" w:type="dxa"/>
            <w:shd w:val="clear" w:color="auto" w:fill="auto"/>
            <w:noWrap w:val="0"/>
            <w:vAlign w:val="center"/>
          </w:tcPr>
          <w:p>
            <w:pPr>
              <w:ind w:firstLine="480"/>
              <w:jc w:val="center"/>
              <w:rPr>
                <w:rFonts w:hint="eastAsia"/>
                <w:szCs w:val="21"/>
              </w:rPr>
            </w:pPr>
            <w:r>
              <w:rPr>
                <w:rFonts w:hint="eastAsia"/>
                <w:szCs w:val="21"/>
              </w:rPr>
              <w:t>8</w:t>
            </w:r>
          </w:p>
        </w:tc>
        <w:tc>
          <w:tcPr>
            <w:tcW w:w="2402" w:type="dxa"/>
            <w:shd w:val="clear" w:color="auto" w:fill="auto"/>
            <w:noWrap w:val="0"/>
            <w:vAlign w:val="center"/>
          </w:tcPr>
          <w:p>
            <w:pPr>
              <w:ind w:firstLine="482"/>
              <w:jc w:val="center"/>
              <w:rPr>
                <w:kern w:val="0"/>
                <w:szCs w:val="21"/>
              </w:rPr>
            </w:pPr>
            <w:r>
              <w:rPr>
                <w:rFonts w:hint="eastAsia"/>
                <w:b/>
                <w:kern w:val="0"/>
                <w:szCs w:val="21"/>
              </w:rPr>
              <w:t>气固催化反应过程的传递现象：</w:t>
            </w:r>
            <w:r>
              <w:rPr>
                <w:rFonts w:hint="eastAsia"/>
                <w:kern w:val="0"/>
                <w:szCs w:val="21"/>
              </w:rPr>
              <w:t>研究方法、等温条件下的外部传质过程、等温条件下的内部传质过程、固体催化剂的工程设计</w:t>
            </w:r>
          </w:p>
          <w:p>
            <w:pPr>
              <w:ind w:firstLine="482"/>
              <w:jc w:val="center"/>
              <w:rPr>
                <w:rFonts w:hint="eastAsia"/>
                <w:b/>
                <w:kern w:val="0"/>
                <w:szCs w:val="21"/>
              </w:rPr>
            </w:pPr>
            <w:r>
              <w:rPr>
                <w:b/>
                <w:kern w:val="0"/>
                <w:szCs w:val="21"/>
              </w:rPr>
              <w:t>重点和难点：</w:t>
            </w:r>
            <w:r>
              <w:rPr>
                <w:rFonts w:hint="eastAsia"/>
                <w:bCs/>
                <w:kern w:val="0"/>
                <w:szCs w:val="21"/>
              </w:rPr>
              <w:t>等温条件下的外部和内部传质过程、固体催化剂的设计</w:t>
            </w:r>
          </w:p>
        </w:tc>
        <w:tc>
          <w:tcPr>
            <w:tcW w:w="780" w:type="dxa"/>
            <w:shd w:val="clear" w:color="auto" w:fill="auto"/>
            <w:noWrap w:val="0"/>
            <w:vAlign w:val="center"/>
          </w:tcPr>
          <w:p>
            <w:pPr>
              <w:ind w:firstLine="480"/>
              <w:jc w:val="center"/>
              <w:rPr>
                <w:szCs w:val="21"/>
              </w:rPr>
            </w:pPr>
            <w:r>
              <w:rPr>
                <w:rFonts w:hint="eastAsia"/>
                <w:szCs w:val="21"/>
              </w:rPr>
              <w:t>加强科学精神和工匠精神教育</w:t>
            </w:r>
          </w:p>
        </w:tc>
        <w:tc>
          <w:tcPr>
            <w:tcW w:w="2622" w:type="dxa"/>
            <w:shd w:val="clear" w:color="auto" w:fill="auto"/>
            <w:noWrap w:val="0"/>
            <w:vAlign w:val="center"/>
          </w:tcPr>
          <w:p>
            <w:pPr>
              <w:ind w:firstLine="480"/>
              <w:jc w:val="center"/>
              <w:rPr>
                <w:rFonts w:hint="eastAsia"/>
                <w:kern w:val="0"/>
                <w:szCs w:val="21"/>
              </w:rPr>
            </w:pPr>
            <w:r>
              <w:rPr>
                <w:rFonts w:hint="eastAsia"/>
                <w:kern w:val="0"/>
                <w:szCs w:val="21"/>
              </w:rPr>
              <w:t>能够了解气固相催化反应过程的两种研究方法；能够熟练掌握等温条件下外部传质过程中的反应速率与传递速率、极限反应速率与极限传质速率、外部效率因子、外扩散对反应结果的影响、流速对颗粒外部传质的影响；能够熟练掌握催化剂颗粒内的浓度分布、内部效率因子、内扩散对反应结果的影响、内扩散的消除方法；能够理解催化剂颗粒的形状和大小、催化剂颗粒内的活性组分分布方式及孔径分布</w:t>
            </w:r>
          </w:p>
        </w:tc>
        <w:tc>
          <w:tcPr>
            <w:tcW w:w="756" w:type="dxa"/>
            <w:shd w:val="clear" w:color="auto" w:fill="auto"/>
            <w:noWrap w:val="0"/>
            <w:vAlign w:val="center"/>
          </w:tcPr>
          <w:p>
            <w:pPr>
              <w:ind w:firstLine="480"/>
              <w:jc w:val="center"/>
              <w:rPr>
                <w:szCs w:val="21"/>
              </w:rPr>
            </w:pPr>
            <w:r>
              <w:rPr>
                <w:rFonts w:hint="eastAsia"/>
                <w:szCs w:val="21"/>
              </w:rPr>
              <w:t>10</w:t>
            </w:r>
          </w:p>
        </w:tc>
        <w:tc>
          <w:tcPr>
            <w:tcW w:w="850" w:type="dxa"/>
            <w:shd w:val="clear" w:color="auto" w:fill="auto"/>
            <w:noWrap w:val="0"/>
            <w:vAlign w:val="center"/>
          </w:tcPr>
          <w:p>
            <w:pPr>
              <w:ind w:firstLine="480"/>
              <w:jc w:val="center"/>
              <w:rPr>
                <w:szCs w:val="21"/>
              </w:rPr>
            </w:pPr>
            <w:r>
              <w:rPr>
                <w:szCs w:val="21"/>
              </w:rPr>
              <w:t>讲授/讨论/等</w:t>
            </w:r>
          </w:p>
        </w:tc>
        <w:tc>
          <w:tcPr>
            <w:tcW w:w="1087" w:type="dxa"/>
            <w:shd w:val="clear" w:color="auto" w:fill="auto"/>
            <w:noWrap w:val="0"/>
            <w:vAlign w:val="center"/>
          </w:tcPr>
          <w:p>
            <w:pPr>
              <w:ind w:firstLine="482"/>
              <w:jc w:val="center"/>
              <w:rPr>
                <w:b/>
                <w:kern w:val="0"/>
                <w:szCs w:val="21"/>
              </w:rPr>
            </w:pPr>
            <w:r>
              <w:rPr>
                <w:b/>
                <w:kern w:val="0"/>
                <w:szCs w:val="21"/>
              </w:rPr>
              <w:t>目标3</w:t>
            </w:r>
          </w:p>
          <w:p>
            <w:pPr>
              <w:ind w:firstLine="482"/>
              <w:jc w:val="center"/>
              <w:rPr>
                <w:b/>
                <w:kern w:val="0"/>
                <w:szCs w:val="21"/>
              </w:rPr>
            </w:pPr>
            <w:r>
              <w:rPr>
                <w:b/>
                <w:kern w:val="0"/>
                <w:szCs w:val="21"/>
              </w:rPr>
              <w:t>目标4</w:t>
            </w:r>
          </w:p>
        </w:tc>
      </w:tr>
    </w:tbl>
    <w:p>
      <w:pPr>
        <w:ind w:firstLine="0" w:firstLineChars="0"/>
        <w:rPr>
          <w:rFonts w:hint="eastAsia"/>
        </w:rPr>
      </w:pPr>
    </w:p>
    <w:p>
      <w:pPr>
        <w:bidi w:val="0"/>
        <w:rPr>
          <w:rFonts w:hint="eastAsia"/>
          <w:b/>
          <w:bCs/>
          <w:sz w:val="28"/>
          <w:szCs w:val="28"/>
        </w:rPr>
      </w:pPr>
      <w:bookmarkStart w:id="108" w:name="_Toc15629"/>
      <w:r>
        <w:rPr>
          <w:rFonts w:hint="eastAsia"/>
          <w:b/>
          <w:bCs/>
          <w:sz w:val="28"/>
          <w:szCs w:val="28"/>
          <w:lang w:val="en-US" w:eastAsia="zh-CN"/>
        </w:rPr>
        <w:t>四、课程实施</w:t>
      </w:r>
      <w:bookmarkEnd w:id="108"/>
    </w:p>
    <w:p>
      <w:pPr>
        <w:bidi w:val="0"/>
        <w:rPr>
          <w:rFonts w:hint="eastAsia"/>
          <w:b/>
          <w:bCs/>
          <w:sz w:val="28"/>
          <w:szCs w:val="28"/>
        </w:rPr>
      </w:pPr>
      <w:bookmarkStart w:id="109" w:name="_Toc27406"/>
      <w:r>
        <w:rPr>
          <w:rFonts w:hint="eastAsia"/>
          <w:b/>
          <w:bCs/>
          <w:sz w:val="28"/>
          <w:szCs w:val="28"/>
        </w:rPr>
        <w:t>（一）教学方法与教学手段</w:t>
      </w:r>
      <w:bookmarkEnd w:id="109"/>
    </w:p>
    <w:p>
      <w:pPr>
        <w:spacing w:line="360" w:lineRule="auto"/>
        <w:ind w:firstLine="480"/>
        <w:rPr>
          <w:rFonts w:hint="eastAsia"/>
        </w:rPr>
      </w:pPr>
      <w:r>
        <w:rPr>
          <w:rFonts w:hint="eastAsia"/>
        </w:rPr>
        <w:t>1.采用多媒体教学手段，配合例题的讲解及适当的思考题，保证讲课进度的同时，注意学生的掌握程度和课堂的气氛。</w:t>
      </w:r>
    </w:p>
    <w:p>
      <w:pPr>
        <w:spacing w:line="360" w:lineRule="auto"/>
        <w:ind w:firstLine="480"/>
        <w:rPr>
          <w:rFonts w:hint="eastAsia"/>
        </w:rPr>
      </w:pPr>
      <w:r>
        <w:rPr>
          <w:rFonts w:hint="eastAsia"/>
        </w:rPr>
        <w:t>2.课程讲授与启案例教学、课堂讨论和线上网络教学等多种教学方式结合，实行互动研究型教学，重点培养学生的理论素养和化学工程分析能力。因此，本课程要求课前必须阅读教材的相关部分和参考文献；课上主动参与讨论；课后按时完成布置的作业，积极进行教学互动交流。</w:t>
      </w:r>
    </w:p>
    <w:p>
      <w:pPr>
        <w:bidi w:val="0"/>
        <w:rPr>
          <w:rFonts w:hint="eastAsia"/>
          <w:b/>
          <w:bCs/>
          <w:sz w:val="28"/>
          <w:szCs w:val="28"/>
          <w:lang w:val="en-US" w:eastAsia="zh-CN"/>
        </w:rPr>
      </w:pPr>
      <w:bookmarkStart w:id="110" w:name="_Toc3455"/>
      <w:r>
        <w:rPr>
          <w:rFonts w:hint="eastAsia"/>
          <w:b/>
          <w:bCs/>
          <w:sz w:val="28"/>
          <w:szCs w:val="28"/>
          <w:lang w:val="en-US" w:eastAsia="zh-CN"/>
        </w:rPr>
        <w:t>五、课程实施与保障</w:t>
      </w:r>
      <w:bookmarkEnd w:id="110"/>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273"/>
        <w:gridCol w:w="6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3" w:type="dxa"/>
            <w:gridSpan w:val="2"/>
            <w:tcBorders>
              <w:top w:val="single" w:color="auto" w:sz="8" w:space="0"/>
              <w:left w:val="single" w:color="auto" w:sz="8" w:space="0"/>
              <w:right w:val="single" w:color="auto" w:sz="8" w:space="0"/>
            </w:tcBorders>
            <w:noWrap w:val="0"/>
            <w:tcMar>
              <w:left w:w="28" w:type="dxa"/>
              <w:right w:w="28" w:type="dxa"/>
            </w:tcMar>
            <w:vAlign w:val="center"/>
          </w:tcPr>
          <w:p>
            <w:pPr>
              <w:spacing w:line="276" w:lineRule="auto"/>
              <w:ind w:firstLine="0" w:firstLineChars="0"/>
              <w:jc w:val="center"/>
              <w:rPr>
                <w:szCs w:val="21"/>
              </w:rPr>
            </w:pPr>
            <w:r>
              <w:rPr>
                <w:bCs/>
                <w:szCs w:val="21"/>
              </w:rPr>
              <w:t>主要教学环节</w:t>
            </w:r>
          </w:p>
        </w:tc>
        <w:tc>
          <w:tcPr>
            <w:tcW w:w="6817" w:type="dxa"/>
            <w:tcBorders>
              <w:top w:val="single" w:color="auto" w:sz="8" w:space="0"/>
              <w:left w:val="single" w:color="auto" w:sz="8" w:space="0"/>
              <w:right w:val="single" w:color="auto" w:sz="8" w:space="0"/>
            </w:tcBorders>
            <w:noWrap w:val="0"/>
            <w:vAlign w:val="center"/>
          </w:tcPr>
          <w:p>
            <w:pPr>
              <w:spacing w:line="276" w:lineRule="auto"/>
              <w:ind w:firstLine="0" w:firstLineChars="0"/>
              <w:jc w:val="center"/>
              <w:rPr>
                <w:szCs w:val="21"/>
              </w:rPr>
            </w:pPr>
            <w:r>
              <w:rPr>
                <w:bCs/>
                <w:szCs w:val="21"/>
              </w:rPr>
              <w:t>质量</w:t>
            </w:r>
            <w:r>
              <w:rPr>
                <w:rFonts w:hint="eastAsia"/>
                <w:bCs/>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6" w:hRule="atLeast"/>
          <w:jc w:val="center"/>
        </w:trPr>
        <w:tc>
          <w:tcPr>
            <w:tcW w:w="1010" w:type="dxa"/>
            <w:tcBorders>
              <w:left w:val="single" w:color="auto" w:sz="8" w:space="0"/>
            </w:tcBorders>
            <w:noWrap w:val="0"/>
            <w:vAlign w:val="center"/>
          </w:tcPr>
          <w:p>
            <w:pPr>
              <w:spacing w:line="276" w:lineRule="auto"/>
              <w:ind w:firstLine="480"/>
              <w:jc w:val="center"/>
              <w:rPr>
                <w:szCs w:val="21"/>
              </w:rPr>
            </w:pPr>
            <w:r>
              <w:rPr>
                <w:szCs w:val="21"/>
              </w:rPr>
              <w:t>1</w:t>
            </w:r>
          </w:p>
        </w:tc>
        <w:tc>
          <w:tcPr>
            <w:tcW w:w="1273" w:type="dxa"/>
            <w:noWrap w:val="0"/>
            <w:tcMar>
              <w:left w:w="28" w:type="dxa"/>
              <w:right w:w="28" w:type="dxa"/>
            </w:tcMar>
            <w:vAlign w:val="center"/>
          </w:tcPr>
          <w:p>
            <w:pPr>
              <w:spacing w:line="276" w:lineRule="auto"/>
              <w:ind w:firstLine="0" w:firstLineChars="0"/>
              <w:jc w:val="center"/>
              <w:rPr>
                <w:szCs w:val="21"/>
              </w:rPr>
            </w:pPr>
            <w:r>
              <w:rPr>
                <w:szCs w:val="21"/>
              </w:rPr>
              <w:t>备课</w:t>
            </w:r>
          </w:p>
        </w:tc>
        <w:tc>
          <w:tcPr>
            <w:tcW w:w="6817" w:type="dxa"/>
            <w:tcBorders>
              <w:right w:val="single" w:color="auto" w:sz="8" w:space="0"/>
            </w:tcBorders>
            <w:noWrap w:val="0"/>
            <w:vAlign w:val="center"/>
          </w:tcPr>
          <w:p>
            <w:pPr>
              <w:spacing w:line="276" w:lineRule="auto"/>
              <w:ind w:firstLine="480"/>
              <w:rPr>
                <w:szCs w:val="21"/>
              </w:rPr>
            </w:pPr>
            <w:r>
              <w:rPr>
                <w:szCs w:val="21"/>
              </w:rPr>
              <w:t>（1）掌握本课程教学大纲内容，严格按照教学大纲要求进行课程教学内容的组织。</w:t>
            </w:r>
          </w:p>
          <w:p>
            <w:pPr>
              <w:spacing w:line="276" w:lineRule="auto"/>
              <w:ind w:firstLine="480"/>
              <w:rPr>
                <w:szCs w:val="21"/>
              </w:rPr>
            </w:pPr>
            <w:r>
              <w:rPr>
                <w:szCs w:val="21"/>
              </w:rPr>
              <w:t>（2）熟悉教材各章节，借助专业书籍资料，并依据教学大纲编写授课计划，编写每次授课的教案。教案内容包括章节标题、教学目的、教法设计、课堂类型、时间分配、授课内容、课后作业、教学效果分析等方面。</w:t>
            </w:r>
          </w:p>
          <w:p>
            <w:pPr>
              <w:spacing w:line="276" w:lineRule="auto"/>
              <w:ind w:firstLine="480"/>
              <w:rPr>
                <w:szCs w:val="21"/>
              </w:rPr>
            </w:pPr>
            <w:r>
              <w:rPr>
                <w:szCs w:val="21"/>
              </w:rPr>
              <w:t>（3）</w:t>
            </w:r>
            <w:r>
              <w:rPr>
                <w:rFonts w:hint="eastAsia"/>
                <w:szCs w:val="21"/>
              </w:rPr>
              <w:t>根据</w:t>
            </w:r>
            <w:r>
              <w:rPr>
                <w:szCs w:val="21"/>
              </w:rPr>
              <w:t>各部分</w:t>
            </w:r>
            <w:r>
              <w:rPr>
                <w:rFonts w:hint="eastAsia"/>
                <w:szCs w:val="21"/>
              </w:rPr>
              <w:t>教学</w:t>
            </w:r>
            <w:r>
              <w:rPr>
                <w:szCs w:val="21"/>
              </w:rPr>
              <w:t>内容</w:t>
            </w:r>
            <w:r>
              <w:rPr>
                <w:rFonts w:hint="eastAsia"/>
                <w:szCs w:val="21"/>
              </w:rPr>
              <w:t>，</w:t>
            </w:r>
            <w:r>
              <w:rPr>
                <w:szCs w:val="21"/>
              </w:rPr>
              <w:t>构思授课思路、技巧</w:t>
            </w:r>
            <w:r>
              <w:rPr>
                <w:rFonts w:hint="eastAsia"/>
                <w:szCs w:val="21"/>
              </w:rPr>
              <w:t>，选择合适的</w:t>
            </w:r>
            <w:r>
              <w:rPr>
                <w:szCs w:val="21"/>
              </w:rPr>
              <w:t>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0" w:type="dxa"/>
            <w:tcBorders>
              <w:left w:val="single" w:color="auto" w:sz="8" w:space="0"/>
            </w:tcBorders>
            <w:noWrap w:val="0"/>
            <w:vAlign w:val="center"/>
          </w:tcPr>
          <w:p>
            <w:pPr>
              <w:spacing w:line="276" w:lineRule="auto"/>
              <w:ind w:firstLine="480"/>
              <w:jc w:val="center"/>
              <w:rPr>
                <w:szCs w:val="21"/>
              </w:rPr>
            </w:pPr>
            <w:r>
              <w:rPr>
                <w:szCs w:val="21"/>
              </w:rPr>
              <w:t>2</w:t>
            </w:r>
          </w:p>
        </w:tc>
        <w:tc>
          <w:tcPr>
            <w:tcW w:w="1273" w:type="dxa"/>
            <w:noWrap w:val="0"/>
            <w:tcMar>
              <w:left w:w="28" w:type="dxa"/>
              <w:right w:w="28" w:type="dxa"/>
            </w:tcMar>
            <w:vAlign w:val="center"/>
          </w:tcPr>
          <w:p>
            <w:pPr>
              <w:spacing w:line="276" w:lineRule="auto"/>
              <w:ind w:firstLine="0" w:firstLineChars="0"/>
              <w:jc w:val="center"/>
              <w:rPr>
                <w:szCs w:val="21"/>
              </w:rPr>
            </w:pPr>
            <w:r>
              <w:rPr>
                <w:szCs w:val="21"/>
              </w:rPr>
              <w:t>讲授</w:t>
            </w:r>
          </w:p>
        </w:tc>
        <w:tc>
          <w:tcPr>
            <w:tcW w:w="6817" w:type="dxa"/>
            <w:tcBorders>
              <w:right w:val="single" w:color="auto" w:sz="8" w:space="0"/>
            </w:tcBorders>
            <w:noWrap w:val="0"/>
            <w:vAlign w:val="center"/>
          </w:tcPr>
          <w:p>
            <w:pPr>
              <w:spacing w:line="276" w:lineRule="auto"/>
              <w:ind w:firstLine="480"/>
              <w:rPr>
                <w:szCs w:val="21"/>
              </w:rPr>
            </w:pPr>
            <w:r>
              <w:rPr>
                <w:rFonts w:hint="eastAsia"/>
                <w:szCs w:val="21"/>
              </w:rPr>
              <w:t>（1）</w:t>
            </w:r>
            <w:r>
              <w:rPr>
                <w:szCs w:val="21"/>
              </w:rPr>
              <w:t>要点准确</w:t>
            </w:r>
            <w:r>
              <w:rPr>
                <w:rFonts w:hint="eastAsia"/>
                <w:szCs w:val="21"/>
              </w:rPr>
              <w:t>、</w:t>
            </w:r>
            <w:r>
              <w:rPr>
                <w:szCs w:val="21"/>
              </w:rPr>
              <w:t>推理正确</w:t>
            </w:r>
            <w:r>
              <w:rPr>
                <w:rFonts w:hint="eastAsia"/>
                <w:szCs w:val="21"/>
              </w:rPr>
              <w:t>、</w:t>
            </w:r>
            <w:r>
              <w:rPr>
                <w:szCs w:val="21"/>
              </w:rPr>
              <w:t>条理清晰</w:t>
            </w:r>
            <w:r>
              <w:rPr>
                <w:rFonts w:hint="eastAsia"/>
                <w:szCs w:val="21"/>
              </w:rPr>
              <w:t>、</w:t>
            </w:r>
            <w:r>
              <w:rPr>
                <w:szCs w:val="21"/>
              </w:rPr>
              <w:t>重点突出，</w:t>
            </w:r>
            <w:r>
              <w:rPr>
                <w:rFonts w:hint="eastAsia"/>
                <w:szCs w:val="21"/>
              </w:rPr>
              <w:t>能够</w:t>
            </w:r>
            <w:r>
              <w:rPr>
                <w:szCs w:val="21"/>
              </w:rPr>
              <w:t>理论联系实际，熟练地解答和讲解例题。</w:t>
            </w:r>
          </w:p>
          <w:p>
            <w:pPr>
              <w:spacing w:line="276" w:lineRule="auto"/>
              <w:ind w:firstLine="480"/>
              <w:rPr>
                <w:szCs w:val="21"/>
              </w:rPr>
            </w:pPr>
            <w:r>
              <w:rPr>
                <w:rFonts w:hint="eastAsia"/>
                <w:szCs w:val="21"/>
              </w:rPr>
              <w:t>（2）</w:t>
            </w:r>
            <w:r>
              <w:rPr>
                <w:szCs w:val="21"/>
              </w:rPr>
              <w:t>采用多种教学方式（如启发式教学、案例分析教学、讨论式教学、多媒体示范教学等），注重培养学生发现、分析和解决问题的能力。</w:t>
            </w:r>
          </w:p>
          <w:p>
            <w:pPr>
              <w:spacing w:line="276" w:lineRule="auto"/>
              <w:ind w:firstLine="480"/>
              <w:rPr>
                <w:szCs w:val="21"/>
              </w:rPr>
            </w:pPr>
            <w:r>
              <w:rPr>
                <w:rFonts w:hint="eastAsia"/>
                <w:szCs w:val="21"/>
              </w:rPr>
              <w:t>（3）能够采用现代信息技术辅助</w:t>
            </w:r>
            <w:r>
              <w:rPr>
                <w:szCs w:val="21"/>
              </w:rPr>
              <w:t>教学。</w:t>
            </w:r>
          </w:p>
          <w:p>
            <w:pPr>
              <w:spacing w:line="276" w:lineRule="auto"/>
              <w:ind w:firstLine="480"/>
              <w:rPr>
                <w:szCs w:val="21"/>
              </w:rPr>
            </w:pPr>
            <w:r>
              <w:rPr>
                <w:rFonts w:hint="eastAsia"/>
                <w:szCs w:val="21"/>
              </w:rPr>
              <w:t>（4）</w:t>
            </w:r>
            <w:r>
              <w:rPr>
                <w:szCs w:val="21"/>
              </w:rPr>
              <w:t>表达方式</w:t>
            </w:r>
            <w:r>
              <w:rPr>
                <w:rFonts w:hint="eastAsia"/>
                <w:szCs w:val="21"/>
              </w:rPr>
              <w:t>应能</w:t>
            </w:r>
            <w:r>
              <w:rPr>
                <w:szCs w:val="21"/>
              </w:rPr>
              <w:t>便于学生理解、接受，力求形象生动，使学生在掌握知识的过程中，保持较为浓厚的</w:t>
            </w:r>
            <w:r>
              <w:rPr>
                <w:rFonts w:hint="eastAsia"/>
                <w:szCs w:val="21"/>
              </w:rPr>
              <w:t>学习</w:t>
            </w:r>
            <w:r>
              <w:rPr>
                <w:szCs w:val="21"/>
              </w:rPr>
              <w:t>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jc w:val="center"/>
        </w:trPr>
        <w:tc>
          <w:tcPr>
            <w:tcW w:w="1010" w:type="dxa"/>
            <w:tcBorders>
              <w:left w:val="single" w:color="auto" w:sz="8" w:space="0"/>
            </w:tcBorders>
            <w:noWrap w:val="0"/>
            <w:vAlign w:val="center"/>
          </w:tcPr>
          <w:p>
            <w:pPr>
              <w:spacing w:line="276" w:lineRule="auto"/>
              <w:ind w:firstLine="480"/>
              <w:jc w:val="center"/>
              <w:rPr>
                <w:szCs w:val="21"/>
              </w:rPr>
            </w:pPr>
            <w:r>
              <w:rPr>
                <w:szCs w:val="21"/>
              </w:rPr>
              <w:t>3</w:t>
            </w:r>
          </w:p>
        </w:tc>
        <w:tc>
          <w:tcPr>
            <w:tcW w:w="1273" w:type="dxa"/>
            <w:noWrap w:val="0"/>
            <w:tcMar>
              <w:left w:w="28" w:type="dxa"/>
              <w:right w:w="28" w:type="dxa"/>
            </w:tcMar>
            <w:vAlign w:val="center"/>
          </w:tcPr>
          <w:p>
            <w:pPr>
              <w:spacing w:line="276" w:lineRule="auto"/>
              <w:ind w:firstLine="0" w:firstLineChars="0"/>
              <w:jc w:val="center"/>
              <w:rPr>
                <w:szCs w:val="21"/>
              </w:rPr>
            </w:pPr>
            <w:r>
              <w:rPr>
                <w:szCs w:val="21"/>
              </w:rPr>
              <w:t>作业布置与批改</w:t>
            </w:r>
          </w:p>
        </w:tc>
        <w:tc>
          <w:tcPr>
            <w:tcW w:w="6817" w:type="dxa"/>
            <w:tcBorders>
              <w:right w:val="single" w:color="auto" w:sz="8" w:space="0"/>
            </w:tcBorders>
            <w:noWrap w:val="0"/>
            <w:vAlign w:val="center"/>
          </w:tcPr>
          <w:p>
            <w:pPr>
              <w:spacing w:line="276" w:lineRule="auto"/>
              <w:ind w:firstLine="480"/>
              <w:rPr>
                <w:szCs w:val="21"/>
              </w:rPr>
            </w:pPr>
            <w:r>
              <w:rPr>
                <w:szCs w:val="21"/>
              </w:rPr>
              <w:t>学生必须完成</w:t>
            </w:r>
            <w:r>
              <w:rPr>
                <w:rFonts w:hint="eastAsia"/>
                <w:szCs w:val="21"/>
              </w:rPr>
              <w:t>规定</w:t>
            </w:r>
            <w:r>
              <w:rPr>
                <w:szCs w:val="21"/>
              </w:rPr>
              <w:t>数量的作业</w:t>
            </w:r>
            <w:r>
              <w:rPr>
                <w:rFonts w:hint="eastAsia"/>
                <w:szCs w:val="21"/>
              </w:rPr>
              <w:t>，</w:t>
            </w:r>
            <w:r>
              <w:rPr>
                <w:szCs w:val="21"/>
              </w:rPr>
              <w:t>作业必须达到以下基本要求：</w:t>
            </w:r>
          </w:p>
          <w:p>
            <w:pPr>
              <w:spacing w:line="276" w:lineRule="auto"/>
              <w:ind w:firstLine="480"/>
              <w:rPr>
                <w:szCs w:val="21"/>
              </w:rPr>
            </w:pPr>
            <w:r>
              <w:rPr>
                <w:rFonts w:hint="eastAsia"/>
                <w:szCs w:val="21"/>
              </w:rPr>
              <w:t>（1）</w:t>
            </w:r>
            <w:r>
              <w:rPr>
                <w:szCs w:val="21"/>
              </w:rPr>
              <w:t>按时按量完成作业，不缺交，不抄袭</w:t>
            </w:r>
            <w:r>
              <w:rPr>
                <w:rFonts w:hint="eastAsia"/>
                <w:szCs w:val="21"/>
              </w:rPr>
              <w:t>。</w:t>
            </w:r>
          </w:p>
          <w:p>
            <w:pPr>
              <w:spacing w:line="276" w:lineRule="auto"/>
              <w:ind w:firstLine="480"/>
              <w:rPr>
                <w:szCs w:val="21"/>
              </w:rPr>
            </w:pPr>
            <w:r>
              <w:rPr>
                <w:rFonts w:hint="eastAsia"/>
                <w:szCs w:val="21"/>
              </w:rPr>
              <w:t>（2）书写</w:t>
            </w:r>
            <w:r>
              <w:rPr>
                <w:szCs w:val="21"/>
              </w:rPr>
              <w:t>规范</w:t>
            </w:r>
            <w:r>
              <w:rPr>
                <w:rFonts w:hint="eastAsia"/>
                <w:szCs w:val="21"/>
              </w:rPr>
              <w:t>、</w:t>
            </w:r>
            <w:r>
              <w:rPr>
                <w:szCs w:val="21"/>
              </w:rPr>
              <w:t>清晰</w:t>
            </w:r>
            <w:r>
              <w:rPr>
                <w:rFonts w:hint="eastAsia"/>
                <w:szCs w:val="21"/>
              </w:rPr>
              <w:t>。</w:t>
            </w:r>
          </w:p>
          <w:p>
            <w:pPr>
              <w:spacing w:line="276" w:lineRule="auto"/>
              <w:ind w:firstLine="480"/>
              <w:rPr>
                <w:szCs w:val="21"/>
              </w:rPr>
            </w:pPr>
            <w:r>
              <w:rPr>
                <w:rFonts w:hint="eastAsia"/>
                <w:szCs w:val="21"/>
              </w:rPr>
              <w:t>（3）</w:t>
            </w:r>
            <w:r>
              <w:rPr>
                <w:szCs w:val="21"/>
              </w:rPr>
              <w:t>解题方法和步骤正确。</w:t>
            </w:r>
          </w:p>
          <w:p>
            <w:pPr>
              <w:spacing w:line="276" w:lineRule="auto"/>
              <w:ind w:firstLine="480"/>
              <w:rPr>
                <w:szCs w:val="21"/>
              </w:rPr>
            </w:pPr>
            <w:r>
              <w:rPr>
                <w:szCs w:val="21"/>
              </w:rPr>
              <w:t>教师批改</w:t>
            </w:r>
            <w:r>
              <w:rPr>
                <w:rFonts w:hint="eastAsia"/>
                <w:szCs w:val="21"/>
              </w:rPr>
              <w:t>和</w:t>
            </w:r>
            <w:r>
              <w:rPr>
                <w:szCs w:val="21"/>
              </w:rPr>
              <w:t>讲评作业要求如下：</w:t>
            </w:r>
          </w:p>
          <w:p>
            <w:pPr>
              <w:spacing w:line="276" w:lineRule="auto"/>
              <w:ind w:firstLine="480"/>
              <w:rPr>
                <w:szCs w:val="21"/>
              </w:rPr>
            </w:pPr>
            <w:r>
              <w:rPr>
                <w:rFonts w:hint="eastAsia"/>
                <w:szCs w:val="21"/>
              </w:rPr>
              <w:t>（1）</w:t>
            </w:r>
            <w:r>
              <w:rPr>
                <w:szCs w:val="21"/>
              </w:rPr>
              <w:t>学生的作业要</w:t>
            </w:r>
            <w:r>
              <w:rPr>
                <w:rFonts w:hint="eastAsia"/>
                <w:szCs w:val="21"/>
              </w:rPr>
              <w:t>按时</w:t>
            </w:r>
            <w:r>
              <w:rPr>
                <w:szCs w:val="21"/>
              </w:rPr>
              <w:t>全</w:t>
            </w:r>
            <w:r>
              <w:rPr>
                <w:rFonts w:hint="eastAsia"/>
                <w:szCs w:val="21"/>
              </w:rPr>
              <w:t>部</w:t>
            </w:r>
            <w:r>
              <w:rPr>
                <w:szCs w:val="21"/>
              </w:rPr>
              <w:t>批改，并</w:t>
            </w:r>
            <w:r>
              <w:rPr>
                <w:rFonts w:hint="eastAsia"/>
                <w:szCs w:val="21"/>
              </w:rPr>
              <w:t>及时进行</w:t>
            </w:r>
            <w:r>
              <w:rPr>
                <w:szCs w:val="21"/>
              </w:rPr>
              <w:t>讲评</w:t>
            </w:r>
            <w:r>
              <w:rPr>
                <w:rFonts w:hint="eastAsia"/>
                <w:szCs w:val="21"/>
              </w:rPr>
              <w:t>。</w:t>
            </w:r>
          </w:p>
          <w:p>
            <w:pPr>
              <w:spacing w:line="276" w:lineRule="auto"/>
              <w:ind w:firstLine="480"/>
              <w:rPr>
                <w:szCs w:val="21"/>
              </w:rPr>
            </w:pPr>
            <w:r>
              <w:rPr>
                <w:rFonts w:hint="eastAsia"/>
                <w:szCs w:val="21"/>
              </w:rPr>
              <w:t>（2）</w:t>
            </w:r>
            <w:r>
              <w:rPr>
                <w:szCs w:val="21"/>
              </w:rPr>
              <w:t>教师批改</w:t>
            </w:r>
            <w:r>
              <w:rPr>
                <w:rFonts w:hint="eastAsia"/>
                <w:szCs w:val="21"/>
              </w:rPr>
              <w:t>和</w:t>
            </w:r>
            <w:r>
              <w:rPr>
                <w:szCs w:val="21"/>
              </w:rPr>
              <w:t>讲评作业要认真、细致，按百分制评定成绩并写明日期</w:t>
            </w:r>
            <w:r>
              <w:rPr>
                <w:rFonts w:hint="eastAsia"/>
                <w:szCs w:val="21"/>
              </w:rPr>
              <w:t>。</w:t>
            </w:r>
          </w:p>
          <w:p>
            <w:pPr>
              <w:spacing w:line="276" w:lineRule="auto"/>
              <w:ind w:firstLine="480"/>
              <w:rPr>
                <w:szCs w:val="21"/>
              </w:rPr>
            </w:pPr>
            <w:r>
              <w:rPr>
                <w:rFonts w:hint="eastAsia"/>
                <w:szCs w:val="21"/>
              </w:rPr>
              <w:t>（3）</w:t>
            </w:r>
            <w:r>
              <w:rPr>
                <w:szCs w:val="21"/>
              </w:rPr>
              <w:t>学生作业的平均成绩</w:t>
            </w:r>
            <w:r>
              <w:rPr>
                <w:rFonts w:hint="eastAsia"/>
                <w:szCs w:val="21"/>
              </w:rPr>
              <w:t>应</w:t>
            </w:r>
            <w:r>
              <w:rPr>
                <w:szCs w:val="21"/>
              </w:rPr>
              <w:t>作为本课程总评成绩中平时成绩的重要组成部分。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1010" w:type="dxa"/>
            <w:tcBorders>
              <w:left w:val="single" w:color="auto" w:sz="8" w:space="0"/>
            </w:tcBorders>
            <w:noWrap w:val="0"/>
            <w:vAlign w:val="center"/>
          </w:tcPr>
          <w:p>
            <w:pPr>
              <w:spacing w:line="276" w:lineRule="auto"/>
              <w:ind w:firstLine="480"/>
              <w:jc w:val="center"/>
              <w:rPr>
                <w:szCs w:val="21"/>
              </w:rPr>
            </w:pPr>
            <w:r>
              <w:rPr>
                <w:szCs w:val="21"/>
              </w:rPr>
              <w:t>4</w:t>
            </w:r>
          </w:p>
        </w:tc>
        <w:tc>
          <w:tcPr>
            <w:tcW w:w="1273" w:type="dxa"/>
            <w:noWrap w:val="0"/>
            <w:tcMar>
              <w:left w:w="28" w:type="dxa"/>
              <w:right w:w="28" w:type="dxa"/>
            </w:tcMar>
            <w:vAlign w:val="center"/>
          </w:tcPr>
          <w:p>
            <w:pPr>
              <w:spacing w:line="276" w:lineRule="auto"/>
              <w:ind w:firstLine="0" w:firstLineChars="0"/>
              <w:jc w:val="center"/>
              <w:rPr>
                <w:szCs w:val="21"/>
              </w:rPr>
            </w:pPr>
            <w:r>
              <w:rPr>
                <w:szCs w:val="21"/>
              </w:rPr>
              <w:t>课外答疑</w:t>
            </w:r>
          </w:p>
        </w:tc>
        <w:tc>
          <w:tcPr>
            <w:tcW w:w="6817" w:type="dxa"/>
            <w:tcBorders>
              <w:right w:val="single" w:color="auto" w:sz="8" w:space="0"/>
            </w:tcBorders>
            <w:noWrap w:val="0"/>
            <w:vAlign w:val="center"/>
          </w:tcPr>
          <w:p>
            <w:pPr>
              <w:spacing w:line="276" w:lineRule="auto"/>
              <w:ind w:firstLine="480"/>
              <w:rPr>
                <w:szCs w:val="21"/>
              </w:rPr>
            </w:pPr>
            <w:r>
              <w:rPr>
                <w:szCs w:val="21"/>
              </w:rPr>
              <w:t>为了解学生的学习情况，帮助学生</w:t>
            </w:r>
            <w:r>
              <w:rPr>
                <w:rFonts w:hint="eastAsia"/>
                <w:szCs w:val="21"/>
              </w:rPr>
              <w:t>更好地</w:t>
            </w:r>
            <w:r>
              <w:rPr>
                <w:szCs w:val="21"/>
              </w:rPr>
              <w:t>理解和消化所学知识、改进学习方法和思维方式，培养其独立思考问题的能力，任课教师</w:t>
            </w:r>
            <w:r>
              <w:rPr>
                <w:rFonts w:hint="eastAsia"/>
                <w:szCs w:val="21"/>
              </w:rPr>
              <w:t>需</w:t>
            </w:r>
            <w:r>
              <w:rPr>
                <w:szCs w:val="21"/>
              </w:rPr>
              <w:t>每周安排</w:t>
            </w:r>
            <w:r>
              <w:rPr>
                <w:rFonts w:hint="eastAsia"/>
                <w:szCs w:val="21"/>
              </w:rPr>
              <w:t>一定</w:t>
            </w:r>
            <w:r>
              <w:rPr>
                <w:szCs w:val="21"/>
              </w:rPr>
              <w:t>时间进行课外答疑与辅导。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010" w:type="dxa"/>
            <w:tcBorders>
              <w:left w:val="single" w:color="auto" w:sz="8" w:space="0"/>
            </w:tcBorders>
            <w:noWrap w:val="0"/>
            <w:vAlign w:val="center"/>
          </w:tcPr>
          <w:p>
            <w:pPr>
              <w:spacing w:line="276" w:lineRule="auto"/>
              <w:ind w:firstLine="480"/>
              <w:jc w:val="center"/>
              <w:rPr>
                <w:szCs w:val="21"/>
              </w:rPr>
            </w:pPr>
            <w:r>
              <w:rPr>
                <w:szCs w:val="21"/>
              </w:rPr>
              <w:t>5</w:t>
            </w:r>
          </w:p>
        </w:tc>
        <w:tc>
          <w:tcPr>
            <w:tcW w:w="1273" w:type="dxa"/>
            <w:noWrap w:val="0"/>
            <w:tcMar>
              <w:left w:w="28" w:type="dxa"/>
              <w:right w:w="28" w:type="dxa"/>
            </w:tcMar>
            <w:vAlign w:val="center"/>
          </w:tcPr>
          <w:p>
            <w:pPr>
              <w:spacing w:line="276" w:lineRule="auto"/>
              <w:ind w:firstLine="0" w:firstLineChars="0"/>
              <w:jc w:val="center"/>
              <w:rPr>
                <w:szCs w:val="21"/>
              </w:rPr>
            </w:pPr>
            <w:r>
              <w:rPr>
                <w:szCs w:val="21"/>
              </w:rPr>
              <w:t>成绩考核</w:t>
            </w:r>
          </w:p>
        </w:tc>
        <w:tc>
          <w:tcPr>
            <w:tcW w:w="6817" w:type="dxa"/>
            <w:tcBorders>
              <w:right w:val="single" w:color="auto" w:sz="8" w:space="0"/>
            </w:tcBorders>
            <w:noWrap w:val="0"/>
            <w:vAlign w:val="center"/>
          </w:tcPr>
          <w:p>
            <w:pPr>
              <w:spacing w:line="276" w:lineRule="auto"/>
              <w:ind w:firstLine="480"/>
              <w:rPr>
                <w:szCs w:val="21"/>
              </w:rPr>
            </w:pPr>
            <w:r>
              <w:rPr>
                <w:szCs w:val="21"/>
              </w:rPr>
              <w:t>本课程考核的方式</w:t>
            </w:r>
            <w:r>
              <w:rPr>
                <w:rFonts w:hint="eastAsia"/>
                <w:szCs w:val="21"/>
              </w:rPr>
              <w:t>为开卷笔试</w:t>
            </w:r>
            <w:r>
              <w:rPr>
                <w:szCs w:val="21"/>
              </w:rPr>
              <w:t>。考试采取教考分离，监考</w:t>
            </w:r>
            <w:r>
              <w:rPr>
                <w:rFonts w:hint="eastAsia"/>
                <w:szCs w:val="21"/>
              </w:rPr>
              <w:t>由学院</w:t>
            </w:r>
            <w:r>
              <w:rPr>
                <w:szCs w:val="21"/>
              </w:rPr>
              <w:t>统一安排。有下列情况之一者，总评成绩为不及格：</w:t>
            </w:r>
          </w:p>
          <w:p>
            <w:pPr>
              <w:spacing w:line="276" w:lineRule="auto"/>
              <w:ind w:firstLine="480"/>
              <w:rPr>
                <w:szCs w:val="21"/>
              </w:rPr>
            </w:pPr>
            <w:r>
              <w:rPr>
                <w:rFonts w:hint="eastAsia"/>
                <w:szCs w:val="21"/>
              </w:rPr>
              <w:t>（1）</w:t>
            </w:r>
            <w:r>
              <w:rPr>
                <w:szCs w:val="21"/>
              </w:rPr>
              <w:t>缺交作业次数达1/3以上者</w:t>
            </w:r>
            <w:r>
              <w:rPr>
                <w:rFonts w:hint="eastAsia"/>
                <w:szCs w:val="21"/>
              </w:rPr>
              <w:t>。</w:t>
            </w:r>
          </w:p>
          <w:p>
            <w:pPr>
              <w:spacing w:line="276" w:lineRule="auto"/>
              <w:ind w:firstLine="480"/>
              <w:rPr>
                <w:szCs w:val="21"/>
              </w:rPr>
            </w:pPr>
            <w:r>
              <w:rPr>
                <w:rFonts w:hint="eastAsia"/>
                <w:szCs w:val="21"/>
              </w:rPr>
              <w:t>（2）</w:t>
            </w:r>
            <w:r>
              <w:rPr>
                <w:szCs w:val="21"/>
              </w:rPr>
              <w:t>缺课次数达本学期总授课学时的1/3以上者</w:t>
            </w:r>
            <w:r>
              <w:rPr>
                <w:rFonts w:hint="eastAsia"/>
                <w:szCs w:val="21"/>
              </w:rPr>
              <w:t>。</w:t>
            </w:r>
          </w:p>
          <w:p>
            <w:pPr>
              <w:spacing w:line="276" w:lineRule="auto"/>
              <w:ind w:firstLine="480"/>
              <w:rPr>
                <w:szCs w:val="21"/>
              </w:rPr>
            </w:pPr>
            <w:r>
              <w:rPr>
                <w:rFonts w:hint="eastAsia"/>
                <w:szCs w:val="21"/>
              </w:rPr>
              <w:t>（3）</w:t>
            </w:r>
            <w:r>
              <w:rPr>
                <w:szCs w:val="21"/>
              </w:rPr>
              <w:t>课程目标小于0.6。</w:t>
            </w:r>
          </w:p>
        </w:tc>
      </w:tr>
    </w:tbl>
    <w:p>
      <w:pPr>
        <w:bidi w:val="0"/>
        <w:rPr>
          <w:rFonts w:hint="eastAsia"/>
          <w:b/>
          <w:bCs/>
          <w:sz w:val="28"/>
          <w:szCs w:val="28"/>
          <w:lang w:val="en-US" w:eastAsia="zh-CN"/>
        </w:rPr>
      </w:pPr>
      <w:bookmarkStart w:id="111" w:name="_Toc12804"/>
      <w:r>
        <w:rPr>
          <w:rFonts w:hint="eastAsia"/>
          <w:b/>
          <w:bCs/>
          <w:sz w:val="28"/>
          <w:szCs w:val="28"/>
          <w:lang w:val="en-US" w:eastAsia="zh-CN"/>
        </w:rPr>
        <w:t>六、考核方式</w:t>
      </w:r>
      <w:bookmarkEnd w:id="111"/>
    </w:p>
    <w:p>
      <w:pPr>
        <w:spacing w:line="360" w:lineRule="auto"/>
        <w:ind w:firstLine="480"/>
      </w:pPr>
      <w:r>
        <w:rPr>
          <w:rFonts w:hint="eastAsia"/>
        </w:rPr>
        <w:t>（一）</w:t>
      </w:r>
      <w:r>
        <w:t>课程考核包括期末考试、平时及作业情况考核，期末考试采用</w:t>
      </w:r>
      <w:r>
        <w:rPr>
          <w:rFonts w:hint="eastAsia"/>
        </w:rPr>
        <w:t>开</w:t>
      </w:r>
      <w:r>
        <w:t>卷笔试。</w:t>
      </w:r>
    </w:p>
    <w:p>
      <w:pPr>
        <w:spacing w:line="360" w:lineRule="auto"/>
        <w:ind w:firstLine="480"/>
      </w:pPr>
      <w:r>
        <w:rPr>
          <w:rFonts w:hint="eastAsia"/>
        </w:rPr>
        <w:t>（二）课程总评成绩=平时成绩×20% +作业×30%+期末考试成绩×50%。具体内容和比例如表所示。</w:t>
      </w:r>
    </w:p>
    <w:tbl>
      <w:tblPr>
        <w:tblStyle w:val="10"/>
        <w:tblpPr w:leftFromText="180" w:rightFromText="180" w:vertAnchor="text" w:horzAnchor="margin" w:tblpXSpec="center" w:tblpY="244"/>
        <w:tblW w:w="91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715"/>
        <w:gridCol w:w="1560"/>
        <w:gridCol w:w="3260"/>
        <w:gridCol w:w="638"/>
        <w:gridCol w:w="638"/>
        <w:gridCol w:w="638"/>
        <w:gridCol w:w="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vMerge w:val="restart"/>
            <w:shd w:val="clear" w:color="auto" w:fill="FFFFFF"/>
            <w:noWrap w:val="0"/>
            <w:tcMar>
              <w:left w:w="57" w:type="dxa"/>
              <w:right w:w="57" w:type="dxa"/>
            </w:tcMar>
            <w:vAlign w:val="center"/>
          </w:tcPr>
          <w:p>
            <w:pPr>
              <w:adjustRightInd/>
              <w:snapToGrid/>
              <w:spacing w:line="240" w:lineRule="auto"/>
              <w:ind w:firstLine="0" w:firstLineChars="0"/>
              <w:jc w:val="center"/>
              <w:rPr>
                <w:sz w:val="21"/>
              </w:rPr>
            </w:pPr>
            <w:r>
              <w:rPr>
                <w:rFonts w:hint="eastAsia"/>
                <w:sz w:val="21"/>
              </w:rPr>
              <w:t>考核环节</w:t>
            </w:r>
          </w:p>
        </w:tc>
        <w:tc>
          <w:tcPr>
            <w:tcW w:w="715" w:type="dxa"/>
            <w:vMerge w:val="restart"/>
            <w:shd w:val="clear" w:color="auto" w:fill="FFFFFF"/>
            <w:noWrap w:val="0"/>
            <w:vAlign w:val="center"/>
          </w:tcPr>
          <w:p>
            <w:pPr>
              <w:adjustRightInd/>
              <w:snapToGrid/>
              <w:spacing w:line="240" w:lineRule="auto"/>
              <w:ind w:firstLine="0" w:firstLineChars="0"/>
              <w:jc w:val="center"/>
              <w:rPr>
                <w:sz w:val="21"/>
              </w:rPr>
            </w:pPr>
            <w:r>
              <w:rPr>
                <w:rFonts w:hint="eastAsia"/>
                <w:sz w:val="21"/>
              </w:rPr>
              <w:t>成绩比例</w:t>
            </w:r>
          </w:p>
        </w:tc>
        <w:tc>
          <w:tcPr>
            <w:tcW w:w="4820" w:type="dxa"/>
            <w:gridSpan w:val="2"/>
            <w:vMerge w:val="restart"/>
            <w:shd w:val="clear" w:color="auto" w:fill="FFFFFF"/>
            <w:noWrap w:val="0"/>
            <w:vAlign w:val="center"/>
          </w:tcPr>
          <w:p>
            <w:pPr>
              <w:adjustRightInd/>
              <w:snapToGrid/>
              <w:spacing w:line="240" w:lineRule="auto"/>
              <w:ind w:firstLine="0" w:firstLineChars="0"/>
              <w:jc w:val="center"/>
              <w:rPr>
                <w:sz w:val="21"/>
              </w:rPr>
            </w:pPr>
            <w:r>
              <w:rPr>
                <w:sz w:val="21"/>
              </w:rPr>
              <w:t>考核</w:t>
            </w:r>
            <w:r>
              <w:rPr>
                <w:rFonts w:hint="eastAsia"/>
                <w:sz w:val="21"/>
              </w:rPr>
              <w:t>内容与</w:t>
            </w:r>
            <w:r>
              <w:rPr>
                <w:sz w:val="21"/>
              </w:rPr>
              <w:t>评价细则</w:t>
            </w:r>
          </w:p>
        </w:tc>
        <w:tc>
          <w:tcPr>
            <w:tcW w:w="2552" w:type="dxa"/>
            <w:gridSpan w:val="4"/>
            <w:shd w:val="clear" w:color="auto" w:fill="FFFFFF"/>
            <w:noWrap w:val="0"/>
            <w:vAlign w:val="center"/>
          </w:tcPr>
          <w:p>
            <w:pPr>
              <w:adjustRightInd/>
              <w:snapToGrid/>
              <w:spacing w:line="240" w:lineRule="auto"/>
              <w:ind w:firstLine="0" w:firstLineChars="0"/>
              <w:jc w:val="center"/>
              <w:rPr>
                <w:sz w:val="21"/>
              </w:rPr>
            </w:pPr>
            <w:r>
              <w:rPr>
                <w:rFonts w:hint="eastAsia"/>
                <w:sz w:val="21"/>
              </w:rPr>
              <w:t>支撑目标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vMerge w:val="continue"/>
            <w:shd w:val="clear" w:color="auto" w:fill="FFFFFF"/>
            <w:noWrap w:val="0"/>
            <w:tcMar>
              <w:left w:w="57" w:type="dxa"/>
              <w:right w:w="57" w:type="dxa"/>
            </w:tcMar>
            <w:vAlign w:val="center"/>
          </w:tcPr>
          <w:p>
            <w:pPr>
              <w:adjustRightInd/>
              <w:snapToGrid/>
              <w:spacing w:line="240" w:lineRule="auto"/>
              <w:ind w:firstLine="0" w:firstLineChars="0"/>
              <w:jc w:val="center"/>
              <w:rPr>
                <w:sz w:val="21"/>
              </w:rPr>
            </w:pPr>
          </w:p>
        </w:tc>
        <w:tc>
          <w:tcPr>
            <w:tcW w:w="715" w:type="dxa"/>
            <w:vMerge w:val="continue"/>
            <w:shd w:val="clear" w:color="auto" w:fill="FFFFFF"/>
            <w:noWrap w:val="0"/>
            <w:vAlign w:val="center"/>
          </w:tcPr>
          <w:p>
            <w:pPr>
              <w:adjustRightInd/>
              <w:snapToGrid/>
              <w:spacing w:line="240" w:lineRule="auto"/>
              <w:ind w:firstLine="0" w:firstLineChars="0"/>
              <w:jc w:val="center"/>
              <w:rPr>
                <w:sz w:val="21"/>
              </w:rPr>
            </w:pPr>
          </w:p>
        </w:tc>
        <w:tc>
          <w:tcPr>
            <w:tcW w:w="4820" w:type="dxa"/>
            <w:gridSpan w:val="2"/>
            <w:vMerge w:val="continue"/>
            <w:shd w:val="clear" w:color="auto" w:fill="FFFFFF"/>
            <w:noWrap w:val="0"/>
            <w:vAlign w:val="center"/>
          </w:tcPr>
          <w:p>
            <w:pPr>
              <w:adjustRightInd/>
              <w:snapToGrid/>
              <w:spacing w:line="240" w:lineRule="auto"/>
              <w:ind w:firstLine="0" w:firstLineChars="0"/>
              <w:jc w:val="center"/>
              <w:rPr>
                <w:sz w:val="21"/>
              </w:rPr>
            </w:pPr>
          </w:p>
        </w:tc>
        <w:tc>
          <w:tcPr>
            <w:tcW w:w="638" w:type="dxa"/>
            <w:shd w:val="clear" w:color="auto" w:fill="FFFFFF"/>
            <w:noWrap w:val="0"/>
            <w:vAlign w:val="center"/>
          </w:tcPr>
          <w:p>
            <w:pPr>
              <w:adjustRightInd/>
              <w:snapToGrid/>
              <w:spacing w:line="240" w:lineRule="auto"/>
              <w:ind w:firstLine="0" w:firstLineChars="0"/>
              <w:jc w:val="center"/>
              <w:rPr>
                <w:sz w:val="21"/>
              </w:rPr>
            </w:pPr>
            <w:r>
              <w:rPr>
                <w:rFonts w:hint="eastAsia"/>
                <w:sz w:val="21"/>
              </w:rPr>
              <w:t>目标1</w:t>
            </w:r>
          </w:p>
        </w:tc>
        <w:tc>
          <w:tcPr>
            <w:tcW w:w="638" w:type="dxa"/>
            <w:shd w:val="clear" w:color="auto" w:fill="FFFFFF"/>
            <w:noWrap w:val="0"/>
            <w:vAlign w:val="center"/>
          </w:tcPr>
          <w:p>
            <w:pPr>
              <w:adjustRightInd/>
              <w:snapToGrid/>
              <w:spacing w:line="240" w:lineRule="auto"/>
              <w:ind w:firstLine="0" w:firstLineChars="0"/>
              <w:jc w:val="center"/>
              <w:rPr>
                <w:sz w:val="21"/>
              </w:rPr>
            </w:pPr>
            <w:r>
              <w:rPr>
                <w:rFonts w:hint="eastAsia"/>
                <w:sz w:val="21"/>
              </w:rPr>
              <w:t>目标2</w:t>
            </w:r>
          </w:p>
        </w:tc>
        <w:tc>
          <w:tcPr>
            <w:tcW w:w="638" w:type="dxa"/>
            <w:shd w:val="clear" w:color="auto" w:fill="FFFFFF"/>
            <w:noWrap w:val="0"/>
            <w:vAlign w:val="center"/>
          </w:tcPr>
          <w:p>
            <w:pPr>
              <w:adjustRightInd/>
              <w:snapToGrid/>
              <w:spacing w:line="240" w:lineRule="auto"/>
              <w:ind w:firstLine="0" w:firstLineChars="0"/>
              <w:jc w:val="center"/>
              <w:rPr>
                <w:sz w:val="21"/>
              </w:rPr>
            </w:pPr>
            <w:r>
              <w:rPr>
                <w:rFonts w:hint="eastAsia"/>
                <w:sz w:val="21"/>
              </w:rPr>
              <w:t>目标</w:t>
            </w:r>
            <w:r>
              <w:rPr>
                <w:sz w:val="21"/>
              </w:rPr>
              <w:t>3</w:t>
            </w:r>
          </w:p>
        </w:tc>
        <w:tc>
          <w:tcPr>
            <w:tcW w:w="638" w:type="dxa"/>
            <w:shd w:val="clear" w:color="auto" w:fill="FFFFFF"/>
            <w:noWrap w:val="0"/>
            <w:vAlign w:val="center"/>
          </w:tcPr>
          <w:p>
            <w:pPr>
              <w:adjustRightInd/>
              <w:snapToGrid/>
              <w:spacing w:line="240" w:lineRule="auto"/>
              <w:ind w:firstLine="0" w:firstLineChars="0"/>
              <w:jc w:val="center"/>
              <w:rPr>
                <w:sz w:val="21"/>
              </w:rPr>
            </w:pPr>
            <w:r>
              <w:rPr>
                <w:rFonts w:hint="eastAsia"/>
                <w:sz w:val="21"/>
              </w:rPr>
              <w:t>目标</w:t>
            </w:r>
            <w:r>
              <w:rPr>
                <w:sz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shd w:val="clear" w:color="auto" w:fill="FFFFFF"/>
            <w:noWrap w:val="0"/>
            <w:tcMar>
              <w:left w:w="57" w:type="dxa"/>
              <w:right w:w="57" w:type="dxa"/>
            </w:tcMar>
            <w:vAlign w:val="center"/>
          </w:tcPr>
          <w:p>
            <w:pPr>
              <w:adjustRightInd/>
              <w:snapToGrid/>
              <w:spacing w:line="240" w:lineRule="auto"/>
              <w:ind w:firstLine="0" w:firstLineChars="0"/>
              <w:jc w:val="center"/>
              <w:rPr>
                <w:sz w:val="21"/>
              </w:rPr>
            </w:pPr>
            <w:r>
              <w:rPr>
                <w:rFonts w:hint="eastAsia"/>
                <w:sz w:val="21"/>
              </w:rPr>
              <w:t>平时表现</w:t>
            </w:r>
          </w:p>
        </w:tc>
        <w:tc>
          <w:tcPr>
            <w:tcW w:w="715" w:type="dxa"/>
            <w:shd w:val="clear" w:color="auto" w:fill="FFFFFF"/>
            <w:noWrap w:val="0"/>
            <w:vAlign w:val="center"/>
          </w:tcPr>
          <w:p>
            <w:pPr>
              <w:adjustRightInd/>
              <w:snapToGrid/>
              <w:spacing w:line="240" w:lineRule="auto"/>
              <w:ind w:firstLine="0" w:firstLineChars="0"/>
              <w:jc w:val="center"/>
              <w:rPr>
                <w:sz w:val="21"/>
              </w:rPr>
            </w:pPr>
            <w:r>
              <w:rPr>
                <w:rFonts w:hint="eastAsia"/>
                <w:sz w:val="21"/>
              </w:rPr>
              <w:t>20%</w:t>
            </w:r>
          </w:p>
        </w:tc>
        <w:tc>
          <w:tcPr>
            <w:tcW w:w="4820" w:type="dxa"/>
            <w:gridSpan w:val="2"/>
            <w:shd w:val="clear" w:color="auto" w:fill="FFFFFF"/>
            <w:noWrap w:val="0"/>
            <w:vAlign w:val="center"/>
          </w:tcPr>
          <w:p>
            <w:pPr>
              <w:adjustRightInd/>
              <w:snapToGrid/>
              <w:spacing w:line="240" w:lineRule="auto"/>
              <w:ind w:firstLine="0" w:firstLineChars="0"/>
              <w:rPr>
                <w:sz w:val="21"/>
              </w:rPr>
            </w:pPr>
            <w:r>
              <w:rPr>
                <w:rFonts w:hint="eastAsia"/>
                <w:sz w:val="21"/>
              </w:rPr>
              <w:t>课堂不定期点名，考核能否按时到勤，对于旷课、迟到和早退者适当扣分，根据平时课堂笔记、课堂回答问题等情况确定平时表现分数。</w:t>
            </w:r>
          </w:p>
        </w:tc>
        <w:tc>
          <w:tcPr>
            <w:tcW w:w="638" w:type="dxa"/>
            <w:shd w:val="clear" w:color="auto" w:fill="FFFFFF"/>
            <w:noWrap w:val="0"/>
            <w:vAlign w:val="center"/>
          </w:tcPr>
          <w:p>
            <w:pPr>
              <w:adjustRightInd/>
              <w:snapToGrid/>
              <w:spacing w:line="240" w:lineRule="auto"/>
              <w:ind w:firstLine="0" w:firstLineChars="0"/>
              <w:jc w:val="center"/>
              <w:rPr>
                <w:sz w:val="21"/>
                <w:highlight w:val="yellow"/>
              </w:rPr>
            </w:pPr>
            <w:r>
              <w:rPr>
                <w:rFonts w:hint="eastAsia"/>
                <w:sz w:val="21"/>
              </w:rPr>
              <w:t>4%</w:t>
            </w:r>
          </w:p>
        </w:tc>
        <w:tc>
          <w:tcPr>
            <w:tcW w:w="638" w:type="dxa"/>
            <w:shd w:val="clear" w:color="auto" w:fill="FFFFFF"/>
            <w:noWrap w:val="0"/>
            <w:vAlign w:val="center"/>
          </w:tcPr>
          <w:p>
            <w:pPr>
              <w:adjustRightInd/>
              <w:snapToGrid/>
              <w:spacing w:line="240" w:lineRule="auto"/>
              <w:ind w:firstLine="0" w:firstLineChars="0"/>
              <w:jc w:val="center"/>
              <w:rPr>
                <w:sz w:val="21"/>
                <w:highlight w:val="yellow"/>
              </w:rPr>
            </w:pPr>
            <w:r>
              <w:rPr>
                <w:rFonts w:hint="eastAsia"/>
                <w:sz w:val="21"/>
              </w:rPr>
              <w:t>6%</w:t>
            </w:r>
          </w:p>
        </w:tc>
        <w:tc>
          <w:tcPr>
            <w:tcW w:w="638" w:type="dxa"/>
            <w:shd w:val="clear" w:color="auto" w:fill="FFFFFF"/>
            <w:noWrap w:val="0"/>
            <w:vAlign w:val="center"/>
          </w:tcPr>
          <w:p>
            <w:pPr>
              <w:adjustRightInd/>
              <w:snapToGrid/>
              <w:spacing w:line="240" w:lineRule="auto"/>
              <w:ind w:firstLine="0" w:firstLineChars="0"/>
              <w:jc w:val="center"/>
              <w:rPr>
                <w:sz w:val="21"/>
              </w:rPr>
            </w:pPr>
            <w:r>
              <w:rPr>
                <w:rFonts w:hint="eastAsia"/>
                <w:sz w:val="21"/>
              </w:rPr>
              <w:t>4</w:t>
            </w:r>
            <w:r>
              <w:rPr>
                <w:sz w:val="21"/>
              </w:rPr>
              <w:t>%</w:t>
            </w:r>
            <w:r>
              <w:rPr>
                <w:sz w:val="21"/>
              </w:rPr>
              <w:tab/>
            </w:r>
          </w:p>
        </w:tc>
        <w:tc>
          <w:tcPr>
            <w:tcW w:w="638" w:type="dxa"/>
            <w:shd w:val="clear" w:color="auto" w:fill="FFFFFF"/>
            <w:noWrap w:val="0"/>
            <w:vAlign w:val="center"/>
          </w:tcPr>
          <w:p>
            <w:pPr>
              <w:adjustRightInd/>
              <w:snapToGrid/>
              <w:spacing w:line="240" w:lineRule="auto"/>
              <w:ind w:firstLine="0" w:firstLineChars="0"/>
              <w:jc w:val="center"/>
              <w:rPr>
                <w:sz w:val="21"/>
              </w:rPr>
            </w:pPr>
            <w:r>
              <w:rPr>
                <w:rFonts w:hint="eastAsia"/>
                <w:sz w:val="21"/>
              </w:rPr>
              <w:t>6</w:t>
            </w:r>
            <w:r>
              <w:rPr>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043" w:type="dxa"/>
            <w:shd w:val="clear" w:color="auto" w:fill="auto"/>
            <w:noWrap w:val="0"/>
            <w:tcMar>
              <w:left w:w="57" w:type="dxa"/>
              <w:right w:w="57" w:type="dxa"/>
            </w:tcMar>
            <w:vAlign w:val="center"/>
          </w:tcPr>
          <w:p>
            <w:pPr>
              <w:adjustRightInd/>
              <w:snapToGrid/>
              <w:spacing w:line="240" w:lineRule="auto"/>
              <w:ind w:firstLine="0" w:firstLineChars="0"/>
              <w:jc w:val="center"/>
              <w:rPr>
                <w:sz w:val="21"/>
              </w:rPr>
            </w:pPr>
            <w:r>
              <w:rPr>
                <w:sz w:val="21"/>
              </w:rPr>
              <w:t>作</w:t>
            </w:r>
            <w:r>
              <w:rPr>
                <w:rFonts w:hint="eastAsia"/>
                <w:sz w:val="21"/>
              </w:rPr>
              <w:t xml:space="preserve">    </w:t>
            </w:r>
            <w:r>
              <w:rPr>
                <w:sz w:val="21"/>
              </w:rPr>
              <w:t>业</w:t>
            </w:r>
          </w:p>
        </w:tc>
        <w:tc>
          <w:tcPr>
            <w:tcW w:w="715" w:type="dxa"/>
            <w:shd w:val="clear" w:color="auto" w:fill="auto"/>
            <w:noWrap w:val="0"/>
            <w:vAlign w:val="center"/>
          </w:tcPr>
          <w:p>
            <w:pPr>
              <w:adjustRightInd/>
              <w:snapToGrid/>
              <w:spacing w:line="240" w:lineRule="auto"/>
              <w:ind w:firstLine="0" w:firstLineChars="0"/>
              <w:jc w:val="center"/>
              <w:rPr>
                <w:sz w:val="21"/>
              </w:rPr>
            </w:pPr>
            <w:r>
              <w:rPr>
                <w:rFonts w:hint="eastAsia"/>
                <w:sz w:val="21"/>
              </w:rPr>
              <w:t>30</w:t>
            </w:r>
            <w:r>
              <w:rPr>
                <w:sz w:val="21"/>
              </w:rPr>
              <w:t>%</w:t>
            </w:r>
          </w:p>
        </w:tc>
        <w:tc>
          <w:tcPr>
            <w:tcW w:w="4820" w:type="dxa"/>
            <w:gridSpan w:val="2"/>
            <w:shd w:val="clear" w:color="auto" w:fill="auto"/>
            <w:noWrap w:val="0"/>
            <w:vAlign w:val="center"/>
          </w:tcPr>
          <w:p>
            <w:pPr>
              <w:adjustRightInd/>
              <w:snapToGrid/>
              <w:spacing w:line="240" w:lineRule="auto"/>
              <w:ind w:firstLine="0" w:firstLineChars="0"/>
              <w:rPr>
                <w:sz w:val="21"/>
                <w:szCs w:val="21"/>
              </w:rPr>
            </w:pPr>
            <w:r>
              <w:rPr>
                <w:rFonts w:hint="eastAsia"/>
                <w:sz w:val="21"/>
                <w:szCs w:val="21"/>
              </w:rPr>
              <w:t>每章节对应有思考题和习题，考核学生对每节课知识点的复习、理解和掌握度。对每次作业完成情况做记录并百分制打分。</w:t>
            </w:r>
          </w:p>
        </w:tc>
        <w:tc>
          <w:tcPr>
            <w:tcW w:w="638" w:type="dxa"/>
            <w:shd w:val="clear" w:color="auto" w:fill="FFFFFF"/>
            <w:noWrap w:val="0"/>
            <w:vAlign w:val="center"/>
          </w:tcPr>
          <w:p>
            <w:pPr>
              <w:adjustRightInd/>
              <w:snapToGrid/>
              <w:spacing w:line="240" w:lineRule="auto"/>
              <w:ind w:firstLine="0" w:firstLineChars="0"/>
              <w:jc w:val="center"/>
              <w:rPr>
                <w:color w:val="000000"/>
                <w:sz w:val="21"/>
                <w:szCs w:val="21"/>
              </w:rPr>
            </w:pPr>
            <w:r>
              <w:rPr>
                <w:color w:val="000000"/>
                <w:sz w:val="21"/>
                <w:szCs w:val="21"/>
              </w:rPr>
              <w:t>5</w:t>
            </w:r>
            <w:r>
              <w:rPr>
                <w:rFonts w:hint="eastAsia"/>
                <w:color w:val="000000"/>
                <w:sz w:val="21"/>
                <w:szCs w:val="21"/>
              </w:rPr>
              <w:t>%</w:t>
            </w:r>
          </w:p>
        </w:tc>
        <w:tc>
          <w:tcPr>
            <w:tcW w:w="638" w:type="dxa"/>
            <w:shd w:val="clear" w:color="auto" w:fill="FFFFFF"/>
            <w:noWrap w:val="0"/>
            <w:vAlign w:val="center"/>
          </w:tcPr>
          <w:p>
            <w:pPr>
              <w:adjustRightInd/>
              <w:snapToGrid/>
              <w:spacing w:line="240" w:lineRule="auto"/>
              <w:ind w:firstLine="0" w:firstLineChars="0"/>
              <w:jc w:val="center"/>
              <w:rPr>
                <w:color w:val="000000"/>
                <w:sz w:val="21"/>
                <w:szCs w:val="21"/>
              </w:rPr>
            </w:pPr>
            <w:r>
              <w:rPr>
                <w:color w:val="000000"/>
                <w:sz w:val="21"/>
                <w:szCs w:val="21"/>
              </w:rPr>
              <w:t>10</w:t>
            </w:r>
            <w:r>
              <w:rPr>
                <w:rFonts w:hint="eastAsia"/>
                <w:color w:val="000000"/>
                <w:sz w:val="21"/>
                <w:szCs w:val="21"/>
              </w:rPr>
              <w:t>%</w:t>
            </w:r>
          </w:p>
        </w:tc>
        <w:tc>
          <w:tcPr>
            <w:tcW w:w="638" w:type="dxa"/>
            <w:shd w:val="clear" w:color="auto" w:fill="FFFFFF"/>
            <w:noWrap w:val="0"/>
            <w:vAlign w:val="center"/>
          </w:tcPr>
          <w:p>
            <w:pPr>
              <w:adjustRightInd/>
              <w:snapToGrid/>
              <w:spacing w:line="240" w:lineRule="auto"/>
              <w:ind w:firstLine="0" w:firstLineChars="0"/>
              <w:jc w:val="center"/>
              <w:rPr>
                <w:color w:val="000000"/>
                <w:sz w:val="21"/>
                <w:szCs w:val="21"/>
              </w:rPr>
            </w:pPr>
            <w:r>
              <w:rPr>
                <w:color w:val="000000"/>
                <w:sz w:val="21"/>
                <w:szCs w:val="21"/>
              </w:rPr>
              <w:t>5%</w:t>
            </w:r>
            <w:r>
              <w:rPr>
                <w:color w:val="000000"/>
                <w:sz w:val="21"/>
                <w:szCs w:val="21"/>
              </w:rPr>
              <w:tab/>
            </w:r>
          </w:p>
        </w:tc>
        <w:tc>
          <w:tcPr>
            <w:tcW w:w="638" w:type="dxa"/>
            <w:shd w:val="clear" w:color="auto" w:fill="FFFFFF"/>
            <w:noWrap w:val="0"/>
            <w:vAlign w:val="center"/>
          </w:tcPr>
          <w:p>
            <w:pPr>
              <w:adjustRightInd/>
              <w:snapToGrid/>
              <w:spacing w:line="240" w:lineRule="auto"/>
              <w:ind w:firstLine="0" w:firstLineChars="0"/>
              <w:jc w:val="center"/>
              <w:rPr>
                <w:color w:val="000000"/>
                <w:sz w:val="21"/>
                <w:szCs w:val="21"/>
              </w:rPr>
            </w:pPr>
            <w:r>
              <w:rPr>
                <w:color w:val="000000"/>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043" w:type="dxa"/>
            <w:vMerge w:val="restart"/>
            <w:shd w:val="clear" w:color="auto" w:fill="auto"/>
            <w:noWrap w:val="0"/>
            <w:tcMar>
              <w:left w:w="57" w:type="dxa"/>
              <w:right w:w="57" w:type="dxa"/>
            </w:tcMar>
            <w:vAlign w:val="center"/>
          </w:tcPr>
          <w:p>
            <w:pPr>
              <w:adjustRightInd/>
              <w:snapToGrid/>
              <w:spacing w:line="240" w:lineRule="auto"/>
              <w:ind w:firstLine="0" w:firstLineChars="0"/>
              <w:jc w:val="center"/>
              <w:rPr>
                <w:sz w:val="21"/>
              </w:rPr>
            </w:pPr>
            <w:r>
              <w:rPr>
                <w:sz w:val="21"/>
              </w:rPr>
              <w:t>期末</w:t>
            </w:r>
            <w:r>
              <w:rPr>
                <w:rFonts w:hint="eastAsia"/>
                <w:sz w:val="21"/>
              </w:rPr>
              <w:t>试卷</w:t>
            </w:r>
          </w:p>
        </w:tc>
        <w:tc>
          <w:tcPr>
            <w:tcW w:w="715" w:type="dxa"/>
            <w:vMerge w:val="restart"/>
            <w:shd w:val="clear" w:color="auto" w:fill="auto"/>
            <w:noWrap w:val="0"/>
            <w:vAlign w:val="center"/>
          </w:tcPr>
          <w:p>
            <w:pPr>
              <w:adjustRightInd/>
              <w:snapToGrid/>
              <w:spacing w:line="240" w:lineRule="auto"/>
              <w:ind w:firstLine="0" w:firstLineChars="0"/>
              <w:jc w:val="center"/>
              <w:rPr>
                <w:sz w:val="21"/>
              </w:rPr>
            </w:pPr>
            <w:r>
              <w:rPr>
                <w:rFonts w:hint="eastAsia"/>
                <w:sz w:val="21"/>
              </w:rPr>
              <w:t>50</w:t>
            </w:r>
            <w:r>
              <w:rPr>
                <w:sz w:val="21"/>
              </w:rPr>
              <w:t>%</w:t>
            </w:r>
            <w:r>
              <w:rPr>
                <w:rFonts w:hint="eastAsia"/>
                <w:sz w:val="21"/>
              </w:rPr>
              <w:t xml:space="preserve"> </w:t>
            </w:r>
          </w:p>
        </w:tc>
        <w:tc>
          <w:tcPr>
            <w:tcW w:w="1560" w:type="dxa"/>
            <w:tcBorders>
              <w:left w:val="single" w:color="auto" w:sz="4" w:space="0"/>
            </w:tcBorders>
            <w:shd w:val="clear" w:color="auto" w:fill="auto"/>
            <w:noWrap w:val="0"/>
            <w:vAlign w:val="center"/>
          </w:tcPr>
          <w:p>
            <w:pPr>
              <w:adjustRightInd/>
              <w:snapToGrid/>
              <w:spacing w:line="240" w:lineRule="auto"/>
              <w:ind w:firstLine="0" w:firstLineChars="0"/>
              <w:jc w:val="center"/>
              <w:rPr>
                <w:color w:val="000000"/>
                <w:sz w:val="21"/>
                <w:szCs w:val="21"/>
              </w:rPr>
            </w:pPr>
            <w:r>
              <w:rPr>
                <w:rFonts w:hint="eastAsia"/>
                <w:color w:val="000000"/>
                <w:sz w:val="21"/>
                <w:szCs w:val="21"/>
              </w:rPr>
              <w:t>题型</w:t>
            </w:r>
          </w:p>
        </w:tc>
        <w:tc>
          <w:tcPr>
            <w:tcW w:w="3260" w:type="dxa"/>
            <w:tcBorders>
              <w:left w:val="single" w:color="auto" w:sz="4" w:space="0"/>
            </w:tcBorders>
            <w:shd w:val="clear" w:color="auto" w:fill="auto"/>
            <w:noWrap w:val="0"/>
            <w:vAlign w:val="center"/>
          </w:tcPr>
          <w:p>
            <w:pPr>
              <w:widowControl/>
              <w:adjustRightInd/>
              <w:snapToGrid/>
              <w:spacing w:line="240" w:lineRule="auto"/>
              <w:ind w:firstLine="0" w:firstLineChars="0"/>
              <w:jc w:val="center"/>
              <w:rPr>
                <w:sz w:val="21"/>
              </w:rPr>
            </w:pPr>
            <w:r>
              <w:rPr>
                <w:rFonts w:hint="eastAsia"/>
                <w:color w:val="000000"/>
                <w:sz w:val="21"/>
                <w:szCs w:val="21"/>
              </w:rPr>
              <w:t>考核内容及相应试题</w:t>
            </w:r>
          </w:p>
        </w:tc>
        <w:tc>
          <w:tcPr>
            <w:tcW w:w="2552" w:type="dxa"/>
            <w:gridSpan w:val="4"/>
            <w:tcBorders>
              <w:tl2br w:val="single" w:color="auto" w:sz="4" w:space="0"/>
            </w:tcBorders>
            <w:shd w:val="clear" w:color="auto" w:fill="FFFFFF"/>
            <w:noWrap w:val="0"/>
            <w:vAlign w:val="top"/>
          </w:tcPr>
          <w:p>
            <w:pPr>
              <w:adjustRightInd/>
              <w:snapToGrid/>
              <w:spacing w:line="240" w:lineRule="auto"/>
              <w:ind w:firstLine="0" w:firstLineChars="0"/>
              <w:rPr>
                <w:rFonts w:eastAsia="楷体"/>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noWrap w:val="0"/>
            <w:tcMar>
              <w:left w:w="57" w:type="dxa"/>
              <w:right w:w="57" w:type="dxa"/>
            </w:tcMar>
            <w:vAlign w:val="center"/>
          </w:tcPr>
          <w:p>
            <w:pPr>
              <w:adjustRightInd/>
              <w:snapToGrid/>
              <w:spacing w:line="240" w:lineRule="auto"/>
              <w:ind w:firstLine="0" w:firstLineChars="0"/>
              <w:jc w:val="center"/>
              <w:rPr>
                <w:sz w:val="21"/>
              </w:rPr>
            </w:pPr>
          </w:p>
        </w:tc>
        <w:tc>
          <w:tcPr>
            <w:tcW w:w="715" w:type="dxa"/>
            <w:vMerge w:val="continue"/>
            <w:shd w:val="clear" w:color="auto" w:fill="auto"/>
            <w:noWrap w:val="0"/>
            <w:vAlign w:val="center"/>
          </w:tcPr>
          <w:p>
            <w:pPr>
              <w:adjustRightInd/>
              <w:snapToGrid/>
              <w:spacing w:line="240" w:lineRule="auto"/>
              <w:ind w:firstLine="0" w:firstLineChars="0"/>
              <w:jc w:val="center"/>
              <w:rPr>
                <w:sz w:val="21"/>
              </w:rPr>
            </w:pPr>
          </w:p>
        </w:tc>
        <w:tc>
          <w:tcPr>
            <w:tcW w:w="1560" w:type="dxa"/>
            <w:tcBorders>
              <w:left w:val="single" w:color="auto" w:sz="4" w:space="0"/>
            </w:tcBorders>
            <w:shd w:val="clear" w:color="auto" w:fill="auto"/>
            <w:noWrap w:val="0"/>
            <w:vAlign w:val="center"/>
          </w:tcPr>
          <w:p>
            <w:pPr>
              <w:adjustRightInd/>
              <w:snapToGrid/>
              <w:spacing w:line="240" w:lineRule="auto"/>
              <w:ind w:firstLine="0" w:firstLineChars="0"/>
              <w:jc w:val="center"/>
              <w:rPr>
                <w:color w:val="000000"/>
                <w:sz w:val="21"/>
                <w:szCs w:val="21"/>
              </w:rPr>
            </w:pPr>
            <w:r>
              <w:rPr>
                <w:rFonts w:hint="eastAsia"/>
                <w:color w:val="000000"/>
                <w:sz w:val="21"/>
                <w:szCs w:val="21"/>
              </w:rPr>
              <w:t>选择题</w:t>
            </w:r>
          </w:p>
        </w:tc>
        <w:tc>
          <w:tcPr>
            <w:tcW w:w="3260" w:type="dxa"/>
            <w:tcBorders>
              <w:left w:val="single" w:color="auto" w:sz="4" w:space="0"/>
            </w:tcBorders>
            <w:shd w:val="clear" w:color="auto" w:fill="auto"/>
            <w:noWrap w:val="0"/>
            <w:vAlign w:val="center"/>
          </w:tcPr>
          <w:p>
            <w:pPr>
              <w:adjustRightInd/>
              <w:snapToGrid/>
              <w:spacing w:line="240" w:lineRule="auto"/>
              <w:ind w:firstLine="0" w:firstLineChars="0"/>
              <w:rPr>
                <w:color w:val="000000"/>
                <w:sz w:val="21"/>
                <w:szCs w:val="21"/>
                <w:highlight w:val="yellow"/>
              </w:rPr>
            </w:pPr>
            <w:r>
              <w:rPr>
                <w:rFonts w:hint="eastAsia"/>
                <w:color w:val="000000"/>
                <w:sz w:val="21"/>
                <w:szCs w:val="21"/>
              </w:rPr>
              <w:t>主要考核化学反应工程的范畴和任务、化学反应和反应器的分类方法、化学反应器设计基础、非等温条件下理想反应器的设计、单一不可逆反应过程与反应器、自催化反应特性与反应器选型</w:t>
            </w:r>
          </w:p>
        </w:tc>
        <w:tc>
          <w:tcPr>
            <w:tcW w:w="638" w:type="dxa"/>
            <w:shd w:val="clear" w:color="auto" w:fill="FFFFFF"/>
            <w:noWrap w:val="0"/>
            <w:vAlign w:val="center"/>
          </w:tcPr>
          <w:p>
            <w:pPr>
              <w:widowControl/>
              <w:adjustRightInd/>
              <w:snapToGrid/>
              <w:spacing w:line="240" w:lineRule="auto"/>
              <w:ind w:firstLine="0" w:firstLineChars="0"/>
              <w:jc w:val="center"/>
              <w:rPr>
                <w:sz w:val="21"/>
              </w:rPr>
            </w:pPr>
            <w:r>
              <w:rPr>
                <w:sz w:val="21"/>
              </w:rPr>
              <w:t>2</w:t>
            </w:r>
            <w:r>
              <w:rPr>
                <w:rFonts w:hint="eastAsia"/>
                <w:sz w:val="21"/>
              </w:rPr>
              <w:t>%</w:t>
            </w:r>
          </w:p>
        </w:tc>
        <w:tc>
          <w:tcPr>
            <w:tcW w:w="638" w:type="dxa"/>
            <w:shd w:val="clear" w:color="auto" w:fill="FFFFFF"/>
            <w:noWrap w:val="0"/>
            <w:vAlign w:val="center"/>
          </w:tcPr>
          <w:p>
            <w:pPr>
              <w:widowControl/>
              <w:adjustRightInd/>
              <w:snapToGrid/>
              <w:spacing w:line="240" w:lineRule="auto"/>
              <w:ind w:firstLine="0" w:firstLineChars="0"/>
              <w:jc w:val="center"/>
              <w:rPr>
                <w:sz w:val="21"/>
              </w:rPr>
            </w:pPr>
            <w:r>
              <w:rPr>
                <w:sz w:val="21"/>
              </w:rPr>
              <w:t>3%</w:t>
            </w:r>
          </w:p>
        </w:tc>
        <w:tc>
          <w:tcPr>
            <w:tcW w:w="638" w:type="dxa"/>
            <w:shd w:val="clear" w:color="auto" w:fill="FFFFFF"/>
            <w:noWrap w:val="0"/>
            <w:vAlign w:val="center"/>
          </w:tcPr>
          <w:p>
            <w:pPr>
              <w:widowControl/>
              <w:adjustRightInd/>
              <w:snapToGrid/>
              <w:spacing w:line="240" w:lineRule="auto"/>
              <w:ind w:firstLine="0" w:firstLineChars="0"/>
              <w:jc w:val="center"/>
              <w:rPr>
                <w:sz w:val="21"/>
              </w:rPr>
            </w:pPr>
            <w:r>
              <w:rPr>
                <w:sz w:val="21"/>
              </w:rPr>
              <w:t>2%</w:t>
            </w:r>
            <w:r>
              <w:rPr>
                <w:sz w:val="21"/>
              </w:rPr>
              <w:tab/>
            </w:r>
          </w:p>
        </w:tc>
        <w:tc>
          <w:tcPr>
            <w:tcW w:w="638" w:type="dxa"/>
            <w:shd w:val="clear" w:color="auto" w:fill="FFFFFF"/>
            <w:noWrap w:val="0"/>
            <w:vAlign w:val="center"/>
          </w:tcPr>
          <w:p>
            <w:pPr>
              <w:widowControl/>
              <w:adjustRightInd/>
              <w:snapToGrid/>
              <w:spacing w:line="240" w:lineRule="auto"/>
              <w:ind w:firstLine="0" w:firstLineChars="0"/>
              <w:jc w:val="center"/>
              <w:rPr>
                <w:sz w:val="21"/>
              </w:rPr>
            </w:pPr>
            <w:r>
              <w:rPr>
                <w:sz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noWrap w:val="0"/>
            <w:tcMar>
              <w:left w:w="57" w:type="dxa"/>
              <w:right w:w="57" w:type="dxa"/>
            </w:tcMar>
            <w:vAlign w:val="center"/>
          </w:tcPr>
          <w:p>
            <w:pPr>
              <w:adjustRightInd/>
              <w:snapToGrid/>
              <w:spacing w:line="240" w:lineRule="auto"/>
              <w:ind w:firstLine="0" w:firstLineChars="0"/>
              <w:jc w:val="center"/>
              <w:rPr>
                <w:sz w:val="21"/>
              </w:rPr>
            </w:pPr>
          </w:p>
        </w:tc>
        <w:tc>
          <w:tcPr>
            <w:tcW w:w="715" w:type="dxa"/>
            <w:vMerge w:val="continue"/>
            <w:shd w:val="clear" w:color="auto" w:fill="auto"/>
            <w:noWrap w:val="0"/>
            <w:vAlign w:val="center"/>
          </w:tcPr>
          <w:p>
            <w:pPr>
              <w:adjustRightInd/>
              <w:snapToGrid/>
              <w:spacing w:line="240" w:lineRule="auto"/>
              <w:ind w:firstLine="0" w:firstLineChars="0"/>
              <w:jc w:val="center"/>
              <w:rPr>
                <w:sz w:val="21"/>
              </w:rPr>
            </w:pPr>
          </w:p>
        </w:tc>
        <w:tc>
          <w:tcPr>
            <w:tcW w:w="1560" w:type="dxa"/>
            <w:tcBorders>
              <w:left w:val="single" w:color="auto" w:sz="4" w:space="0"/>
            </w:tcBorders>
            <w:shd w:val="clear" w:color="auto" w:fill="auto"/>
            <w:noWrap w:val="0"/>
            <w:vAlign w:val="center"/>
          </w:tcPr>
          <w:p>
            <w:pPr>
              <w:adjustRightInd/>
              <w:snapToGrid/>
              <w:spacing w:line="240" w:lineRule="auto"/>
              <w:ind w:firstLine="0" w:firstLineChars="0"/>
              <w:jc w:val="center"/>
              <w:rPr>
                <w:color w:val="000000"/>
                <w:sz w:val="21"/>
                <w:szCs w:val="21"/>
              </w:rPr>
            </w:pPr>
            <w:r>
              <w:rPr>
                <w:rFonts w:hint="eastAsia"/>
                <w:color w:val="000000"/>
                <w:sz w:val="21"/>
                <w:szCs w:val="21"/>
              </w:rPr>
              <w:t>填空</w:t>
            </w:r>
            <w:r>
              <w:rPr>
                <w:color w:val="000000"/>
                <w:sz w:val="21"/>
                <w:szCs w:val="21"/>
              </w:rPr>
              <w:t>题</w:t>
            </w:r>
          </w:p>
        </w:tc>
        <w:tc>
          <w:tcPr>
            <w:tcW w:w="3260" w:type="dxa"/>
            <w:tcBorders>
              <w:left w:val="single" w:color="auto" w:sz="4" w:space="0"/>
            </w:tcBorders>
            <w:shd w:val="clear" w:color="auto" w:fill="auto"/>
            <w:noWrap w:val="0"/>
            <w:vAlign w:val="center"/>
          </w:tcPr>
          <w:p>
            <w:pPr>
              <w:adjustRightInd/>
              <w:snapToGrid/>
              <w:spacing w:line="240" w:lineRule="auto"/>
              <w:ind w:firstLine="0" w:firstLineChars="0"/>
              <w:rPr>
                <w:color w:val="000000"/>
                <w:sz w:val="21"/>
                <w:szCs w:val="21"/>
              </w:rPr>
            </w:pPr>
            <w:r>
              <w:rPr>
                <w:rFonts w:hint="eastAsia"/>
                <w:color w:val="000000"/>
                <w:sz w:val="21"/>
                <w:szCs w:val="21"/>
              </w:rPr>
              <w:t>主要考核返混对反应过程的影响、流体在反应器内的停留时间分布、气固相催化过程、气固相催化反应本征动力学、气固相催化等温反应的宏观动力学方程</w:t>
            </w:r>
          </w:p>
        </w:tc>
        <w:tc>
          <w:tcPr>
            <w:tcW w:w="638" w:type="dxa"/>
            <w:shd w:val="clear" w:color="auto" w:fill="FFFFFF"/>
            <w:noWrap w:val="0"/>
            <w:vAlign w:val="center"/>
          </w:tcPr>
          <w:p>
            <w:pPr>
              <w:adjustRightInd/>
              <w:snapToGrid/>
              <w:spacing w:line="240" w:lineRule="auto"/>
              <w:ind w:firstLine="0" w:firstLineChars="0"/>
              <w:jc w:val="center"/>
              <w:rPr>
                <w:color w:val="000000"/>
                <w:sz w:val="21"/>
                <w:szCs w:val="21"/>
              </w:rPr>
            </w:pPr>
            <w:r>
              <w:rPr>
                <w:color w:val="000000"/>
                <w:sz w:val="21"/>
                <w:szCs w:val="21"/>
              </w:rPr>
              <w:t>2</w:t>
            </w:r>
            <w:r>
              <w:rPr>
                <w:rFonts w:hint="eastAsia"/>
                <w:color w:val="000000"/>
                <w:sz w:val="21"/>
                <w:szCs w:val="21"/>
              </w:rPr>
              <w:t>%</w:t>
            </w:r>
          </w:p>
        </w:tc>
        <w:tc>
          <w:tcPr>
            <w:tcW w:w="638" w:type="dxa"/>
            <w:shd w:val="clear" w:color="auto" w:fill="FFFFFF"/>
            <w:noWrap w:val="0"/>
            <w:vAlign w:val="center"/>
          </w:tcPr>
          <w:p>
            <w:pPr>
              <w:adjustRightInd/>
              <w:snapToGrid/>
              <w:spacing w:line="240" w:lineRule="auto"/>
              <w:ind w:firstLine="0" w:firstLineChars="0"/>
              <w:jc w:val="center"/>
              <w:rPr>
                <w:color w:val="000000"/>
                <w:sz w:val="21"/>
                <w:szCs w:val="21"/>
              </w:rPr>
            </w:pPr>
            <w:r>
              <w:rPr>
                <w:color w:val="000000"/>
                <w:sz w:val="21"/>
                <w:szCs w:val="21"/>
              </w:rPr>
              <w:t>3%</w:t>
            </w:r>
          </w:p>
        </w:tc>
        <w:tc>
          <w:tcPr>
            <w:tcW w:w="638" w:type="dxa"/>
            <w:shd w:val="clear" w:color="auto" w:fill="FFFFFF"/>
            <w:noWrap w:val="0"/>
            <w:vAlign w:val="center"/>
          </w:tcPr>
          <w:p>
            <w:pPr>
              <w:adjustRightInd/>
              <w:snapToGrid/>
              <w:spacing w:line="240" w:lineRule="auto"/>
              <w:ind w:firstLine="0" w:firstLineChars="0"/>
              <w:jc w:val="center"/>
              <w:rPr>
                <w:color w:val="000000"/>
                <w:sz w:val="21"/>
                <w:szCs w:val="21"/>
              </w:rPr>
            </w:pPr>
            <w:r>
              <w:rPr>
                <w:color w:val="000000"/>
                <w:sz w:val="21"/>
                <w:szCs w:val="21"/>
              </w:rPr>
              <w:t>2%</w:t>
            </w:r>
            <w:r>
              <w:rPr>
                <w:color w:val="000000"/>
                <w:sz w:val="21"/>
                <w:szCs w:val="21"/>
              </w:rPr>
              <w:tab/>
            </w:r>
          </w:p>
        </w:tc>
        <w:tc>
          <w:tcPr>
            <w:tcW w:w="638" w:type="dxa"/>
            <w:shd w:val="clear" w:color="auto" w:fill="FFFFFF"/>
            <w:noWrap w:val="0"/>
            <w:vAlign w:val="center"/>
          </w:tcPr>
          <w:p>
            <w:pPr>
              <w:adjustRightInd/>
              <w:snapToGrid/>
              <w:spacing w:line="240" w:lineRule="auto"/>
              <w:ind w:firstLine="0" w:firstLineChars="0"/>
              <w:jc w:val="center"/>
              <w:rPr>
                <w:color w:val="000000"/>
                <w:sz w:val="21"/>
                <w:szCs w:val="21"/>
              </w:rPr>
            </w:pPr>
            <w:r>
              <w:rPr>
                <w:color w:val="000000"/>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noWrap w:val="0"/>
            <w:tcMar>
              <w:left w:w="57" w:type="dxa"/>
              <w:right w:w="57" w:type="dxa"/>
            </w:tcMar>
            <w:vAlign w:val="center"/>
          </w:tcPr>
          <w:p>
            <w:pPr>
              <w:adjustRightInd/>
              <w:snapToGrid/>
              <w:spacing w:line="240" w:lineRule="auto"/>
              <w:ind w:firstLine="0" w:firstLineChars="0"/>
              <w:jc w:val="center"/>
              <w:rPr>
                <w:sz w:val="21"/>
              </w:rPr>
            </w:pPr>
          </w:p>
        </w:tc>
        <w:tc>
          <w:tcPr>
            <w:tcW w:w="715" w:type="dxa"/>
            <w:vMerge w:val="continue"/>
            <w:shd w:val="clear" w:color="auto" w:fill="auto"/>
            <w:noWrap w:val="0"/>
            <w:vAlign w:val="center"/>
          </w:tcPr>
          <w:p>
            <w:pPr>
              <w:adjustRightInd/>
              <w:snapToGrid/>
              <w:spacing w:line="240" w:lineRule="auto"/>
              <w:ind w:firstLine="0" w:firstLineChars="0"/>
              <w:jc w:val="center"/>
              <w:rPr>
                <w:sz w:val="21"/>
              </w:rPr>
            </w:pPr>
          </w:p>
        </w:tc>
        <w:tc>
          <w:tcPr>
            <w:tcW w:w="1560" w:type="dxa"/>
            <w:tcBorders>
              <w:left w:val="single" w:color="auto" w:sz="4" w:space="0"/>
            </w:tcBorders>
            <w:shd w:val="clear" w:color="auto" w:fill="auto"/>
            <w:noWrap w:val="0"/>
            <w:vAlign w:val="center"/>
          </w:tcPr>
          <w:p>
            <w:pPr>
              <w:adjustRightInd/>
              <w:snapToGrid/>
              <w:spacing w:line="240" w:lineRule="auto"/>
              <w:ind w:firstLine="0" w:firstLineChars="0"/>
              <w:jc w:val="center"/>
              <w:rPr>
                <w:color w:val="000000"/>
                <w:sz w:val="21"/>
                <w:szCs w:val="21"/>
              </w:rPr>
            </w:pPr>
            <w:r>
              <w:rPr>
                <w:rFonts w:hint="eastAsia"/>
                <w:color w:val="000000"/>
                <w:sz w:val="21"/>
                <w:szCs w:val="21"/>
              </w:rPr>
              <w:t>计算</w:t>
            </w:r>
            <w:r>
              <w:rPr>
                <w:color w:val="000000"/>
                <w:sz w:val="21"/>
                <w:szCs w:val="21"/>
              </w:rPr>
              <w:t>题</w:t>
            </w:r>
          </w:p>
        </w:tc>
        <w:tc>
          <w:tcPr>
            <w:tcW w:w="3260" w:type="dxa"/>
            <w:tcBorders>
              <w:left w:val="single" w:color="auto" w:sz="4" w:space="0"/>
              <w:bottom w:val="single" w:color="auto" w:sz="4" w:space="0"/>
            </w:tcBorders>
            <w:shd w:val="clear" w:color="auto" w:fill="auto"/>
            <w:noWrap w:val="0"/>
            <w:vAlign w:val="center"/>
          </w:tcPr>
          <w:p>
            <w:pPr>
              <w:adjustRightInd/>
              <w:snapToGrid/>
              <w:spacing w:line="240" w:lineRule="auto"/>
              <w:ind w:firstLine="0" w:firstLineChars="0"/>
              <w:rPr>
                <w:color w:val="000000"/>
                <w:sz w:val="21"/>
                <w:szCs w:val="21"/>
              </w:rPr>
            </w:pPr>
            <w:r>
              <w:rPr>
                <w:rFonts w:hint="eastAsia"/>
                <w:color w:val="000000"/>
                <w:sz w:val="21"/>
                <w:szCs w:val="21"/>
              </w:rPr>
              <w:t>主要考核三种理想反应器设计计算、气固相催化反应的传递过程计算等</w:t>
            </w:r>
          </w:p>
        </w:tc>
        <w:tc>
          <w:tcPr>
            <w:tcW w:w="638" w:type="dxa"/>
            <w:shd w:val="clear" w:color="auto" w:fill="FFFFFF"/>
            <w:noWrap w:val="0"/>
            <w:vAlign w:val="center"/>
          </w:tcPr>
          <w:p>
            <w:pPr>
              <w:adjustRightInd/>
              <w:snapToGrid/>
              <w:spacing w:line="240" w:lineRule="auto"/>
              <w:ind w:firstLine="0" w:firstLineChars="0"/>
              <w:jc w:val="center"/>
              <w:rPr>
                <w:color w:val="000000"/>
                <w:sz w:val="21"/>
                <w:szCs w:val="21"/>
              </w:rPr>
            </w:pPr>
            <w:r>
              <w:rPr>
                <w:color w:val="000000"/>
                <w:sz w:val="21"/>
                <w:szCs w:val="21"/>
              </w:rPr>
              <w:t>5</w:t>
            </w:r>
            <w:r>
              <w:rPr>
                <w:rFonts w:hint="eastAsia"/>
                <w:color w:val="000000"/>
                <w:sz w:val="21"/>
                <w:szCs w:val="21"/>
              </w:rPr>
              <w:t>%</w:t>
            </w:r>
          </w:p>
        </w:tc>
        <w:tc>
          <w:tcPr>
            <w:tcW w:w="638" w:type="dxa"/>
            <w:shd w:val="clear" w:color="auto" w:fill="FFFFFF"/>
            <w:noWrap w:val="0"/>
            <w:vAlign w:val="center"/>
          </w:tcPr>
          <w:p>
            <w:pPr>
              <w:adjustRightInd/>
              <w:snapToGrid/>
              <w:spacing w:line="240" w:lineRule="auto"/>
              <w:ind w:firstLine="0" w:firstLineChars="0"/>
              <w:jc w:val="center"/>
              <w:rPr>
                <w:color w:val="000000"/>
                <w:sz w:val="21"/>
                <w:szCs w:val="21"/>
              </w:rPr>
            </w:pPr>
            <w:r>
              <w:rPr>
                <w:color w:val="000000"/>
                <w:sz w:val="21"/>
                <w:szCs w:val="21"/>
              </w:rPr>
              <w:t>1</w:t>
            </w:r>
            <w:r>
              <w:rPr>
                <w:rFonts w:hint="eastAsia"/>
                <w:color w:val="000000"/>
                <w:sz w:val="21"/>
                <w:szCs w:val="21"/>
              </w:rPr>
              <w:t>0%</w:t>
            </w:r>
          </w:p>
        </w:tc>
        <w:tc>
          <w:tcPr>
            <w:tcW w:w="638" w:type="dxa"/>
            <w:shd w:val="clear" w:color="auto" w:fill="FFFFFF"/>
            <w:noWrap w:val="0"/>
            <w:vAlign w:val="center"/>
          </w:tcPr>
          <w:p>
            <w:pPr>
              <w:adjustRightInd/>
              <w:snapToGrid/>
              <w:spacing w:line="240" w:lineRule="auto"/>
              <w:ind w:firstLine="0" w:firstLineChars="0"/>
              <w:jc w:val="center"/>
              <w:rPr>
                <w:color w:val="000000"/>
                <w:sz w:val="21"/>
                <w:szCs w:val="21"/>
              </w:rPr>
            </w:pPr>
            <w:r>
              <w:rPr>
                <w:color w:val="000000"/>
                <w:sz w:val="21"/>
                <w:szCs w:val="21"/>
              </w:rPr>
              <w:t>5%</w:t>
            </w:r>
            <w:r>
              <w:rPr>
                <w:color w:val="000000"/>
                <w:sz w:val="21"/>
                <w:szCs w:val="21"/>
              </w:rPr>
              <w:tab/>
            </w:r>
          </w:p>
        </w:tc>
        <w:tc>
          <w:tcPr>
            <w:tcW w:w="638" w:type="dxa"/>
            <w:shd w:val="clear" w:color="auto" w:fill="FFFFFF"/>
            <w:noWrap w:val="0"/>
            <w:vAlign w:val="center"/>
          </w:tcPr>
          <w:p>
            <w:pPr>
              <w:adjustRightInd/>
              <w:snapToGrid/>
              <w:spacing w:line="240" w:lineRule="auto"/>
              <w:ind w:firstLine="0" w:firstLineChars="0"/>
              <w:jc w:val="center"/>
              <w:rPr>
                <w:color w:val="000000"/>
                <w:sz w:val="21"/>
                <w:szCs w:val="21"/>
              </w:rPr>
            </w:pPr>
            <w:r>
              <w:rPr>
                <w:color w:val="000000"/>
                <w:sz w:val="21"/>
                <w:szCs w:val="21"/>
              </w:rPr>
              <w:t>1</w:t>
            </w:r>
            <w:r>
              <w:rPr>
                <w:rFonts w:hint="eastAsia"/>
                <w:color w:val="000000"/>
                <w:sz w:val="21"/>
                <w:szCs w:val="21"/>
              </w:rPr>
              <w:t>0</w:t>
            </w:r>
            <w:r>
              <w:rPr>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043" w:type="dxa"/>
            <w:shd w:val="clear" w:color="auto" w:fill="auto"/>
            <w:noWrap w:val="0"/>
            <w:tcMar>
              <w:left w:w="57" w:type="dxa"/>
              <w:right w:w="57" w:type="dxa"/>
            </w:tcMar>
            <w:vAlign w:val="center"/>
          </w:tcPr>
          <w:p>
            <w:pPr>
              <w:adjustRightInd/>
              <w:snapToGrid/>
              <w:spacing w:line="240" w:lineRule="auto"/>
              <w:ind w:firstLine="0" w:firstLineChars="0"/>
              <w:jc w:val="center"/>
              <w:rPr>
                <w:sz w:val="21"/>
              </w:rPr>
            </w:pPr>
            <w:r>
              <w:rPr>
                <w:rFonts w:hint="eastAsia"/>
                <w:sz w:val="21"/>
              </w:rPr>
              <w:t>合    计</w:t>
            </w:r>
          </w:p>
        </w:tc>
        <w:tc>
          <w:tcPr>
            <w:tcW w:w="715" w:type="dxa"/>
            <w:shd w:val="clear" w:color="auto" w:fill="auto"/>
            <w:noWrap w:val="0"/>
            <w:vAlign w:val="center"/>
          </w:tcPr>
          <w:p>
            <w:pPr>
              <w:adjustRightInd/>
              <w:snapToGrid/>
              <w:spacing w:line="240" w:lineRule="auto"/>
              <w:ind w:firstLine="0" w:firstLineChars="0"/>
              <w:jc w:val="center"/>
              <w:rPr>
                <w:sz w:val="21"/>
              </w:rPr>
            </w:pPr>
            <w:r>
              <w:rPr>
                <w:rFonts w:hint="eastAsia"/>
                <w:sz w:val="21"/>
              </w:rPr>
              <w:t>100%</w:t>
            </w:r>
          </w:p>
        </w:tc>
        <w:tc>
          <w:tcPr>
            <w:tcW w:w="4820" w:type="dxa"/>
            <w:gridSpan w:val="2"/>
            <w:tcBorders>
              <w:left w:val="single" w:color="auto" w:sz="4" w:space="0"/>
            </w:tcBorders>
            <w:shd w:val="clear" w:color="auto" w:fill="auto"/>
            <w:noWrap w:val="0"/>
            <w:vAlign w:val="center"/>
          </w:tcPr>
          <w:p>
            <w:pPr>
              <w:adjustRightInd/>
              <w:snapToGrid/>
              <w:spacing w:line="240" w:lineRule="auto"/>
              <w:ind w:firstLine="0" w:firstLineChars="0"/>
              <w:rPr>
                <w:color w:val="000000"/>
                <w:sz w:val="21"/>
                <w:szCs w:val="21"/>
              </w:rPr>
            </w:pPr>
          </w:p>
        </w:tc>
        <w:tc>
          <w:tcPr>
            <w:tcW w:w="638" w:type="dxa"/>
            <w:shd w:val="clear" w:color="auto" w:fill="FFFFFF"/>
            <w:noWrap w:val="0"/>
            <w:vAlign w:val="center"/>
          </w:tcPr>
          <w:p>
            <w:pPr>
              <w:adjustRightInd/>
              <w:snapToGrid/>
              <w:spacing w:line="240" w:lineRule="auto"/>
              <w:ind w:firstLine="0" w:firstLineChars="0"/>
              <w:jc w:val="center"/>
              <w:rPr>
                <w:color w:val="000000"/>
                <w:sz w:val="21"/>
                <w:szCs w:val="21"/>
              </w:rPr>
            </w:pPr>
            <w:r>
              <w:rPr>
                <w:color w:val="000000"/>
                <w:sz w:val="21"/>
                <w:szCs w:val="21"/>
              </w:rPr>
              <w:t>1</w:t>
            </w:r>
            <w:r>
              <w:rPr>
                <w:rFonts w:hint="eastAsia"/>
                <w:color w:val="000000"/>
                <w:sz w:val="21"/>
                <w:szCs w:val="21"/>
              </w:rPr>
              <w:t>8%</w:t>
            </w:r>
          </w:p>
        </w:tc>
        <w:tc>
          <w:tcPr>
            <w:tcW w:w="638" w:type="dxa"/>
            <w:shd w:val="clear" w:color="auto" w:fill="FFFFFF"/>
            <w:noWrap w:val="0"/>
            <w:vAlign w:val="center"/>
          </w:tcPr>
          <w:p>
            <w:pPr>
              <w:adjustRightInd/>
              <w:snapToGrid/>
              <w:spacing w:line="240" w:lineRule="auto"/>
              <w:ind w:firstLine="0" w:firstLineChars="0"/>
              <w:jc w:val="center"/>
              <w:rPr>
                <w:color w:val="000000"/>
                <w:sz w:val="21"/>
                <w:szCs w:val="21"/>
              </w:rPr>
            </w:pPr>
            <w:r>
              <w:rPr>
                <w:color w:val="000000"/>
                <w:sz w:val="21"/>
                <w:szCs w:val="21"/>
              </w:rPr>
              <w:t>3</w:t>
            </w:r>
            <w:r>
              <w:rPr>
                <w:rFonts w:hint="eastAsia"/>
                <w:color w:val="000000"/>
                <w:sz w:val="21"/>
                <w:szCs w:val="21"/>
              </w:rPr>
              <w:t>2%</w:t>
            </w:r>
          </w:p>
        </w:tc>
        <w:tc>
          <w:tcPr>
            <w:tcW w:w="638" w:type="dxa"/>
            <w:shd w:val="clear" w:color="auto" w:fill="FFFFFF"/>
            <w:noWrap w:val="0"/>
            <w:vAlign w:val="center"/>
          </w:tcPr>
          <w:p>
            <w:pPr>
              <w:adjustRightInd/>
              <w:snapToGrid/>
              <w:spacing w:line="240" w:lineRule="auto"/>
              <w:ind w:firstLine="0" w:firstLineChars="0"/>
              <w:jc w:val="center"/>
              <w:rPr>
                <w:color w:val="000000"/>
                <w:sz w:val="21"/>
                <w:szCs w:val="21"/>
              </w:rPr>
            </w:pPr>
            <w:r>
              <w:rPr>
                <w:color w:val="000000"/>
                <w:sz w:val="21"/>
                <w:szCs w:val="21"/>
              </w:rPr>
              <w:t>1</w:t>
            </w:r>
            <w:r>
              <w:rPr>
                <w:rFonts w:hint="eastAsia"/>
                <w:color w:val="000000"/>
                <w:sz w:val="21"/>
                <w:szCs w:val="21"/>
              </w:rPr>
              <w:t>8</w:t>
            </w:r>
            <w:r>
              <w:rPr>
                <w:color w:val="000000"/>
                <w:sz w:val="21"/>
                <w:szCs w:val="21"/>
              </w:rPr>
              <w:t>%</w:t>
            </w:r>
            <w:r>
              <w:rPr>
                <w:color w:val="000000"/>
                <w:sz w:val="21"/>
                <w:szCs w:val="21"/>
              </w:rPr>
              <w:tab/>
            </w:r>
          </w:p>
        </w:tc>
        <w:tc>
          <w:tcPr>
            <w:tcW w:w="638" w:type="dxa"/>
            <w:shd w:val="clear" w:color="auto" w:fill="FFFFFF"/>
            <w:noWrap w:val="0"/>
            <w:vAlign w:val="center"/>
          </w:tcPr>
          <w:p>
            <w:pPr>
              <w:adjustRightInd/>
              <w:snapToGrid/>
              <w:spacing w:line="240" w:lineRule="auto"/>
              <w:ind w:firstLine="0" w:firstLineChars="0"/>
              <w:jc w:val="center"/>
              <w:rPr>
                <w:color w:val="000000"/>
                <w:sz w:val="21"/>
                <w:szCs w:val="21"/>
              </w:rPr>
            </w:pPr>
            <w:r>
              <w:rPr>
                <w:color w:val="000000"/>
                <w:sz w:val="21"/>
                <w:szCs w:val="21"/>
              </w:rPr>
              <w:t>3</w:t>
            </w:r>
            <w:r>
              <w:rPr>
                <w:rFonts w:hint="eastAsia"/>
                <w:color w:val="000000"/>
                <w:sz w:val="21"/>
                <w:szCs w:val="21"/>
              </w:rPr>
              <w:t>2</w:t>
            </w:r>
            <w:r>
              <w:rPr>
                <w:color w:val="000000"/>
                <w:sz w:val="21"/>
                <w:szCs w:val="21"/>
              </w:rPr>
              <w:t>%</w:t>
            </w:r>
          </w:p>
        </w:tc>
      </w:tr>
    </w:tbl>
    <w:p>
      <w:pPr>
        <w:spacing w:line="360" w:lineRule="auto"/>
        <w:ind w:firstLine="0" w:firstLineChars="0"/>
        <w:rPr>
          <w:rFonts w:hint="eastAsia"/>
        </w:rPr>
      </w:pPr>
    </w:p>
    <w:p>
      <w:pPr>
        <w:spacing w:line="360" w:lineRule="auto"/>
        <w:ind w:firstLine="480"/>
        <w:rPr>
          <w:szCs w:val="22"/>
        </w:rPr>
      </w:pPr>
      <w:r>
        <w:rPr>
          <w:szCs w:val="22"/>
        </w:rPr>
        <w:t>（三）所有课程目标均</w:t>
      </w:r>
      <w:r>
        <w:rPr>
          <w:rFonts w:hint="eastAsia"/>
          <w:szCs w:val="22"/>
        </w:rPr>
        <w:t>需</w:t>
      </w:r>
      <w:r>
        <w:rPr>
          <w:szCs w:val="22"/>
        </w:rPr>
        <w:t>大于等于0.6，否则总评成绩不及格，需要补考或重</w:t>
      </w:r>
      <w:r>
        <w:rPr>
          <w:rFonts w:hint="eastAsia"/>
          <w:szCs w:val="22"/>
        </w:rPr>
        <w:t>修。</w:t>
      </w:r>
      <w:r>
        <w:rPr>
          <w:szCs w:val="22"/>
        </w:rPr>
        <w:t>每</w:t>
      </w:r>
      <w:r>
        <w:rPr>
          <w:rFonts w:hint="eastAsia"/>
          <w:szCs w:val="22"/>
        </w:rPr>
        <w:t>个</w:t>
      </w:r>
      <w:r>
        <w:rPr>
          <w:szCs w:val="22"/>
        </w:rPr>
        <w:t>课程目标达成度计算方法如下：</w:t>
      </w:r>
    </w:p>
    <w:p>
      <w:pPr>
        <w:widowControl/>
        <w:spacing w:line="360" w:lineRule="auto"/>
        <w:ind w:firstLine="480"/>
        <w:jc w:val="center"/>
        <w:textAlignment w:val="baseline"/>
        <w:rPr>
          <w:rFonts w:hint="eastAsia"/>
          <w:kern w:val="0"/>
          <w:position w:val="-22"/>
          <w:szCs w:val="21"/>
        </w:rPr>
      </w:pPr>
      <w:r>
        <w:rPr>
          <w:kern w:val="0"/>
          <w:position w:val="-22"/>
          <w:szCs w:val="21"/>
        </w:rPr>
        <w:pict>
          <v:shape id="_x0000_s2052" o:spid="_x0000_s2052" o:spt="75" type="#_x0000_t75" style="position:absolute;left:0pt;margin-left:42.7pt;margin-top:7.85pt;height:32.65pt;width:360pt;mso-wrap-distance-bottom:0pt;mso-wrap-distance-left:9pt;mso-wrap-distance-right:9pt;mso-wrap-distance-top:0pt;z-index:251660288;mso-width-relative:page;mso-height-relative:page;" o:ole="t" filled="f" o:preferrelative="t" stroked="f" coordsize="21600,21600">
            <v:path/>
            <v:fill on="f" alignshape="1" focussize="0,0"/>
            <v:stroke on="f"/>
            <v:imagedata r:id="rId28" o:title=""/>
            <o:lock v:ext="edit" aspectratio="t"/>
            <w10:wrap type="square"/>
          </v:shape>
          <o:OLEObject Type="Embed" ProgID="Equation.3" ShapeID="_x0000_s2052" DrawAspect="Content" ObjectID="_1468075732" r:id="rId27">
            <o:LockedField>false</o:LockedField>
          </o:OLEObject>
        </w:pict>
      </w:r>
    </w:p>
    <w:p>
      <w:pPr>
        <w:widowControl/>
        <w:spacing w:line="360" w:lineRule="auto"/>
        <w:ind w:firstLine="480"/>
        <w:jc w:val="center"/>
        <w:textAlignment w:val="baseline"/>
        <w:rPr>
          <w:rFonts w:hint="eastAsia"/>
          <w:kern w:val="0"/>
          <w:position w:val="-22"/>
          <w:szCs w:val="21"/>
        </w:rPr>
      </w:pPr>
    </w:p>
    <w:p>
      <w:pPr>
        <w:spacing w:line="360" w:lineRule="auto"/>
        <w:ind w:firstLine="480"/>
        <w:rPr>
          <w:szCs w:val="22"/>
        </w:rPr>
      </w:pPr>
      <w:r>
        <w:rPr>
          <w:szCs w:val="22"/>
        </w:rPr>
        <w:t>式中：Ai=平时成绩占总评成绩的权重×课程目标i在平时成绩中的权重，</w:t>
      </w:r>
    </w:p>
    <w:p>
      <w:pPr>
        <w:spacing w:line="360" w:lineRule="auto"/>
        <w:ind w:firstLine="630" w:firstLineChars="300"/>
        <w:rPr>
          <w:szCs w:val="22"/>
        </w:rPr>
      </w:pPr>
      <w:r>
        <w:rPr>
          <w:szCs w:val="22"/>
        </w:rPr>
        <w:t>Bi=实</w:t>
      </w:r>
      <w:r>
        <w:rPr>
          <w:rFonts w:hint="eastAsia"/>
          <w:szCs w:val="22"/>
        </w:rPr>
        <w:t>验</w:t>
      </w:r>
      <w:r>
        <w:rPr>
          <w:szCs w:val="22"/>
        </w:rPr>
        <w:t>成绩占总评成绩的权重×课程目标i在实</w:t>
      </w:r>
      <w:r>
        <w:rPr>
          <w:rFonts w:hint="eastAsia"/>
          <w:szCs w:val="22"/>
        </w:rPr>
        <w:t>验</w:t>
      </w:r>
      <w:r>
        <w:rPr>
          <w:szCs w:val="22"/>
        </w:rPr>
        <w:t>成绩中的权重，</w:t>
      </w:r>
    </w:p>
    <w:p>
      <w:pPr>
        <w:spacing w:line="360" w:lineRule="auto"/>
        <w:ind w:firstLine="630" w:firstLineChars="300"/>
        <w:rPr>
          <w:szCs w:val="22"/>
        </w:rPr>
      </w:pPr>
      <w:r>
        <w:rPr>
          <w:szCs w:val="22"/>
        </w:rPr>
        <w:t>Ci=</w:t>
      </w:r>
      <w:r>
        <w:rPr>
          <w:rFonts w:hint="eastAsia"/>
          <w:szCs w:val="22"/>
        </w:rPr>
        <w:t>期末</w:t>
      </w:r>
      <w:r>
        <w:rPr>
          <w:szCs w:val="22"/>
        </w:rPr>
        <w:t>成绩占总评成绩的权重×课程目标i在</w:t>
      </w:r>
      <w:r>
        <w:rPr>
          <w:rFonts w:hint="eastAsia"/>
          <w:szCs w:val="22"/>
        </w:rPr>
        <w:t>期末</w:t>
      </w:r>
      <w:r>
        <w:rPr>
          <w:szCs w:val="22"/>
        </w:rPr>
        <w:t>成绩中的权重。</w:t>
      </w:r>
    </w:p>
    <w:p>
      <w:pPr>
        <w:bidi w:val="0"/>
        <w:rPr>
          <w:rFonts w:hint="eastAsia"/>
          <w:b/>
          <w:bCs/>
          <w:sz w:val="28"/>
          <w:szCs w:val="28"/>
        </w:rPr>
      </w:pPr>
      <w:bookmarkStart w:id="112" w:name="_Toc11611"/>
      <w:r>
        <w:rPr>
          <w:rFonts w:hint="eastAsia"/>
          <w:b/>
          <w:bCs/>
          <w:sz w:val="28"/>
          <w:szCs w:val="28"/>
          <w:lang w:val="en-US" w:eastAsia="zh-CN"/>
        </w:rPr>
        <w:t>七、有关说明</w:t>
      </w:r>
      <w:bookmarkEnd w:id="112"/>
    </w:p>
    <w:p>
      <w:pPr>
        <w:bidi w:val="0"/>
        <w:rPr>
          <w:rFonts w:hint="eastAsia"/>
          <w:b/>
          <w:bCs/>
          <w:sz w:val="28"/>
          <w:szCs w:val="28"/>
        </w:rPr>
      </w:pPr>
      <w:bookmarkStart w:id="113" w:name="_Toc6993"/>
      <w:r>
        <w:rPr>
          <w:rFonts w:hint="eastAsia"/>
          <w:b/>
          <w:bCs/>
          <w:sz w:val="28"/>
          <w:szCs w:val="28"/>
        </w:rPr>
        <w:t>持续改进</w:t>
      </w:r>
      <w:bookmarkEnd w:id="113"/>
    </w:p>
    <w:p>
      <w:pPr>
        <w:spacing w:line="360" w:lineRule="auto"/>
        <w:ind w:firstLine="480"/>
        <w:rPr>
          <w:szCs w:val="22"/>
        </w:rPr>
      </w:pPr>
      <w:r>
        <w:rPr>
          <w:szCs w:val="22"/>
        </w:rPr>
        <w:t>本课程根据学生作业、课堂讨论、实验环节、平时考核情况和学生、教学督导等</w:t>
      </w:r>
      <w:r>
        <w:rPr>
          <w:rFonts w:hint="eastAsia"/>
          <w:szCs w:val="22"/>
        </w:rPr>
        <w:t>的</w:t>
      </w:r>
      <w:r>
        <w:rPr>
          <w:szCs w:val="22"/>
        </w:rPr>
        <w:t>反馈，及时对教学中</w:t>
      </w:r>
      <w:r>
        <w:rPr>
          <w:rFonts w:hint="eastAsia"/>
          <w:szCs w:val="22"/>
        </w:rPr>
        <w:t>的</w:t>
      </w:r>
      <w:r>
        <w:rPr>
          <w:szCs w:val="22"/>
        </w:rPr>
        <w:t>不足之处进行改进，并在下一轮课程教学中</w:t>
      </w:r>
      <w:r>
        <w:rPr>
          <w:rFonts w:hint="eastAsia"/>
          <w:szCs w:val="22"/>
        </w:rPr>
        <w:t>整改完善</w:t>
      </w:r>
      <w:r>
        <w:rPr>
          <w:szCs w:val="22"/>
        </w:rPr>
        <w:t>，确保相应毕业要求指标点达成。</w:t>
      </w:r>
    </w:p>
    <w:p>
      <w:pPr>
        <w:bidi w:val="0"/>
        <w:rPr>
          <w:rFonts w:hint="eastAsia"/>
        </w:rPr>
      </w:pPr>
      <w:bookmarkStart w:id="114" w:name="_Toc8556"/>
      <w:r>
        <w:rPr>
          <w:rFonts w:hint="eastAsia"/>
          <w:b/>
          <w:bCs/>
          <w:sz w:val="28"/>
          <w:szCs w:val="28"/>
          <w:lang w:eastAsia="zh-CN"/>
        </w:rPr>
        <w:t>八、</w:t>
      </w:r>
      <w:r>
        <w:rPr>
          <w:b/>
          <w:bCs/>
          <w:sz w:val="28"/>
          <w:szCs w:val="28"/>
        </w:rPr>
        <w:t>参考书目及学习资料</w:t>
      </w:r>
      <w:bookmarkEnd w:id="114"/>
    </w:p>
    <w:p>
      <w:pPr>
        <w:adjustRightInd/>
        <w:snapToGrid/>
        <w:ind w:left="480" w:firstLine="0" w:firstLineChars="0"/>
        <w:jc w:val="left"/>
        <w:rPr>
          <w:rFonts w:hint="eastAsia"/>
        </w:rPr>
      </w:pPr>
      <w:r>
        <w:rPr>
          <w:rFonts w:hint="eastAsia"/>
        </w:rPr>
        <w:t>1. 朱炳辰    化学反应工程（第五版）               北京：化学工业出版社</w:t>
      </w:r>
    </w:p>
    <w:p>
      <w:pPr>
        <w:adjustRightInd/>
        <w:snapToGrid/>
        <w:ind w:left="480" w:firstLine="0" w:firstLineChars="0"/>
        <w:jc w:val="left"/>
        <w:rPr>
          <w:rFonts w:hint="eastAsia"/>
        </w:rPr>
      </w:pPr>
      <w:r>
        <w:rPr>
          <w:rFonts w:hint="eastAsia"/>
        </w:rPr>
        <w:t>2. 陈甘棠    化学反应工程（第三版）               北京：化学工业出版社</w:t>
      </w:r>
    </w:p>
    <w:p>
      <w:pPr>
        <w:adjustRightInd/>
        <w:snapToGrid/>
        <w:ind w:left="480" w:firstLine="0" w:firstLineChars="0"/>
        <w:jc w:val="left"/>
        <w:rPr>
          <w:rFonts w:hint="eastAsia"/>
        </w:rPr>
      </w:pPr>
      <w:r>
        <w:rPr>
          <w:rFonts w:hint="eastAsia"/>
        </w:rPr>
        <w:t>3. 福格勒    化学反应工程原理（英文第四版）       北京：化学工业出版社</w:t>
      </w:r>
    </w:p>
    <w:p>
      <w:pPr>
        <w:adjustRightInd/>
        <w:snapToGrid/>
        <w:ind w:left="480" w:firstLine="0" w:firstLineChars="0"/>
        <w:jc w:val="left"/>
        <w:rPr>
          <w:rFonts w:hint="eastAsia"/>
        </w:rPr>
      </w:pPr>
      <w:r>
        <w:rPr>
          <w:rFonts w:hint="eastAsia"/>
        </w:rPr>
        <w:t>4. Levenspiel  Chemical Reaction Engineering（第三版） 北京：化学工业出版社</w:t>
      </w:r>
    </w:p>
    <w:p>
      <w:pPr>
        <w:adjustRightInd/>
        <w:snapToGrid/>
        <w:ind w:left="480" w:firstLine="0" w:firstLineChars="0"/>
        <w:jc w:val="left"/>
        <w:rPr>
          <w:rFonts w:hint="eastAsia"/>
        </w:rPr>
      </w:pPr>
      <w:r>
        <w:rPr>
          <w:rFonts w:hint="eastAsia"/>
        </w:rPr>
        <w:t>5. 李绍芬等    反应工程（第二版）                 北京：化学工业出版社</w:t>
      </w:r>
    </w:p>
    <w:p>
      <w:pPr>
        <w:autoSpaceDE w:val="0"/>
        <w:autoSpaceDN w:val="0"/>
        <w:spacing w:line="360" w:lineRule="auto"/>
        <w:ind w:firstLine="480"/>
        <w:jc w:val="left"/>
        <w:rPr>
          <w:rFonts w:hint="eastAsia"/>
          <w:kern w:val="0"/>
          <w:szCs w:val="21"/>
        </w:rPr>
      </w:pPr>
    </w:p>
    <w:p>
      <w:pPr>
        <w:autoSpaceDE w:val="0"/>
        <w:autoSpaceDN w:val="0"/>
        <w:spacing w:line="360" w:lineRule="auto"/>
        <w:ind w:firstLine="6405" w:firstLineChars="3050"/>
        <w:jc w:val="left"/>
        <w:rPr>
          <w:kern w:val="0"/>
          <w:szCs w:val="21"/>
        </w:rPr>
      </w:pPr>
      <w:r>
        <w:rPr>
          <w:kern w:val="0"/>
          <w:szCs w:val="21"/>
        </w:rPr>
        <w:t>执笔人：</w:t>
      </w:r>
      <w:r>
        <w:rPr>
          <w:rFonts w:hint="eastAsia"/>
          <w:kern w:val="0"/>
          <w:szCs w:val="21"/>
        </w:rPr>
        <w:t>董爽</w:t>
      </w:r>
    </w:p>
    <w:p>
      <w:pPr>
        <w:autoSpaceDE w:val="0"/>
        <w:autoSpaceDN w:val="0"/>
        <w:spacing w:line="360" w:lineRule="auto"/>
        <w:ind w:firstLine="6405" w:firstLineChars="3050"/>
        <w:jc w:val="left"/>
        <w:rPr>
          <w:rFonts w:hint="eastAsia"/>
          <w:kern w:val="0"/>
          <w:szCs w:val="21"/>
        </w:rPr>
      </w:pPr>
      <w:r>
        <w:rPr>
          <w:kern w:val="0"/>
          <w:szCs w:val="21"/>
        </w:rPr>
        <w:t>审定人：</w:t>
      </w:r>
      <w:r>
        <w:rPr>
          <w:rFonts w:hint="eastAsia"/>
          <w:kern w:val="0"/>
          <w:szCs w:val="21"/>
        </w:rPr>
        <w:t>魏雪姣</w:t>
      </w:r>
    </w:p>
    <w:p>
      <w:pPr>
        <w:autoSpaceDE w:val="0"/>
        <w:autoSpaceDN w:val="0"/>
        <w:spacing w:line="360" w:lineRule="auto"/>
        <w:ind w:firstLine="6405" w:firstLineChars="3050"/>
        <w:jc w:val="left"/>
        <w:rPr>
          <w:rFonts w:hint="eastAsia"/>
          <w:kern w:val="0"/>
          <w:szCs w:val="21"/>
        </w:rPr>
      </w:pPr>
      <w:r>
        <w:rPr>
          <w:rFonts w:hint="eastAsia"/>
          <w:kern w:val="0"/>
          <w:szCs w:val="21"/>
        </w:rPr>
        <w:t>审批</w:t>
      </w:r>
      <w:r>
        <w:rPr>
          <w:kern w:val="0"/>
          <w:szCs w:val="21"/>
        </w:rPr>
        <w:t>人：</w:t>
      </w:r>
      <w:r>
        <w:rPr>
          <w:rFonts w:hint="eastAsia"/>
          <w:kern w:val="0"/>
          <w:szCs w:val="21"/>
        </w:rPr>
        <w:t>吴泽颖</w:t>
      </w:r>
    </w:p>
    <w:p>
      <w:pPr>
        <w:autoSpaceDE w:val="0"/>
        <w:autoSpaceDN w:val="0"/>
        <w:spacing w:line="360" w:lineRule="auto"/>
        <w:ind w:firstLine="6405" w:firstLineChars="3050"/>
        <w:jc w:val="left"/>
        <w:rPr>
          <w:rFonts w:hint="default" w:eastAsia="宋体"/>
          <w:kern w:val="0"/>
          <w:szCs w:val="21"/>
          <w:lang w:val="en-US" w:eastAsia="zh-CN"/>
        </w:rPr>
      </w:pPr>
      <w:r>
        <w:rPr>
          <w:rFonts w:hint="eastAsia"/>
          <w:kern w:val="0"/>
          <w:szCs w:val="21"/>
          <w:lang w:eastAsia="zh-CN"/>
        </w:rPr>
        <w:t>批准时间：</w:t>
      </w:r>
      <w:r>
        <w:rPr>
          <w:rFonts w:hint="eastAsia"/>
          <w:kern w:val="0"/>
          <w:szCs w:val="21"/>
          <w:lang w:val="en-US" w:eastAsia="zh-CN"/>
        </w:rPr>
        <w:t>2021.9.1</w:t>
      </w:r>
    </w:p>
    <w:p>
      <w:pPr>
        <w:spacing w:line="360" w:lineRule="auto"/>
        <w:ind w:firstLine="6000" w:firstLineChars="2500"/>
        <w:rPr>
          <w:rFonts w:hint="eastAsia"/>
          <w:kern w:val="0"/>
          <w:sz w:val="24"/>
          <w:szCs w:val="21"/>
          <w:lang w:val="en-US" w:eastAsia="zh-CN"/>
        </w:rPr>
      </w:pPr>
    </w:p>
    <w:p>
      <w:pPr>
        <w:spacing w:line="360" w:lineRule="auto"/>
        <w:ind w:firstLine="6000" w:firstLineChars="2500"/>
        <w:rPr>
          <w:rFonts w:hint="default"/>
          <w:kern w:val="0"/>
          <w:sz w:val="24"/>
          <w:szCs w:val="21"/>
          <w:lang w:val="en-US" w:eastAsia="zh-CN"/>
        </w:rPr>
      </w:pPr>
    </w:p>
    <w:p>
      <w:pPr>
        <w:spacing w:line="360" w:lineRule="auto"/>
        <w:rPr>
          <w:rFonts w:hint="eastAsia"/>
          <w:kern w:val="0"/>
          <w:sz w:val="24"/>
          <w:szCs w:val="21"/>
        </w:rPr>
      </w:pPr>
    </w:p>
    <w:p>
      <w:pPr>
        <w:spacing w:line="360" w:lineRule="auto"/>
        <w:rPr>
          <w:rFonts w:hint="eastAsia"/>
          <w:kern w:val="0"/>
          <w:sz w:val="24"/>
          <w:szCs w:val="21"/>
        </w:rPr>
      </w:pPr>
    </w:p>
    <w:p>
      <w:pPr>
        <w:spacing w:line="360" w:lineRule="auto"/>
        <w:rPr>
          <w:rFonts w:hint="eastAsia"/>
          <w:kern w:val="0"/>
          <w:sz w:val="24"/>
          <w:szCs w:val="21"/>
        </w:rPr>
      </w:pPr>
    </w:p>
    <w:p>
      <w:pPr>
        <w:spacing w:line="360" w:lineRule="auto"/>
        <w:rPr>
          <w:rFonts w:hint="eastAsia"/>
          <w:kern w:val="0"/>
          <w:sz w:val="24"/>
          <w:szCs w:val="21"/>
        </w:rPr>
      </w:pPr>
    </w:p>
    <w:p>
      <w:pPr>
        <w:spacing w:line="360" w:lineRule="auto"/>
        <w:rPr>
          <w:rFonts w:hint="eastAsia"/>
          <w:kern w:val="0"/>
          <w:sz w:val="24"/>
          <w:szCs w:val="21"/>
        </w:rPr>
      </w:pPr>
    </w:p>
    <w:p>
      <w:pPr>
        <w:spacing w:line="360" w:lineRule="auto"/>
        <w:rPr>
          <w:rFonts w:hint="eastAsia"/>
          <w:kern w:val="0"/>
          <w:sz w:val="24"/>
          <w:szCs w:val="21"/>
        </w:rPr>
      </w:pPr>
    </w:p>
    <w:p>
      <w:pPr>
        <w:spacing w:line="360" w:lineRule="auto"/>
        <w:rPr>
          <w:rFonts w:hint="eastAsia"/>
          <w:kern w:val="0"/>
          <w:sz w:val="24"/>
          <w:szCs w:val="21"/>
        </w:rPr>
      </w:pPr>
    </w:p>
    <w:p>
      <w:pPr>
        <w:spacing w:line="360" w:lineRule="auto"/>
        <w:rPr>
          <w:rFonts w:hint="eastAsia"/>
          <w:kern w:val="0"/>
          <w:sz w:val="24"/>
          <w:szCs w:val="21"/>
        </w:rPr>
      </w:pPr>
    </w:p>
    <w:p>
      <w:pPr>
        <w:spacing w:line="360" w:lineRule="auto"/>
        <w:rPr>
          <w:rFonts w:hint="eastAsia"/>
          <w:kern w:val="0"/>
          <w:sz w:val="24"/>
          <w:szCs w:val="21"/>
        </w:rPr>
      </w:pPr>
    </w:p>
    <w:p>
      <w:pPr>
        <w:spacing w:line="360" w:lineRule="auto"/>
        <w:rPr>
          <w:rFonts w:hint="eastAsia"/>
          <w:kern w:val="0"/>
          <w:sz w:val="24"/>
          <w:szCs w:val="21"/>
        </w:rPr>
      </w:pPr>
    </w:p>
    <w:p>
      <w:pPr>
        <w:pStyle w:val="3"/>
        <w:bidi w:val="0"/>
        <w:jc w:val="center"/>
        <w:rPr>
          <w:rFonts w:hint="eastAsia"/>
          <w:lang w:val="en-US" w:eastAsia="zh-CN"/>
        </w:rPr>
      </w:pPr>
      <w:bookmarkStart w:id="115" w:name="_Toc57385475"/>
      <w:bookmarkStart w:id="116" w:name="_Toc57387668"/>
      <w:bookmarkStart w:id="117" w:name="_Toc57364603"/>
      <w:bookmarkStart w:id="118" w:name="_Toc57384461"/>
      <w:bookmarkStart w:id="119" w:name="_Toc57386049"/>
      <w:bookmarkStart w:id="120" w:name="_Toc57384854"/>
      <w:bookmarkStart w:id="121" w:name="_Toc57621326"/>
      <w:bookmarkStart w:id="122" w:name="_Toc57387399"/>
    </w:p>
    <w:p>
      <w:pPr>
        <w:pStyle w:val="3"/>
        <w:bidi w:val="0"/>
        <w:jc w:val="center"/>
        <w:rPr>
          <w:rFonts w:hint="eastAsia"/>
          <w:lang w:val="en-US" w:eastAsia="zh-CN"/>
        </w:rPr>
      </w:pPr>
      <w:bookmarkStart w:id="123" w:name="_Toc3921"/>
    </w:p>
    <w:p>
      <w:pPr>
        <w:pStyle w:val="3"/>
        <w:bidi w:val="0"/>
        <w:jc w:val="center"/>
        <w:rPr>
          <w:rFonts w:hint="eastAsia"/>
          <w:lang w:val="en-US" w:eastAsia="zh-CN"/>
        </w:rPr>
      </w:pPr>
    </w:p>
    <w:p>
      <w:pPr>
        <w:pStyle w:val="3"/>
        <w:bidi w:val="0"/>
        <w:jc w:val="center"/>
        <w:rPr>
          <w:rFonts w:hint="eastAsia"/>
          <w:lang w:val="en-US" w:eastAsia="zh-CN"/>
        </w:rPr>
      </w:pPr>
    </w:p>
    <w:p>
      <w:pPr>
        <w:pStyle w:val="3"/>
        <w:bidi w:val="0"/>
        <w:jc w:val="center"/>
        <w:rPr>
          <w:rFonts w:hint="eastAsia"/>
          <w:lang w:val="en-US" w:eastAsia="zh-CN"/>
        </w:rPr>
      </w:pPr>
    </w:p>
    <w:p>
      <w:pPr>
        <w:pStyle w:val="3"/>
        <w:bidi w:val="0"/>
        <w:jc w:val="center"/>
        <w:rPr>
          <w:rFonts w:ascii="Times New Roman" w:hAnsi="Times New Roman" w:eastAsia="宋体" w:cs="Times New Roman"/>
          <w:b/>
          <w:bCs w:val="0"/>
          <w:kern w:val="0"/>
          <w:szCs w:val="32"/>
          <w:lang w:val="en-US" w:eastAsia="zh-CN" w:bidi="ar-SA"/>
        </w:rPr>
      </w:pPr>
      <w:bookmarkStart w:id="124" w:name="_Toc31243"/>
      <w:r>
        <w:rPr>
          <w:rFonts w:hint="eastAsia"/>
          <w:lang w:val="en-US" w:eastAsia="zh-CN"/>
        </w:rPr>
        <w:t>化工工艺学课程</w:t>
      </w:r>
      <w:r>
        <w:rPr>
          <w:lang w:val="en-US" w:eastAsia="zh-CN"/>
        </w:rPr>
        <w:t>教学大纲</w:t>
      </w:r>
      <w:bookmarkEnd w:id="115"/>
      <w:bookmarkEnd w:id="116"/>
      <w:bookmarkEnd w:id="117"/>
      <w:bookmarkEnd w:id="118"/>
      <w:bookmarkEnd w:id="119"/>
      <w:bookmarkEnd w:id="120"/>
      <w:bookmarkEnd w:id="121"/>
      <w:bookmarkEnd w:id="122"/>
      <w:bookmarkEnd w:id="123"/>
      <w:bookmarkEnd w:id="124"/>
    </w:p>
    <w:p>
      <w:pPr>
        <w:spacing w:line="312" w:lineRule="auto"/>
        <w:jc w:val="center"/>
        <w:rPr>
          <w:rFonts w:ascii="Times New Roman" w:hAnsi="Times New Roman"/>
          <w:b/>
          <w:bCs/>
          <w:sz w:val="30"/>
        </w:rPr>
      </w:pPr>
      <w:r>
        <w:rPr>
          <w:rFonts w:ascii="Times New Roman" w:hAnsi="Times New Roman"/>
          <w:b/>
          <w:bCs/>
          <w:sz w:val="30"/>
        </w:rPr>
        <w:t xml:space="preserve">（Chemical </w:t>
      </w:r>
      <w:r>
        <w:rPr>
          <w:rFonts w:hint="eastAsia" w:ascii="Times New Roman" w:hAnsi="Times New Roman"/>
          <w:b/>
          <w:bCs/>
          <w:sz w:val="30"/>
        </w:rPr>
        <w:t>Technology</w:t>
      </w:r>
      <w:r>
        <w:rPr>
          <w:rFonts w:ascii="Times New Roman" w:hAnsi="Times New Roman"/>
          <w:b/>
          <w:bCs/>
          <w:sz w:val="30"/>
        </w:rPr>
        <w:t>）</w:t>
      </w:r>
    </w:p>
    <w:p>
      <w:pPr>
        <w:spacing w:line="360" w:lineRule="auto"/>
        <w:ind w:firstLine="562"/>
        <w:rPr>
          <w:rFonts w:hint="eastAsia" w:ascii="Times New Roman" w:hAnsi="Times New Roman"/>
          <w:b/>
          <w:sz w:val="28"/>
          <w:szCs w:val="28"/>
        </w:rPr>
      </w:pPr>
      <w:bookmarkStart w:id="125" w:name="_Toc57361890"/>
      <w:bookmarkStart w:id="126" w:name="_Toc57364604"/>
      <w:bookmarkStart w:id="127" w:name="_Toc57385476"/>
      <w:bookmarkStart w:id="128" w:name="_Toc57384462"/>
      <w:bookmarkStart w:id="129" w:name="_Toc57384855"/>
      <w:bookmarkStart w:id="130" w:name="_Toc57361308"/>
      <w:r>
        <w:rPr>
          <w:rFonts w:hint="eastAsia" w:ascii="Times New Roman" w:hAnsi="Times New Roman"/>
          <w:b/>
          <w:sz w:val="28"/>
          <w:szCs w:val="28"/>
        </w:rPr>
        <w:t>一、</w:t>
      </w:r>
      <w:r>
        <w:rPr>
          <w:rFonts w:ascii="Times New Roman" w:hAnsi="Times New Roman"/>
          <w:b/>
          <w:sz w:val="28"/>
          <w:szCs w:val="28"/>
        </w:rPr>
        <w:t>课程概况</w:t>
      </w:r>
      <w:bookmarkEnd w:id="125"/>
      <w:bookmarkEnd w:id="126"/>
      <w:bookmarkEnd w:id="127"/>
      <w:bookmarkEnd w:id="128"/>
      <w:bookmarkEnd w:id="129"/>
      <w:bookmarkEnd w:id="130"/>
    </w:p>
    <w:p>
      <w:pPr>
        <w:spacing w:line="360" w:lineRule="auto"/>
        <w:ind w:firstLine="562"/>
        <w:rPr>
          <w:rFonts w:hint="eastAsia" w:ascii="Times New Roman" w:hAnsi="Times New Roman"/>
          <w:b/>
          <w:sz w:val="28"/>
          <w:szCs w:val="28"/>
        </w:rPr>
      </w:pPr>
      <w:bookmarkStart w:id="131" w:name="_Toc57385477"/>
      <w:bookmarkStart w:id="132" w:name="_Toc57384463"/>
      <w:bookmarkStart w:id="133" w:name="_Toc57361309"/>
      <w:bookmarkStart w:id="134" w:name="_Toc57364605"/>
      <w:bookmarkStart w:id="135" w:name="_Toc57361891"/>
      <w:bookmarkStart w:id="136" w:name="_Toc57384856"/>
      <w:r>
        <w:rPr>
          <w:rFonts w:ascii="Times New Roman" w:hAnsi="Times New Roman"/>
          <w:b/>
          <w:sz w:val="28"/>
          <w:szCs w:val="28"/>
        </w:rPr>
        <w:t>课程代码：</w:t>
      </w:r>
      <w:r>
        <w:rPr>
          <w:rFonts w:hint="eastAsia" w:ascii="Times New Roman" w:hAnsi="Times New Roman"/>
          <w:b/>
          <w:sz w:val="28"/>
          <w:szCs w:val="28"/>
        </w:rPr>
        <w:t>2501010</w:t>
      </w:r>
      <w:bookmarkEnd w:id="131"/>
      <w:bookmarkEnd w:id="132"/>
      <w:bookmarkEnd w:id="133"/>
      <w:bookmarkEnd w:id="134"/>
      <w:bookmarkEnd w:id="135"/>
      <w:bookmarkEnd w:id="136"/>
    </w:p>
    <w:p>
      <w:pPr>
        <w:spacing w:line="360" w:lineRule="auto"/>
        <w:ind w:firstLine="482"/>
        <w:rPr>
          <w:rFonts w:ascii="Times New Roman" w:hAnsi="Times New Roman"/>
          <w:kern w:val="0"/>
        </w:rPr>
      </w:pPr>
      <w:r>
        <w:rPr>
          <w:rFonts w:ascii="Times New Roman" w:hAnsi="Times New Roman"/>
          <w:b/>
          <w:bCs/>
          <w:kern w:val="0"/>
        </w:rPr>
        <w:t>学    分</w:t>
      </w:r>
      <w:r>
        <w:rPr>
          <w:rFonts w:ascii="Times New Roman" w:hAnsi="Times New Roman"/>
          <w:b/>
          <w:kern w:val="0"/>
        </w:rPr>
        <w:t>：</w:t>
      </w:r>
      <w:r>
        <w:rPr>
          <w:rFonts w:hint="eastAsia" w:ascii="Times New Roman" w:hAnsi="Times New Roman"/>
          <w:kern w:val="0"/>
        </w:rPr>
        <w:t>2</w:t>
      </w:r>
    </w:p>
    <w:p>
      <w:pPr>
        <w:spacing w:line="360" w:lineRule="auto"/>
        <w:ind w:firstLine="482"/>
        <w:rPr>
          <w:rFonts w:ascii="Times New Roman" w:hAnsi="Times New Roman"/>
          <w:kern w:val="0"/>
        </w:rPr>
      </w:pPr>
      <w:r>
        <w:rPr>
          <w:rFonts w:ascii="Times New Roman" w:hAnsi="Times New Roman"/>
          <w:b/>
          <w:bCs/>
          <w:kern w:val="0"/>
        </w:rPr>
        <w:t>学    时</w:t>
      </w:r>
      <w:r>
        <w:rPr>
          <w:rFonts w:ascii="Times New Roman" w:hAnsi="Times New Roman"/>
          <w:b/>
          <w:kern w:val="0"/>
        </w:rPr>
        <w:t>：</w:t>
      </w:r>
      <w:r>
        <w:rPr>
          <w:rFonts w:ascii="Times New Roman" w:hAnsi="Times New Roman"/>
          <w:kern w:val="0"/>
        </w:rPr>
        <w:t>32（其中：讲授学时</w:t>
      </w:r>
      <w:r>
        <w:rPr>
          <w:rFonts w:hint="eastAsia" w:ascii="Times New Roman" w:hAnsi="Times New Roman"/>
          <w:kern w:val="0"/>
        </w:rPr>
        <w:t>3</w:t>
      </w:r>
      <w:r>
        <w:rPr>
          <w:rFonts w:ascii="Times New Roman" w:hAnsi="Times New Roman"/>
          <w:kern w:val="0"/>
        </w:rPr>
        <w:t>2）</w:t>
      </w:r>
    </w:p>
    <w:p>
      <w:pPr>
        <w:spacing w:line="360" w:lineRule="auto"/>
        <w:ind w:firstLine="482"/>
        <w:rPr>
          <w:rFonts w:ascii="Times New Roman" w:hAnsi="Times New Roman"/>
          <w:bCs/>
          <w:kern w:val="0"/>
        </w:rPr>
      </w:pPr>
      <w:r>
        <w:rPr>
          <w:rFonts w:ascii="Times New Roman" w:hAnsi="Times New Roman"/>
          <w:b/>
          <w:bCs/>
          <w:kern w:val="0"/>
        </w:rPr>
        <w:t>先修课程</w:t>
      </w:r>
      <w:r>
        <w:rPr>
          <w:rFonts w:ascii="Times New Roman" w:hAnsi="Times New Roman"/>
          <w:b/>
          <w:kern w:val="0"/>
        </w:rPr>
        <w:t>：</w:t>
      </w:r>
      <w:r>
        <w:rPr>
          <w:rFonts w:hint="eastAsia" w:ascii="Times New Roman" w:hAnsi="Times New Roman"/>
          <w:kern w:val="0"/>
        </w:rPr>
        <w:t>无机化学、有机化学、物理化学、化工热力学等</w:t>
      </w:r>
    </w:p>
    <w:p>
      <w:pPr>
        <w:spacing w:line="360" w:lineRule="auto"/>
        <w:ind w:firstLine="482"/>
        <w:rPr>
          <w:rFonts w:ascii="Times New Roman" w:hAnsi="Times New Roman"/>
          <w:kern w:val="0"/>
        </w:rPr>
      </w:pPr>
      <w:r>
        <w:rPr>
          <w:rFonts w:ascii="Times New Roman" w:hAnsi="Times New Roman"/>
          <w:b/>
          <w:bCs/>
          <w:kern w:val="0"/>
        </w:rPr>
        <w:t>适用专业</w:t>
      </w:r>
      <w:r>
        <w:rPr>
          <w:rFonts w:ascii="Times New Roman" w:hAnsi="Times New Roman"/>
          <w:b/>
          <w:kern w:val="0"/>
        </w:rPr>
        <w:t>：</w:t>
      </w:r>
      <w:r>
        <w:rPr>
          <w:rFonts w:hint="eastAsia" w:ascii="Times New Roman" w:hAnsi="Times New Roman"/>
          <w:kern w:val="0"/>
        </w:rPr>
        <w:t>化学工程与工艺、应用化学</w:t>
      </w:r>
      <w:r>
        <w:rPr>
          <w:rFonts w:ascii="Times New Roman" w:hAnsi="Times New Roman" w:eastAsia="黑体"/>
        </w:rPr>
        <w:t xml:space="preserve"> </w:t>
      </w:r>
      <w:r>
        <w:rPr>
          <w:rFonts w:ascii="Times New Roman" w:hAnsi="Times New Roman"/>
          <w:kern w:val="0"/>
        </w:rPr>
        <w:t xml:space="preserve">                          </w:t>
      </w:r>
    </w:p>
    <w:p>
      <w:pPr>
        <w:spacing w:line="360" w:lineRule="auto"/>
        <w:ind w:firstLine="482"/>
        <w:rPr>
          <w:rFonts w:ascii="Times New Roman" w:hAnsi="Times New Roman"/>
        </w:rPr>
      </w:pPr>
      <w:r>
        <w:rPr>
          <w:rFonts w:ascii="Times New Roman" w:hAnsi="Times New Roman"/>
          <w:b/>
          <w:bCs/>
          <w:kern w:val="0"/>
        </w:rPr>
        <w:t>教    材</w:t>
      </w:r>
      <w:r>
        <w:rPr>
          <w:rFonts w:ascii="Times New Roman" w:hAnsi="Times New Roman"/>
          <w:b/>
          <w:kern w:val="0"/>
        </w:rPr>
        <w:t>：</w:t>
      </w:r>
      <w:r>
        <w:rPr>
          <w:rFonts w:ascii="Times New Roman" w:hAnsi="Times New Roman"/>
          <w:szCs w:val="21"/>
        </w:rPr>
        <w:t>《</w:t>
      </w:r>
      <w:r>
        <w:rPr>
          <w:rFonts w:hint="eastAsia" w:ascii="Times New Roman" w:hAnsi="Times New Roman"/>
        </w:rPr>
        <w:t>化工工艺学（第</w:t>
      </w:r>
      <w:r>
        <w:rPr>
          <w:rFonts w:hint="eastAsia" w:ascii="Times New Roman" w:hAnsi="Times New Roman"/>
          <w:lang w:val="en-US" w:eastAsia="zh-CN"/>
        </w:rPr>
        <w:t>五</w:t>
      </w:r>
      <w:r>
        <w:rPr>
          <w:rFonts w:hint="eastAsia" w:ascii="Times New Roman" w:hAnsi="Times New Roman"/>
        </w:rPr>
        <w:t>版）</w:t>
      </w:r>
      <w:r>
        <w:rPr>
          <w:rFonts w:ascii="Times New Roman" w:hAnsi="Times New Roman"/>
        </w:rPr>
        <w:t>》，</w:t>
      </w:r>
      <w:r>
        <w:rPr>
          <w:rFonts w:hint="eastAsia" w:ascii="Times New Roman" w:hAnsi="Times New Roman"/>
        </w:rPr>
        <w:t>谭世语等</w:t>
      </w:r>
      <w:r>
        <w:rPr>
          <w:rFonts w:ascii="Times New Roman" w:hAnsi="Times New Roman"/>
        </w:rPr>
        <w:t>，</w:t>
      </w:r>
      <w:r>
        <w:rPr>
          <w:rFonts w:hint="eastAsia" w:ascii="Times New Roman" w:hAnsi="Times New Roman"/>
        </w:rPr>
        <w:t>重庆大学出版社</w:t>
      </w:r>
      <w:r>
        <w:rPr>
          <w:rFonts w:ascii="Times New Roman" w:hAnsi="Times New Roman"/>
        </w:rPr>
        <w:t>，201</w:t>
      </w:r>
      <w:r>
        <w:rPr>
          <w:rFonts w:hint="eastAsia" w:ascii="Times New Roman" w:hAnsi="Times New Roman"/>
          <w:lang w:val="en-US" w:eastAsia="zh-CN"/>
        </w:rPr>
        <w:t>8</w:t>
      </w:r>
      <w:r>
        <w:rPr>
          <w:rFonts w:ascii="Times New Roman" w:hAnsi="Times New Roman"/>
        </w:rPr>
        <w:t>.12</w:t>
      </w:r>
      <w:r>
        <w:rPr>
          <w:rFonts w:hint="eastAsia" w:ascii="Times New Roman" w:hAnsi="Times New Roman"/>
        </w:rPr>
        <w:t>.</w:t>
      </w:r>
    </w:p>
    <w:p>
      <w:pPr>
        <w:spacing w:line="360" w:lineRule="auto"/>
        <w:ind w:firstLine="482"/>
        <w:rPr>
          <w:rFonts w:ascii="Times New Roman" w:hAnsi="Times New Roman"/>
          <w:bCs/>
          <w:kern w:val="0"/>
        </w:rPr>
      </w:pPr>
      <w:r>
        <w:rPr>
          <w:rFonts w:ascii="Times New Roman" w:hAnsi="Times New Roman"/>
          <w:b/>
          <w:bCs/>
          <w:kern w:val="0"/>
        </w:rPr>
        <w:t>课程归口：</w:t>
      </w:r>
      <w:r>
        <w:rPr>
          <w:rFonts w:hint="eastAsia" w:ascii="Times New Roman" w:hAnsi="Times New Roman"/>
          <w:bCs/>
          <w:kern w:val="0"/>
        </w:rPr>
        <w:t>化工与材料</w:t>
      </w:r>
      <w:r>
        <w:rPr>
          <w:rFonts w:ascii="Times New Roman" w:hAnsi="Times New Roman"/>
          <w:kern w:val="0"/>
        </w:rPr>
        <w:t>学院</w:t>
      </w:r>
    </w:p>
    <w:p>
      <w:pPr>
        <w:spacing w:line="360" w:lineRule="auto"/>
        <w:ind w:firstLine="482"/>
        <w:rPr>
          <w:rFonts w:hint="eastAsia" w:ascii="Times New Roman" w:hAnsi="Times New Roman"/>
          <w:kern w:val="0"/>
        </w:rPr>
      </w:pPr>
      <w:r>
        <w:rPr>
          <w:rFonts w:ascii="Times New Roman" w:hAnsi="Times New Roman"/>
          <w:b/>
          <w:bCs/>
          <w:kern w:val="0"/>
        </w:rPr>
        <w:t>课程的性质与任务</w:t>
      </w:r>
      <w:r>
        <w:rPr>
          <w:rFonts w:hint="eastAsia" w:ascii="Times New Roman" w:hAnsi="Times New Roman"/>
          <w:b/>
          <w:bCs/>
          <w:kern w:val="0"/>
        </w:rPr>
        <w:t>：</w:t>
      </w:r>
    </w:p>
    <w:p>
      <w:pPr>
        <w:spacing w:line="360" w:lineRule="auto"/>
        <w:ind w:firstLine="480"/>
        <w:rPr>
          <w:rFonts w:hint="eastAsia" w:ascii="Times New Roman" w:hAnsi="Times New Roman"/>
          <w:kern w:val="0"/>
        </w:rPr>
      </w:pPr>
      <w:r>
        <w:rPr>
          <w:rFonts w:hint="eastAsia" w:ascii="Times New Roman" w:hAnsi="Times New Roman"/>
          <w:kern w:val="0"/>
        </w:rPr>
        <w:t>化工工艺学课程是化学工程与工艺专业的一门专业基础课。该课程介绍无机化工工艺（包括合成氨、硫酸、硝酸、纯碱、烧碱）、三大化石燃料（煤、石油、天然气）的生产基本原理、工艺过程以及过程涉及的设备等。该课程从化工生产的工艺角度出发，介绍典型产品的生产方法、工艺原理、流程、关键设备、工艺条件与节能降耗分析等，运用化工过程的基本原理，阐明化工工艺的基本概念和基本理论。其任务是使学生综合运用所学到的知识，掌握化工工艺的分析和流程组织的一般规律，认识化学加工工业的共性特征，培养综合应用相关基础科学知识处理化学工业实际问题的能力。目的是让学生初步掌握有效地组织工艺流程的方法，科学地确定系统操作条件，以实现工艺系统高效平稳运动，达到较优的技术经济目标。同时能够了解学科发展趋势，增强科学研究与技术开发的能力，在此基础上学生可选修其它更有专门特色的课程，如精细化工、煤化工、石油化工、材料化工等。</w:t>
      </w:r>
    </w:p>
    <w:p>
      <w:pPr>
        <w:spacing w:line="360" w:lineRule="auto"/>
        <w:ind w:firstLine="562"/>
        <w:rPr>
          <w:rFonts w:ascii="Times New Roman" w:hAnsi="Times New Roman"/>
          <w:b/>
          <w:sz w:val="28"/>
          <w:szCs w:val="28"/>
        </w:rPr>
      </w:pPr>
      <w:bookmarkStart w:id="137" w:name="_Toc57361892"/>
      <w:bookmarkStart w:id="138" w:name="_Toc57384464"/>
      <w:bookmarkStart w:id="139" w:name="_Toc57384857"/>
      <w:bookmarkStart w:id="140" w:name="_Toc57385478"/>
      <w:bookmarkStart w:id="141" w:name="_Toc57361310"/>
      <w:bookmarkStart w:id="142" w:name="_Toc57364606"/>
      <w:r>
        <w:rPr>
          <w:rFonts w:hint="eastAsia" w:ascii="Times New Roman" w:hAnsi="Times New Roman"/>
          <w:b/>
          <w:sz w:val="28"/>
          <w:szCs w:val="28"/>
        </w:rPr>
        <w:t>二、</w:t>
      </w:r>
      <w:r>
        <w:rPr>
          <w:rFonts w:ascii="Times New Roman" w:hAnsi="Times New Roman"/>
          <w:b/>
          <w:sz w:val="28"/>
          <w:szCs w:val="28"/>
        </w:rPr>
        <w:t>课程目标及对毕业要求观测点的支撑</w:t>
      </w:r>
      <w:bookmarkEnd w:id="137"/>
      <w:bookmarkEnd w:id="138"/>
      <w:bookmarkEnd w:id="139"/>
      <w:bookmarkEnd w:id="140"/>
      <w:bookmarkEnd w:id="141"/>
      <w:bookmarkEnd w:id="142"/>
    </w:p>
    <w:tbl>
      <w:tblPr>
        <w:tblStyle w:val="1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118"/>
        <w:gridCol w:w="2292"/>
        <w:gridCol w:w="3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38" w:type="dxa"/>
            <w:noWrap/>
            <w:vAlign w:val="center"/>
          </w:tcPr>
          <w:p>
            <w:pPr>
              <w:widowControl/>
              <w:jc w:val="center"/>
              <w:rPr>
                <w:rFonts w:ascii="Times New Roman" w:hAnsi="Times New Roman"/>
                <w:b/>
                <w:bCs/>
                <w:kern w:val="0"/>
                <w:szCs w:val="21"/>
              </w:rPr>
            </w:pPr>
            <w:r>
              <w:rPr>
                <w:rFonts w:ascii="Times New Roman" w:hAnsi="Times New Roman"/>
                <w:b/>
                <w:bCs/>
                <w:kern w:val="0"/>
                <w:szCs w:val="21"/>
              </w:rPr>
              <w:t>序号</w:t>
            </w:r>
          </w:p>
        </w:tc>
        <w:tc>
          <w:tcPr>
            <w:tcW w:w="3118" w:type="dxa"/>
            <w:noWrap/>
            <w:vAlign w:val="center"/>
          </w:tcPr>
          <w:p>
            <w:pPr>
              <w:widowControl/>
              <w:jc w:val="center"/>
              <w:rPr>
                <w:rFonts w:ascii="Times New Roman" w:hAnsi="Times New Roman"/>
                <w:b/>
                <w:bCs/>
                <w:kern w:val="0"/>
                <w:szCs w:val="21"/>
              </w:rPr>
            </w:pPr>
            <w:r>
              <w:rPr>
                <w:rFonts w:ascii="Times New Roman" w:hAnsi="Times New Roman"/>
                <w:b/>
                <w:bCs/>
                <w:kern w:val="0"/>
                <w:szCs w:val="21"/>
              </w:rPr>
              <w:t>课程目标</w:t>
            </w:r>
          </w:p>
        </w:tc>
        <w:tc>
          <w:tcPr>
            <w:tcW w:w="2292" w:type="dxa"/>
            <w:noWrap/>
            <w:vAlign w:val="center"/>
          </w:tcPr>
          <w:p>
            <w:pPr>
              <w:widowControl/>
              <w:jc w:val="center"/>
              <w:rPr>
                <w:rFonts w:ascii="Times New Roman" w:hAnsi="Times New Roman"/>
                <w:b/>
                <w:bCs/>
                <w:kern w:val="0"/>
                <w:szCs w:val="21"/>
              </w:rPr>
            </w:pPr>
            <w:r>
              <w:rPr>
                <w:rFonts w:ascii="Times New Roman" w:hAnsi="Times New Roman"/>
                <w:b/>
                <w:bCs/>
                <w:kern w:val="0"/>
                <w:szCs w:val="21"/>
              </w:rPr>
              <w:t>支撑毕业要求观测点</w:t>
            </w:r>
          </w:p>
        </w:tc>
        <w:tc>
          <w:tcPr>
            <w:tcW w:w="3066" w:type="dxa"/>
            <w:noWrap/>
            <w:vAlign w:val="center"/>
          </w:tcPr>
          <w:p>
            <w:pPr>
              <w:widowControl/>
              <w:jc w:val="center"/>
              <w:rPr>
                <w:rFonts w:ascii="Times New Roman" w:hAnsi="Times New Roman"/>
                <w:b/>
                <w:bCs/>
                <w:kern w:val="0"/>
                <w:szCs w:val="21"/>
              </w:rPr>
            </w:pPr>
            <w:r>
              <w:rPr>
                <w:rFonts w:ascii="Times New Roman" w:hAnsi="Times New Roman"/>
                <w:b/>
                <w:bCs/>
                <w:kern w:val="0"/>
                <w:szCs w:val="21"/>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38" w:type="dxa"/>
            <w:noWrap/>
            <w:vAlign w:val="center"/>
          </w:tcPr>
          <w:p>
            <w:pPr>
              <w:widowControl/>
              <w:jc w:val="center"/>
              <w:rPr>
                <w:rFonts w:ascii="Times New Roman" w:hAnsi="Times New Roman"/>
                <w:kern w:val="0"/>
                <w:szCs w:val="21"/>
              </w:rPr>
            </w:pPr>
            <w:r>
              <w:rPr>
                <w:rFonts w:ascii="Times New Roman" w:hAnsi="Times New Roman"/>
                <w:kern w:val="0"/>
                <w:szCs w:val="21"/>
              </w:rPr>
              <w:t>1</w:t>
            </w:r>
          </w:p>
        </w:tc>
        <w:tc>
          <w:tcPr>
            <w:tcW w:w="3118" w:type="dxa"/>
            <w:noWrap/>
            <w:vAlign w:val="center"/>
          </w:tcPr>
          <w:p>
            <w:pPr>
              <w:rPr>
                <w:rFonts w:ascii="Times New Roman" w:hAnsi="Times New Roman"/>
                <w:kern w:val="0"/>
                <w:szCs w:val="21"/>
              </w:rPr>
            </w:pPr>
            <w:r>
              <w:rPr>
                <w:rFonts w:ascii="Times New Roman" w:hAnsi="Times New Roman"/>
                <w:b/>
                <w:kern w:val="0"/>
                <w:szCs w:val="21"/>
              </w:rPr>
              <w:t>目标1：</w:t>
            </w:r>
            <w:r>
              <w:rPr>
                <w:rFonts w:ascii="Times New Roman" w:hAnsi="Times New Roman"/>
                <w:kern w:val="0"/>
                <w:szCs w:val="21"/>
              </w:rPr>
              <w:t>能够理解掌握</w:t>
            </w:r>
            <w:r>
              <w:rPr>
                <w:rFonts w:hint="eastAsia" w:ascii="Times New Roman" w:hAnsi="Times New Roman"/>
                <w:kern w:val="0"/>
                <w:szCs w:val="21"/>
              </w:rPr>
              <w:t>无机化工工艺（包括合成氨、硫酸、硝酸、纯碱、烧碱）、三大化石燃料（煤、石油、天然气）的生产基本原理、工艺过程以及过程涉及的设备</w:t>
            </w:r>
            <w:r>
              <w:rPr>
                <w:rFonts w:ascii="Times New Roman" w:hAnsi="Times New Roman"/>
                <w:kern w:val="0"/>
                <w:szCs w:val="21"/>
              </w:rPr>
              <w:t>，能能够认识到解决复杂化学工程问题有多种方案可选择。</w:t>
            </w:r>
          </w:p>
        </w:tc>
        <w:tc>
          <w:tcPr>
            <w:tcW w:w="2292" w:type="dxa"/>
            <w:noWrap/>
            <w:vAlign w:val="center"/>
          </w:tcPr>
          <w:p>
            <w:pPr>
              <w:widowControl/>
              <w:rPr>
                <w:rFonts w:ascii="Times New Roman" w:hAnsi="Times New Roman"/>
                <w:kern w:val="0"/>
                <w:szCs w:val="21"/>
              </w:rPr>
            </w:pPr>
            <w:r>
              <w:rPr>
                <w:rFonts w:ascii="Times New Roman" w:hAnsi="Times New Roman"/>
                <w:b/>
                <w:szCs w:val="21"/>
              </w:rPr>
              <w:t>观测点</w:t>
            </w:r>
            <w:r>
              <w:rPr>
                <w:rFonts w:hint="eastAsia" w:ascii="Times New Roman" w:hAnsi="Times New Roman"/>
                <w:b/>
                <w:szCs w:val="21"/>
              </w:rPr>
              <w:t>2-</w:t>
            </w:r>
            <w:r>
              <w:rPr>
                <w:rFonts w:ascii="Times New Roman" w:hAnsi="Times New Roman"/>
                <w:b/>
                <w:szCs w:val="21"/>
              </w:rPr>
              <w:t>2</w:t>
            </w:r>
            <w:r>
              <w:rPr>
                <w:rFonts w:ascii="Times New Roman" w:hAnsi="Times New Roman"/>
                <w:szCs w:val="21"/>
              </w:rPr>
              <w:t>：</w:t>
            </w:r>
            <w:r>
              <w:rPr>
                <w:rFonts w:ascii="Times New Roman" w:hAnsi="Times New Roman"/>
                <w:color w:val="000000"/>
                <w:szCs w:val="22"/>
              </w:rPr>
              <w:t>能够认识到解决复杂化学工程问题有多种方案可选择</w:t>
            </w:r>
          </w:p>
        </w:tc>
        <w:tc>
          <w:tcPr>
            <w:tcW w:w="3066" w:type="dxa"/>
            <w:noWrap/>
            <w:vAlign w:val="center"/>
          </w:tcPr>
          <w:p>
            <w:pPr>
              <w:widowControl/>
              <w:rPr>
                <w:rFonts w:ascii="Times New Roman" w:hAnsi="Times New Roman"/>
                <w:kern w:val="0"/>
                <w:szCs w:val="21"/>
              </w:rPr>
            </w:pPr>
            <w:r>
              <w:rPr>
                <w:rFonts w:ascii="Times New Roman" w:hAnsi="Times New Roman"/>
                <w:b/>
                <w:szCs w:val="21"/>
              </w:rPr>
              <w:t>毕业要求</w:t>
            </w:r>
            <w:r>
              <w:rPr>
                <w:rFonts w:hint="eastAsia" w:ascii="Times New Roman" w:hAnsi="Times New Roman"/>
                <w:b/>
                <w:szCs w:val="21"/>
              </w:rPr>
              <w:t>2</w:t>
            </w:r>
            <w:r>
              <w:rPr>
                <w:rFonts w:ascii="Times New Roman" w:hAnsi="Times New Roman"/>
                <w:color w:val="000000"/>
                <w:szCs w:val="22"/>
              </w:rPr>
              <w:t>问题分析：能够应用数学、自然科学和工程科学的基本原理，识别、表达、并通过文献研究分析化学工程与工艺领域复杂工程问题，以获得有效结论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38" w:type="dxa"/>
            <w:noWrap/>
            <w:vAlign w:val="center"/>
          </w:tcPr>
          <w:p>
            <w:pPr>
              <w:widowControl/>
              <w:jc w:val="center"/>
              <w:rPr>
                <w:rFonts w:ascii="Times New Roman" w:hAnsi="Times New Roman"/>
                <w:kern w:val="0"/>
                <w:szCs w:val="21"/>
              </w:rPr>
            </w:pPr>
            <w:r>
              <w:rPr>
                <w:rFonts w:ascii="Times New Roman" w:hAnsi="Times New Roman"/>
                <w:kern w:val="0"/>
                <w:szCs w:val="21"/>
              </w:rPr>
              <w:t>2</w:t>
            </w:r>
          </w:p>
        </w:tc>
        <w:tc>
          <w:tcPr>
            <w:tcW w:w="3118" w:type="dxa"/>
            <w:noWrap/>
            <w:vAlign w:val="center"/>
          </w:tcPr>
          <w:p>
            <w:pPr>
              <w:widowControl/>
              <w:rPr>
                <w:rFonts w:ascii="Times New Roman" w:hAnsi="Times New Roman"/>
                <w:kern w:val="0"/>
                <w:szCs w:val="21"/>
              </w:rPr>
            </w:pPr>
            <w:r>
              <w:rPr>
                <w:rFonts w:ascii="Times New Roman" w:hAnsi="Times New Roman"/>
                <w:b/>
                <w:kern w:val="0"/>
                <w:szCs w:val="21"/>
              </w:rPr>
              <w:t>目标2：</w:t>
            </w:r>
            <w:r>
              <w:rPr>
                <w:rFonts w:ascii="Times New Roman" w:hAnsi="Times New Roman"/>
                <w:kern w:val="0"/>
                <w:szCs w:val="21"/>
              </w:rPr>
              <w:t>能够掌握</w:t>
            </w:r>
            <w:r>
              <w:rPr>
                <w:rFonts w:hint="eastAsia" w:ascii="Times New Roman" w:hAnsi="Times New Roman"/>
                <w:kern w:val="0"/>
                <w:szCs w:val="21"/>
              </w:rPr>
              <w:t>典型产品的生产方法、工艺原理、流程、关键设备，特别是工艺条件与节能降耗分析</w:t>
            </w:r>
            <w:r>
              <w:rPr>
                <w:rFonts w:ascii="Times New Roman" w:hAnsi="Times New Roman"/>
                <w:kern w:val="0"/>
                <w:szCs w:val="21"/>
              </w:rPr>
              <w:t>，</w:t>
            </w:r>
            <w:r>
              <w:rPr>
                <w:rFonts w:hint="eastAsia" w:ascii="Times New Roman" w:hAnsi="Times New Roman"/>
                <w:kern w:val="0"/>
                <w:szCs w:val="21"/>
              </w:rPr>
              <w:t>能够在安全、环境、法律等现实的约束下，通过技术经济评价对设计方案的可行性进行论证</w:t>
            </w:r>
            <w:r>
              <w:rPr>
                <w:rFonts w:ascii="Times New Roman" w:hAnsi="Times New Roman"/>
                <w:kern w:val="0"/>
                <w:szCs w:val="21"/>
              </w:rPr>
              <w:t>。</w:t>
            </w:r>
          </w:p>
        </w:tc>
        <w:tc>
          <w:tcPr>
            <w:tcW w:w="2292" w:type="dxa"/>
            <w:noWrap/>
            <w:vAlign w:val="center"/>
          </w:tcPr>
          <w:p>
            <w:pPr>
              <w:widowControl/>
              <w:rPr>
                <w:rFonts w:ascii="Times New Roman" w:hAnsi="Times New Roman"/>
                <w:kern w:val="0"/>
                <w:szCs w:val="21"/>
              </w:rPr>
            </w:pPr>
            <w:r>
              <w:rPr>
                <w:rFonts w:ascii="Times New Roman" w:hAnsi="Times New Roman"/>
                <w:b/>
                <w:color w:val="000000"/>
                <w:kern w:val="0"/>
                <w:szCs w:val="21"/>
              </w:rPr>
              <w:t>观测点</w:t>
            </w:r>
            <w:r>
              <w:rPr>
                <w:rFonts w:hint="eastAsia" w:ascii="Times New Roman" w:hAnsi="Times New Roman"/>
                <w:b/>
                <w:color w:val="000000"/>
                <w:kern w:val="0"/>
                <w:szCs w:val="21"/>
              </w:rPr>
              <w:t>3-1</w:t>
            </w:r>
            <w:r>
              <w:rPr>
                <w:rFonts w:ascii="Times New Roman" w:hAnsi="Times New Roman"/>
                <w:szCs w:val="21"/>
              </w:rPr>
              <w:t>：</w:t>
            </w:r>
            <w:r>
              <w:rPr>
                <w:rFonts w:ascii="Times New Roman" w:hAnsi="Times New Roman"/>
                <w:color w:val="000000"/>
                <w:szCs w:val="22"/>
              </w:rPr>
              <w:t>能够在安全、环境、法律等现实的约束下，通过技术经济评价对设计方案的可行性进行论证</w:t>
            </w:r>
            <w:r>
              <w:rPr>
                <w:rFonts w:hint="eastAsia" w:ascii="Times New Roman" w:hAnsi="Times New Roman"/>
                <w:color w:val="000000"/>
                <w:szCs w:val="22"/>
              </w:rPr>
              <w:t>。</w:t>
            </w:r>
          </w:p>
        </w:tc>
        <w:tc>
          <w:tcPr>
            <w:tcW w:w="3066" w:type="dxa"/>
            <w:noWrap/>
            <w:vAlign w:val="center"/>
          </w:tcPr>
          <w:p>
            <w:pPr>
              <w:widowControl/>
              <w:rPr>
                <w:rFonts w:hint="eastAsia" w:ascii="Times New Roman" w:hAnsi="Times New Roman"/>
                <w:kern w:val="0"/>
                <w:szCs w:val="21"/>
              </w:rPr>
            </w:pPr>
            <w:r>
              <w:rPr>
                <w:rFonts w:ascii="Times New Roman" w:hAnsi="Times New Roman"/>
                <w:b/>
                <w:color w:val="000000"/>
                <w:kern w:val="0"/>
                <w:szCs w:val="21"/>
              </w:rPr>
              <w:t>毕业要求</w:t>
            </w:r>
            <w:r>
              <w:rPr>
                <w:rFonts w:hint="eastAsia" w:ascii="Times New Roman" w:hAnsi="Times New Roman"/>
                <w:b/>
                <w:color w:val="000000"/>
                <w:kern w:val="0"/>
                <w:szCs w:val="21"/>
              </w:rPr>
              <w:t>3</w:t>
            </w:r>
            <w:r>
              <w:rPr>
                <w:rFonts w:ascii="Times New Roman" w:hAnsi="Times New Roman"/>
                <w:color w:val="000000"/>
                <w:szCs w:val="22"/>
              </w:rPr>
              <w:t>设计/开发方案：能够设计针对化学工程与工艺领域复杂工程问题的解决方案，设计满足特定需求的系统、单元（部件）或工艺流程，并能够在设计环节中体现创新意识，考虑社会、健康、安全、法律、文化以及环境等因素</w:t>
            </w:r>
            <w:r>
              <w:rPr>
                <w:rFonts w:hint="eastAsia" w:ascii="Times New Roman" w:hAnsi="Times New Roman"/>
                <w:color w:val="000000"/>
                <w:szCs w:val="22"/>
              </w:rPr>
              <w:t>.</w:t>
            </w:r>
          </w:p>
        </w:tc>
      </w:tr>
    </w:tbl>
    <w:p>
      <w:pPr>
        <w:spacing w:line="360" w:lineRule="auto"/>
        <w:ind w:firstLine="562"/>
        <w:rPr>
          <w:rFonts w:ascii="Times New Roman" w:hAnsi="Times New Roman"/>
          <w:b/>
          <w:sz w:val="28"/>
          <w:szCs w:val="28"/>
        </w:rPr>
      </w:pPr>
      <w:bookmarkStart w:id="143" w:name="_Toc57361311"/>
      <w:bookmarkStart w:id="144" w:name="_Toc57384858"/>
      <w:bookmarkStart w:id="145" w:name="_Toc57361893"/>
      <w:bookmarkStart w:id="146" w:name="_Toc57364607"/>
      <w:bookmarkStart w:id="147" w:name="_Toc57385479"/>
      <w:bookmarkStart w:id="148" w:name="_Toc57384465"/>
      <w:r>
        <w:rPr>
          <w:rFonts w:hint="eastAsia" w:ascii="Times New Roman" w:hAnsi="Times New Roman"/>
          <w:b/>
          <w:sz w:val="28"/>
          <w:szCs w:val="28"/>
        </w:rPr>
        <w:t>三、教学</w:t>
      </w:r>
      <w:r>
        <w:rPr>
          <w:rFonts w:ascii="Times New Roman" w:hAnsi="Times New Roman"/>
          <w:b/>
          <w:sz w:val="28"/>
          <w:szCs w:val="28"/>
        </w:rPr>
        <w:t>内容及要求</w:t>
      </w:r>
      <w:bookmarkEnd w:id="143"/>
      <w:bookmarkEnd w:id="144"/>
      <w:bookmarkEnd w:id="145"/>
      <w:bookmarkEnd w:id="146"/>
      <w:bookmarkEnd w:id="147"/>
      <w:bookmarkEnd w:id="148"/>
    </w:p>
    <w:tbl>
      <w:tblPr>
        <w:tblStyle w:val="10"/>
        <w:tblW w:w="9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2632"/>
        <w:gridCol w:w="1134"/>
        <w:gridCol w:w="2028"/>
        <w:gridCol w:w="699"/>
        <w:gridCol w:w="975"/>
        <w:gridCol w:w="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ascii="Times New Roman" w:hAnsi="Times New Roman"/>
                <w:b/>
                <w:bCs/>
                <w:szCs w:val="21"/>
              </w:rPr>
            </w:pPr>
            <w:r>
              <w:rPr>
                <w:rFonts w:ascii="Times New Roman" w:hAnsi="Times New Roman"/>
                <w:b/>
                <w:bCs/>
                <w:szCs w:val="21"/>
              </w:rPr>
              <w:t>序号</w:t>
            </w:r>
          </w:p>
        </w:tc>
        <w:tc>
          <w:tcPr>
            <w:tcW w:w="2632" w:type="dxa"/>
            <w:noWrap w:val="0"/>
            <w:vAlign w:val="center"/>
          </w:tcPr>
          <w:p>
            <w:pPr>
              <w:jc w:val="center"/>
              <w:rPr>
                <w:rFonts w:ascii="Times New Roman" w:hAnsi="Times New Roman"/>
                <w:b/>
                <w:bCs/>
                <w:szCs w:val="21"/>
              </w:rPr>
            </w:pPr>
            <w:r>
              <w:rPr>
                <w:rFonts w:ascii="Times New Roman" w:hAnsi="Times New Roman"/>
                <w:b/>
                <w:bCs/>
                <w:szCs w:val="21"/>
              </w:rPr>
              <w:t>教学内容</w:t>
            </w:r>
          </w:p>
        </w:tc>
        <w:tc>
          <w:tcPr>
            <w:tcW w:w="1134" w:type="dxa"/>
            <w:noWrap w:val="0"/>
            <w:vAlign w:val="center"/>
          </w:tcPr>
          <w:p>
            <w:pPr>
              <w:jc w:val="center"/>
              <w:rPr>
                <w:rFonts w:ascii="Times New Roman" w:hAnsi="Times New Roman"/>
                <w:b/>
                <w:bCs/>
                <w:szCs w:val="21"/>
              </w:rPr>
            </w:pPr>
            <w:r>
              <w:rPr>
                <w:rFonts w:ascii="Times New Roman" w:hAnsi="Times New Roman"/>
                <w:b/>
                <w:bCs/>
                <w:szCs w:val="21"/>
              </w:rPr>
              <w:t>思政元素</w:t>
            </w:r>
          </w:p>
          <w:p>
            <w:pPr>
              <w:jc w:val="center"/>
              <w:rPr>
                <w:rFonts w:ascii="Times New Roman" w:hAnsi="Times New Roman"/>
                <w:b/>
                <w:bCs/>
                <w:szCs w:val="21"/>
              </w:rPr>
            </w:pPr>
          </w:p>
        </w:tc>
        <w:tc>
          <w:tcPr>
            <w:tcW w:w="2028" w:type="dxa"/>
            <w:noWrap w:val="0"/>
            <w:vAlign w:val="center"/>
          </w:tcPr>
          <w:p>
            <w:pPr>
              <w:jc w:val="center"/>
              <w:rPr>
                <w:rFonts w:ascii="Times New Roman" w:hAnsi="Times New Roman"/>
                <w:b/>
                <w:bCs/>
                <w:szCs w:val="21"/>
              </w:rPr>
            </w:pPr>
            <w:r>
              <w:rPr>
                <w:rFonts w:ascii="Times New Roman" w:hAnsi="Times New Roman"/>
                <w:b/>
                <w:bCs/>
                <w:szCs w:val="21"/>
              </w:rPr>
              <w:t>预期学习成果</w:t>
            </w:r>
          </w:p>
          <w:p>
            <w:pPr>
              <w:jc w:val="center"/>
              <w:rPr>
                <w:rFonts w:ascii="Times New Roman" w:hAnsi="Times New Roman"/>
                <w:b/>
                <w:bCs/>
                <w:szCs w:val="21"/>
              </w:rPr>
            </w:pPr>
          </w:p>
        </w:tc>
        <w:tc>
          <w:tcPr>
            <w:tcW w:w="699" w:type="dxa"/>
            <w:noWrap w:val="0"/>
            <w:vAlign w:val="center"/>
          </w:tcPr>
          <w:p>
            <w:pPr>
              <w:jc w:val="center"/>
              <w:rPr>
                <w:rFonts w:ascii="Times New Roman" w:hAnsi="Times New Roman"/>
                <w:b/>
                <w:bCs/>
                <w:szCs w:val="21"/>
              </w:rPr>
            </w:pPr>
            <w:r>
              <w:rPr>
                <w:rFonts w:ascii="Times New Roman" w:hAnsi="Times New Roman"/>
                <w:b/>
                <w:bCs/>
                <w:szCs w:val="21"/>
              </w:rPr>
              <w:t>教学学时</w:t>
            </w:r>
          </w:p>
        </w:tc>
        <w:tc>
          <w:tcPr>
            <w:tcW w:w="975" w:type="dxa"/>
            <w:noWrap w:val="0"/>
            <w:vAlign w:val="center"/>
          </w:tcPr>
          <w:p>
            <w:pPr>
              <w:jc w:val="center"/>
              <w:rPr>
                <w:rFonts w:ascii="Times New Roman" w:hAnsi="Times New Roman"/>
                <w:b/>
                <w:bCs/>
                <w:szCs w:val="21"/>
              </w:rPr>
            </w:pPr>
            <w:r>
              <w:rPr>
                <w:rFonts w:ascii="Times New Roman" w:hAnsi="Times New Roman"/>
                <w:b/>
                <w:bCs/>
                <w:szCs w:val="21"/>
              </w:rPr>
              <w:t>教学方式</w:t>
            </w:r>
          </w:p>
        </w:tc>
        <w:tc>
          <w:tcPr>
            <w:tcW w:w="925" w:type="dxa"/>
            <w:noWrap w:val="0"/>
            <w:vAlign w:val="center"/>
          </w:tcPr>
          <w:p>
            <w:pPr>
              <w:jc w:val="center"/>
              <w:rPr>
                <w:rFonts w:ascii="Times New Roman" w:hAnsi="Times New Roman"/>
                <w:b/>
                <w:bCs/>
                <w:szCs w:val="21"/>
              </w:rPr>
            </w:pPr>
            <w:r>
              <w:rPr>
                <w:rFonts w:ascii="Times New Roman" w:hAnsi="Times New Roman"/>
                <w:b/>
                <w:bCs/>
                <w:szCs w:val="21"/>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ascii="Times New Roman" w:hAnsi="Times New Roman"/>
                <w:szCs w:val="21"/>
              </w:rPr>
            </w:pPr>
            <w:r>
              <w:rPr>
                <w:rFonts w:ascii="Times New Roman" w:hAnsi="Times New Roman"/>
                <w:szCs w:val="21"/>
              </w:rPr>
              <w:t>1</w:t>
            </w:r>
          </w:p>
        </w:tc>
        <w:tc>
          <w:tcPr>
            <w:tcW w:w="2632" w:type="dxa"/>
            <w:noWrap w:val="0"/>
            <w:vAlign w:val="center"/>
          </w:tcPr>
          <w:p>
            <w:pPr>
              <w:rPr>
                <w:rFonts w:hint="eastAsia" w:ascii="Times New Roman" w:hAnsi="Times New Roman"/>
                <w:kern w:val="0"/>
                <w:szCs w:val="21"/>
              </w:rPr>
            </w:pPr>
            <w:r>
              <w:rPr>
                <w:rFonts w:hint="eastAsia" w:ascii="Times New Roman" w:hAnsi="Times New Roman"/>
                <w:b/>
                <w:kern w:val="0"/>
                <w:szCs w:val="21"/>
              </w:rPr>
              <w:t>合成氨：</w:t>
            </w:r>
            <w:r>
              <w:rPr>
                <w:rFonts w:hint="eastAsia" w:ascii="Times New Roman" w:hAnsi="Times New Roman"/>
                <w:kern w:val="0"/>
                <w:szCs w:val="21"/>
              </w:rPr>
              <w:t>（1）氨的作用和发展（2）原料气的制取（3）原料气的净化（4）氨的合成</w:t>
            </w:r>
          </w:p>
          <w:p>
            <w:pPr>
              <w:rPr>
                <w:rFonts w:ascii="Times New Roman" w:hAnsi="Times New Roman"/>
                <w:kern w:val="0"/>
                <w:szCs w:val="21"/>
              </w:rPr>
            </w:pPr>
          </w:p>
          <w:p>
            <w:pPr>
              <w:rPr>
                <w:rFonts w:hint="eastAsia" w:ascii="Times New Roman" w:hAnsi="Times New Roman"/>
                <w:kern w:val="0"/>
                <w:szCs w:val="21"/>
              </w:rPr>
            </w:pPr>
            <w:r>
              <w:rPr>
                <w:rFonts w:ascii="Times New Roman" w:hAnsi="Times New Roman"/>
                <w:b/>
                <w:kern w:val="0"/>
                <w:szCs w:val="21"/>
              </w:rPr>
              <w:t>重点和难点：</w:t>
            </w:r>
            <w:r>
              <w:rPr>
                <w:rFonts w:hint="eastAsia" w:ascii="Times New Roman" w:hAnsi="Times New Roman"/>
                <w:kern w:val="0"/>
                <w:szCs w:val="21"/>
              </w:rPr>
              <w:t>原料气制取、净化、氨合成过程中的主要化学反应及催化剂；合成氨生产的工艺过程及主要工序的工艺条件基本的工艺计算</w:t>
            </w:r>
          </w:p>
          <w:p>
            <w:pPr>
              <w:rPr>
                <w:rFonts w:ascii="Times New Roman" w:hAnsi="Times New Roman"/>
                <w:kern w:val="0"/>
                <w:szCs w:val="21"/>
              </w:rPr>
            </w:pPr>
          </w:p>
        </w:tc>
        <w:tc>
          <w:tcPr>
            <w:tcW w:w="1134" w:type="dxa"/>
            <w:noWrap w:val="0"/>
            <w:vAlign w:val="center"/>
          </w:tcPr>
          <w:p>
            <w:pPr>
              <w:autoSpaceDE w:val="0"/>
              <w:autoSpaceDN w:val="0"/>
              <w:adjustRightInd w:val="0"/>
              <w:rPr>
                <w:rFonts w:ascii="Times New Roman" w:hAnsi="Times New Roman"/>
                <w:kern w:val="0"/>
                <w:szCs w:val="21"/>
              </w:rPr>
            </w:pPr>
          </w:p>
        </w:tc>
        <w:tc>
          <w:tcPr>
            <w:tcW w:w="2028" w:type="dxa"/>
            <w:noWrap w:val="0"/>
            <w:vAlign w:val="center"/>
          </w:tcPr>
          <w:p>
            <w:pPr>
              <w:autoSpaceDE w:val="0"/>
              <w:autoSpaceDN w:val="0"/>
              <w:adjustRightInd w:val="0"/>
              <w:rPr>
                <w:rFonts w:ascii="Times New Roman" w:hAnsi="Times New Roman"/>
                <w:kern w:val="0"/>
                <w:szCs w:val="21"/>
              </w:rPr>
            </w:pPr>
            <w:r>
              <w:rPr>
                <w:rFonts w:hint="eastAsia" w:ascii="Times New Roman" w:hAnsi="Times New Roman"/>
                <w:kern w:val="0"/>
                <w:szCs w:val="21"/>
              </w:rPr>
              <w:t>了解合成氨多种工艺的优缺点，能够掌握合成氨动力学及其在工业上的应用。</w:t>
            </w:r>
          </w:p>
        </w:tc>
        <w:tc>
          <w:tcPr>
            <w:tcW w:w="699" w:type="dxa"/>
            <w:noWrap w:val="0"/>
            <w:vAlign w:val="center"/>
          </w:tcPr>
          <w:p>
            <w:pPr>
              <w:jc w:val="center"/>
              <w:rPr>
                <w:rFonts w:ascii="Times New Roman" w:hAnsi="Times New Roman"/>
                <w:szCs w:val="21"/>
              </w:rPr>
            </w:pPr>
            <w:r>
              <w:rPr>
                <w:rFonts w:ascii="Times New Roman" w:hAnsi="Times New Roman"/>
                <w:szCs w:val="21"/>
              </w:rPr>
              <w:t>6</w:t>
            </w:r>
          </w:p>
        </w:tc>
        <w:tc>
          <w:tcPr>
            <w:tcW w:w="975" w:type="dxa"/>
            <w:noWrap w:val="0"/>
            <w:vAlign w:val="center"/>
          </w:tcPr>
          <w:p>
            <w:pPr>
              <w:rPr>
                <w:rFonts w:ascii="Times New Roman" w:hAnsi="Times New Roman"/>
                <w:szCs w:val="21"/>
              </w:rPr>
            </w:pPr>
            <w:r>
              <w:rPr>
                <w:rFonts w:ascii="Times New Roman" w:hAnsi="Times New Roman"/>
                <w:szCs w:val="21"/>
              </w:rPr>
              <w:t>讲授/讨论/实例教学等</w:t>
            </w:r>
          </w:p>
        </w:tc>
        <w:tc>
          <w:tcPr>
            <w:tcW w:w="925" w:type="dxa"/>
            <w:noWrap w:val="0"/>
            <w:vAlign w:val="center"/>
          </w:tcPr>
          <w:p>
            <w:pPr>
              <w:jc w:val="center"/>
              <w:rPr>
                <w:rFonts w:ascii="Times New Roman" w:hAnsi="Times New Roman"/>
                <w:szCs w:val="21"/>
              </w:rPr>
            </w:pPr>
            <w:r>
              <w:rPr>
                <w:rFonts w:ascii="Times New Roman" w:hAnsi="Times New Roman"/>
                <w:b/>
                <w:kern w:val="0"/>
                <w:szCs w:val="21"/>
              </w:rPr>
              <w:t>目标1</w:t>
            </w:r>
            <w:r>
              <w:rPr>
                <w:rFonts w:hint="eastAsia" w:ascii="Times New Roman" w:hAnsi="Times New Roman"/>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ascii="Times New Roman" w:hAnsi="Times New Roman"/>
                <w:szCs w:val="21"/>
              </w:rPr>
            </w:pPr>
            <w:r>
              <w:rPr>
                <w:rFonts w:ascii="Times New Roman" w:hAnsi="Times New Roman"/>
                <w:szCs w:val="21"/>
              </w:rPr>
              <w:t>2</w:t>
            </w:r>
          </w:p>
        </w:tc>
        <w:tc>
          <w:tcPr>
            <w:tcW w:w="2632" w:type="dxa"/>
            <w:noWrap w:val="0"/>
            <w:vAlign w:val="center"/>
          </w:tcPr>
          <w:p>
            <w:pPr>
              <w:rPr>
                <w:rFonts w:hint="eastAsia" w:ascii="Times New Roman" w:hAnsi="Times New Roman"/>
                <w:kern w:val="0"/>
                <w:szCs w:val="21"/>
              </w:rPr>
            </w:pPr>
            <w:r>
              <w:rPr>
                <w:rFonts w:hint="eastAsia" w:ascii="Times New Roman" w:hAnsi="Times New Roman"/>
                <w:b/>
                <w:kern w:val="0"/>
                <w:szCs w:val="21"/>
              </w:rPr>
              <w:t>化学肥料：</w:t>
            </w:r>
            <w:r>
              <w:rPr>
                <w:rFonts w:hint="eastAsia" w:ascii="Times New Roman" w:hAnsi="Times New Roman"/>
                <w:kern w:val="0"/>
                <w:szCs w:val="21"/>
              </w:rPr>
              <w:t>（1）氮肥</w:t>
            </w:r>
          </w:p>
          <w:p>
            <w:pPr>
              <w:rPr>
                <w:rFonts w:hint="eastAsia" w:ascii="Times New Roman" w:hAnsi="Times New Roman"/>
                <w:kern w:val="0"/>
                <w:szCs w:val="21"/>
              </w:rPr>
            </w:pPr>
            <w:r>
              <w:rPr>
                <w:rFonts w:hint="eastAsia" w:ascii="Times New Roman" w:hAnsi="Times New Roman"/>
                <w:kern w:val="0"/>
                <w:szCs w:val="21"/>
              </w:rPr>
              <w:t>（2）磷酸和磷肥</w:t>
            </w:r>
          </w:p>
          <w:p>
            <w:pPr>
              <w:rPr>
                <w:rFonts w:hint="eastAsia" w:ascii="Times New Roman" w:hAnsi="Times New Roman"/>
                <w:kern w:val="0"/>
                <w:szCs w:val="21"/>
              </w:rPr>
            </w:pPr>
            <w:r>
              <w:rPr>
                <w:rFonts w:hint="eastAsia" w:ascii="Times New Roman" w:hAnsi="Times New Roman"/>
                <w:kern w:val="0"/>
                <w:szCs w:val="21"/>
              </w:rPr>
              <w:t>（3）钾肥</w:t>
            </w:r>
          </w:p>
          <w:p>
            <w:pPr>
              <w:rPr>
                <w:rFonts w:hint="eastAsia" w:ascii="Times New Roman" w:hAnsi="Times New Roman"/>
                <w:kern w:val="0"/>
                <w:szCs w:val="21"/>
              </w:rPr>
            </w:pPr>
            <w:r>
              <w:rPr>
                <w:rFonts w:hint="eastAsia" w:ascii="Times New Roman" w:hAnsi="Times New Roman"/>
                <w:kern w:val="0"/>
                <w:szCs w:val="21"/>
              </w:rPr>
              <w:t>（4）复合肥</w:t>
            </w:r>
          </w:p>
          <w:p>
            <w:pPr>
              <w:rPr>
                <w:rFonts w:hint="eastAsia" w:ascii="Times New Roman" w:hAnsi="Times New Roman"/>
                <w:kern w:val="0"/>
                <w:szCs w:val="21"/>
              </w:rPr>
            </w:pPr>
          </w:p>
          <w:p>
            <w:pPr>
              <w:rPr>
                <w:rFonts w:hint="eastAsia" w:ascii="Times New Roman" w:hAnsi="Times New Roman"/>
                <w:kern w:val="0"/>
                <w:szCs w:val="21"/>
              </w:rPr>
            </w:pPr>
            <w:r>
              <w:rPr>
                <w:rFonts w:ascii="Times New Roman" w:hAnsi="Times New Roman"/>
                <w:b/>
                <w:kern w:val="0"/>
                <w:szCs w:val="21"/>
              </w:rPr>
              <w:t>重点和难点：</w:t>
            </w:r>
            <w:r>
              <w:rPr>
                <w:rFonts w:hint="eastAsia" w:ascii="Times New Roman" w:hAnsi="Times New Roman"/>
                <w:kern w:val="0"/>
                <w:szCs w:val="21"/>
              </w:rPr>
              <w:t>尿素生产的原理、工艺条件、气提法生产工艺；过磷酸钙生产原理</w:t>
            </w:r>
          </w:p>
          <w:p>
            <w:pPr>
              <w:rPr>
                <w:rFonts w:hint="eastAsia" w:ascii="Times New Roman" w:hAnsi="Times New Roman"/>
                <w:kern w:val="0"/>
                <w:szCs w:val="21"/>
              </w:rPr>
            </w:pPr>
            <w:r>
              <w:rPr>
                <w:rFonts w:hint="eastAsia" w:ascii="Times New Roman" w:hAnsi="Times New Roman"/>
                <w:kern w:val="0"/>
                <w:szCs w:val="21"/>
              </w:rPr>
              <w:t>；溶解结晶法抽取氯化钾。</w:t>
            </w:r>
          </w:p>
          <w:p>
            <w:pPr>
              <w:rPr>
                <w:rFonts w:ascii="Times New Roman" w:hAnsi="Times New Roman"/>
                <w:kern w:val="0"/>
                <w:szCs w:val="21"/>
              </w:rPr>
            </w:pPr>
          </w:p>
        </w:tc>
        <w:tc>
          <w:tcPr>
            <w:tcW w:w="1134" w:type="dxa"/>
            <w:noWrap w:val="0"/>
            <w:vAlign w:val="center"/>
          </w:tcPr>
          <w:p>
            <w:pPr>
              <w:rPr>
                <w:rFonts w:ascii="Times New Roman" w:hAnsi="Times New Roman"/>
                <w:szCs w:val="21"/>
              </w:rPr>
            </w:pPr>
          </w:p>
        </w:tc>
        <w:tc>
          <w:tcPr>
            <w:tcW w:w="2028" w:type="dxa"/>
            <w:noWrap w:val="0"/>
            <w:vAlign w:val="center"/>
          </w:tcPr>
          <w:p>
            <w:pPr>
              <w:rPr>
                <w:rFonts w:hint="eastAsia" w:ascii="Times New Roman" w:hAnsi="Times New Roman"/>
                <w:szCs w:val="21"/>
              </w:rPr>
            </w:pPr>
            <w:r>
              <w:rPr>
                <w:rFonts w:hint="eastAsia" w:ascii="Times New Roman" w:hAnsi="Times New Roman"/>
                <w:kern w:val="0"/>
                <w:szCs w:val="21"/>
              </w:rPr>
              <w:t>了解化学肥料的种类，及各种肥料性能特点、生产流程及工艺。</w:t>
            </w:r>
          </w:p>
        </w:tc>
        <w:tc>
          <w:tcPr>
            <w:tcW w:w="699" w:type="dxa"/>
            <w:noWrap w:val="0"/>
            <w:vAlign w:val="center"/>
          </w:tcPr>
          <w:p>
            <w:pPr>
              <w:jc w:val="center"/>
              <w:rPr>
                <w:rFonts w:hint="eastAsia" w:ascii="Times New Roman" w:hAnsi="Times New Roman"/>
                <w:szCs w:val="21"/>
              </w:rPr>
            </w:pPr>
            <w:r>
              <w:rPr>
                <w:rFonts w:hint="eastAsia" w:ascii="Times New Roman" w:hAnsi="Times New Roman"/>
                <w:szCs w:val="21"/>
              </w:rPr>
              <w:t>3</w:t>
            </w:r>
          </w:p>
        </w:tc>
        <w:tc>
          <w:tcPr>
            <w:tcW w:w="975" w:type="dxa"/>
            <w:noWrap w:val="0"/>
            <w:vAlign w:val="center"/>
          </w:tcPr>
          <w:p>
            <w:pPr>
              <w:rPr>
                <w:rFonts w:ascii="Times New Roman" w:hAnsi="Times New Roman"/>
                <w:szCs w:val="21"/>
              </w:rPr>
            </w:pPr>
            <w:r>
              <w:rPr>
                <w:rFonts w:ascii="Times New Roman" w:hAnsi="Times New Roman"/>
                <w:szCs w:val="21"/>
              </w:rPr>
              <w:t>讲授/实验/讨论/等</w:t>
            </w:r>
          </w:p>
        </w:tc>
        <w:tc>
          <w:tcPr>
            <w:tcW w:w="925" w:type="dxa"/>
            <w:noWrap w:val="0"/>
            <w:vAlign w:val="center"/>
          </w:tcPr>
          <w:p>
            <w:pPr>
              <w:jc w:val="center"/>
              <w:rPr>
                <w:rFonts w:ascii="Times New Roman" w:hAnsi="Times New Roman"/>
                <w:szCs w:val="21"/>
              </w:rPr>
            </w:pPr>
            <w:r>
              <w:rPr>
                <w:rFonts w:ascii="Times New Roman" w:hAnsi="Times New Roman"/>
                <w:b/>
                <w:kern w:val="0"/>
                <w:szCs w:val="21"/>
              </w:rPr>
              <w:t>目标1</w:t>
            </w:r>
            <w:r>
              <w:rPr>
                <w:rFonts w:hint="eastAsia" w:ascii="Times New Roman" w:hAnsi="Times New Roman"/>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ascii="Times New Roman" w:hAnsi="Times New Roman"/>
                <w:szCs w:val="21"/>
              </w:rPr>
            </w:pPr>
            <w:r>
              <w:rPr>
                <w:rFonts w:ascii="Times New Roman" w:hAnsi="Times New Roman"/>
                <w:szCs w:val="21"/>
              </w:rPr>
              <w:t>3</w:t>
            </w:r>
          </w:p>
        </w:tc>
        <w:tc>
          <w:tcPr>
            <w:tcW w:w="2632" w:type="dxa"/>
            <w:noWrap w:val="0"/>
            <w:vAlign w:val="center"/>
          </w:tcPr>
          <w:p>
            <w:pPr>
              <w:rPr>
                <w:rFonts w:hint="eastAsia" w:ascii="Times New Roman" w:hAnsi="Times New Roman"/>
                <w:kern w:val="0"/>
                <w:szCs w:val="21"/>
              </w:rPr>
            </w:pPr>
            <w:r>
              <w:rPr>
                <w:rFonts w:hint="eastAsia" w:ascii="Times New Roman" w:hAnsi="Times New Roman"/>
                <w:b/>
                <w:kern w:val="0"/>
                <w:szCs w:val="21"/>
              </w:rPr>
              <w:t>硫酸与硝酸：</w:t>
            </w:r>
            <w:r>
              <w:rPr>
                <w:rFonts w:hint="eastAsia" w:ascii="Times New Roman" w:hAnsi="Times New Roman"/>
                <w:kern w:val="0"/>
                <w:szCs w:val="21"/>
              </w:rPr>
              <w:t>硫酸</w:t>
            </w:r>
          </w:p>
          <w:p>
            <w:pPr>
              <w:rPr>
                <w:rFonts w:hint="eastAsia" w:ascii="Times New Roman" w:hAnsi="Times New Roman"/>
                <w:kern w:val="0"/>
                <w:szCs w:val="21"/>
              </w:rPr>
            </w:pPr>
            <w:r>
              <w:rPr>
                <w:rFonts w:hint="eastAsia" w:ascii="Times New Roman" w:hAnsi="Times New Roman"/>
                <w:kern w:val="0"/>
                <w:szCs w:val="21"/>
              </w:rPr>
              <w:fldChar w:fldCharType="begin"/>
            </w:r>
            <w:r>
              <w:rPr>
                <w:rFonts w:hint="eastAsia" w:ascii="Times New Roman" w:hAnsi="Times New Roman"/>
                <w:kern w:val="0"/>
                <w:szCs w:val="21"/>
              </w:rPr>
              <w:instrText xml:space="preserve"> EQ \o\ac(○,1)</w:instrText>
            </w:r>
            <w:r>
              <w:rPr>
                <w:rFonts w:hint="eastAsia" w:ascii="Times New Roman" w:hAnsi="Times New Roman"/>
                <w:kern w:val="0"/>
                <w:szCs w:val="21"/>
              </w:rPr>
              <w:fldChar w:fldCharType="end"/>
            </w:r>
            <w:r>
              <w:rPr>
                <w:rFonts w:hint="eastAsia" w:ascii="Times New Roman" w:hAnsi="Times New Roman"/>
                <w:kern w:val="0"/>
                <w:szCs w:val="21"/>
              </w:rPr>
              <w:t>二氧化硫炉气的制备</w:t>
            </w:r>
          </w:p>
          <w:p>
            <w:pPr>
              <w:rPr>
                <w:rFonts w:hint="eastAsia" w:ascii="Times New Roman" w:hAnsi="Times New Roman"/>
                <w:kern w:val="0"/>
                <w:szCs w:val="21"/>
              </w:rPr>
            </w:pPr>
            <w:r>
              <w:rPr>
                <w:rFonts w:hint="eastAsia" w:ascii="Times New Roman" w:hAnsi="Times New Roman"/>
                <w:kern w:val="0"/>
                <w:szCs w:val="21"/>
              </w:rPr>
              <w:fldChar w:fldCharType="begin"/>
            </w:r>
            <w:r>
              <w:rPr>
                <w:rFonts w:hint="eastAsia" w:ascii="Times New Roman" w:hAnsi="Times New Roman"/>
                <w:kern w:val="0"/>
                <w:szCs w:val="21"/>
              </w:rPr>
              <w:instrText xml:space="preserve"> EQ \o\ac(○,2)</w:instrText>
            </w:r>
            <w:r>
              <w:rPr>
                <w:rFonts w:hint="eastAsia" w:ascii="Times New Roman" w:hAnsi="Times New Roman"/>
                <w:kern w:val="0"/>
                <w:szCs w:val="21"/>
              </w:rPr>
              <w:fldChar w:fldCharType="end"/>
            </w:r>
            <w:r>
              <w:rPr>
                <w:rFonts w:hint="eastAsia" w:ascii="Times New Roman" w:hAnsi="Times New Roman"/>
                <w:kern w:val="0"/>
                <w:szCs w:val="21"/>
              </w:rPr>
              <w:t>二氧化硫炉气的净化</w:t>
            </w:r>
          </w:p>
          <w:p>
            <w:pPr>
              <w:rPr>
                <w:rFonts w:hint="eastAsia" w:ascii="Times New Roman" w:hAnsi="Times New Roman"/>
                <w:kern w:val="0"/>
                <w:szCs w:val="21"/>
              </w:rPr>
            </w:pPr>
            <w:r>
              <w:rPr>
                <w:rFonts w:hint="eastAsia" w:ascii="Times New Roman" w:hAnsi="Times New Roman"/>
                <w:kern w:val="0"/>
                <w:szCs w:val="21"/>
              </w:rPr>
              <w:fldChar w:fldCharType="begin"/>
            </w:r>
            <w:r>
              <w:rPr>
                <w:rFonts w:hint="eastAsia" w:ascii="Times New Roman" w:hAnsi="Times New Roman"/>
                <w:kern w:val="0"/>
                <w:szCs w:val="21"/>
              </w:rPr>
              <w:instrText xml:space="preserve"> EQ \o\ac(○,3)</w:instrText>
            </w:r>
            <w:r>
              <w:rPr>
                <w:rFonts w:hint="eastAsia" w:ascii="Times New Roman" w:hAnsi="Times New Roman"/>
                <w:kern w:val="0"/>
                <w:szCs w:val="21"/>
              </w:rPr>
              <w:fldChar w:fldCharType="end"/>
            </w:r>
            <w:r>
              <w:rPr>
                <w:rFonts w:hint="eastAsia" w:ascii="Times New Roman" w:hAnsi="Times New Roman"/>
                <w:kern w:val="0"/>
                <w:szCs w:val="21"/>
              </w:rPr>
              <w:t>二氧化硫的催化氧化</w:t>
            </w:r>
          </w:p>
          <w:p>
            <w:pPr>
              <w:rPr>
                <w:rFonts w:hint="eastAsia" w:ascii="Times New Roman" w:hAnsi="Times New Roman"/>
                <w:kern w:val="0"/>
                <w:szCs w:val="21"/>
              </w:rPr>
            </w:pPr>
            <w:r>
              <w:rPr>
                <w:rFonts w:hint="eastAsia" w:ascii="Times New Roman" w:hAnsi="Times New Roman"/>
                <w:kern w:val="0"/>
                <w:szCs w:val="21"/>
              </w:rPr>
              <w:fldChar w:fldCharType="begin"/>
            </w:r>
            <w:r>
              <w:rPr>
                <w:rFonts w:hint="eastAsia" w:ascii="Times New Roman" w:hAnsi="Times New Roman"/>
                <w:kern w:val="0"/>
                <w:szCs w:val="21"/>
              </w:rPr>
              <w:instrText xml:space="preserve"> EQ \o\ac(○,4)</w:instrText>
            </w:r>
            <w:r>
              <w:rPr>
                <w:rFonts w:hint="eastAsia" w:ascii="Times New Roman" w:hAnsi="Times New Roman"/>
                <w:kern w:val="0"/>
                <w:szCs w:val="21"/>
              </w:rPr>
              <w:fldChar w:fldCharType="end"/>
            </w:r>
            <w:r>
              <w:rPr>
                <w:rFonts w:hint="eastAsia" w:ascii="Times New Roman" w:hAnsi="Times New Roman"/>
                <w:kern w:val="0"/>
                <w:szCs w:val="21"/>
              </w:rPr>
              <w:t>三氧化硫的吸收</w:t>
            </w:r>
          </w:p>
          <w:p>
            <w:pPr>
              <w:rPr>
                <w:rFonts w:hint="eastAsia" w:ascii="Times New Roman" w:hAnsi="Times New Roman"/>
                <w:kern w:val="0"/>
                <w:szCs w:val="21"/>
              </w:rPr>
            </w:pPr>
            <w:r>
              <w:rPr>
                <w:rFonts w:hint="eastAsia" w:ascii="Times New Roman" w:hAnsi="Times New Roman"/>
                <w:kern w:val="0"/>
                <w:szCs w:val="21"/>
              </w:rPr>
              <w:t>硝酸</w:t>
            </w:r>
          </w:p>
          <w:p>
            <w:pPr>
              <w:rPr>
                <w:rFonts w:hint="eastAsia" w:ascii="Times New Roman" w:hAnsi="Times New Roman"/>
                <w:kern w:val="0"/>
                <w:szCs w:val="21"/>
              </w:rPr>
            </w:pPr>
            <w:r>
              <w:rPr>
                <w:rFonts w:hint="eastAsia" w:ascii="Times New Roman" w:hAnsi="Times New Roman"/>
                <w:kern w:val="0"/>
                <w:szCs w:val="21"/>
              </w:rPr>
              <w:fldChar w:fldCharType="begin"/>
            </w:r>
            <w:r>
              <w:rPr>
                <w:rFonts w:hint="eastAsia" w:ascii="Times New Roman" w:hAnsi="Times New Roman"/>
                <w:kern w:val="0"/>
                <w:szCs w:val="21"/>
              </w:rPr>
              <w:instrText xml:space="preserve"> EQ \o\ac(○,1)</w:instrText>
            </w:r>
            <w:r>
              <w:rPr>
                <w:rFonts w:hint="eastAsia" w:ascii="Times New Roman" w:hAnsi="Times New Roman"/>
                <w:kern w:val="0"/>
                <w:szCs w:val="21"/>
              </w:rPr>
              <w:fldChar w:fldCharType="end"/>
            </w:r>
            <w:r>
              <w:rPr>
                <w:rFonts w:hint="eastAsia" w:ascii="Times New Roman" w:hAnsi="Times New Roman"/>
                <w:kern w:val="0"/>
                <w:szCs w:val="21"/>
              </w:rPr>
              <w:t>氨的催化氧化制取一氧化氮</w:t>
            </w:r>
          </w:p>
          <w:p>
            <w:pPr>
              <w:rPr>
                <w:rFonts w:hint="eastAsia" w:ascii="Times New Roman" w:hAnsi="Times New Roman"/>
                <w:kern w:val="0"/>
                <w:szCs w:val="21"/>
              </w:rPr>
            </w:pPr>
            <w:r>
              <w:rPr>
                <w:rFonts w:hint="eastAsia" w:ascii="Times New Roman" w:hAnsi="Times New Roman"/>
                <w:kern w:val="0"/>
                <w:szCs w:val="21"/>
              </w:rPr>
              <w:fldChar w:fldCharType="begin"/>
            </w:r>
            <w:r>
              <w:rPr>
                <w:rFonts w:hint="eastAsia" w:ascii="Times New Roman" w:hAnsi="Times New Roman"/>
                <w:kern w:val="0"/>
                <w:szCs w:val="21"/>
              </w:rPr>
              <w:instrText xml:space="preserve"> EQ \o\ac(○,2)</w:instrText>
            </w:r>
            <w:r>
              <w:rPr>
                <w:rFonts w:hint="eastAsia" w:ascii="Times New Roman" w:hAnsi="Times New Roman"/>
                <w:kern w:val="0"/>
                <w:szCs w:val="21"/>
              </w:rPr>
              <w:fldChar w:fldCharType="end"/>
            </w:r>
            <w:r>
              <w:rPr>
                <w:rFonts w:hint="eastAsia" w:ascii="Times New Roman" w:hAnsi="Times New Roman"/>
                <w:kern w:val="0"/>
                <w:szCs w:val="21"/>
              </w:rPr>
              <w:t>一氧化氮的氧化</w:t>
            </w:r>
          </w:p>
          <w:p>
            <w:pPr>
              <w:rPr>
                <w:rFonts w:hint="eastAsia" w:ascii="Times New Roman" w:hAnsi="Times New Roman"/>
                <w:kern w:val="0"/>
                <w:szCs w:val="21"/>
              </w:rPr>
            </w:pPr>
            <w:r>
              <w:rPr>
                <w:rFonts w:hint="eastAsia" w:ascii="Times New Roman" w:hAnsi="Times New Roman"/>
                <w:kern w:val="0"/>
                <w:szCs w:val="21"/>
              </w:rPr>
              <w:fldChar w:fldCharType="begin"/>
            </w:r>
            <w:r>
              <w:rPr>
                <w:rFonts w:hint="eastAsia" w:ascii="Times New Roman" w:hAnsi="Times New Roman"/>
                <w:kern w:val="0"/>
                <w:szCs w:val="21"/>
              </w:rPr>
              <w:instrText xml:space="preserve"> EQ \o\ac(○,3)</w:instrText>
            </w:r>
            <w:r>
              <w:rPr>
                <w:rFonts w:hint="eastAsia" w:ascii="Times New Roman" w:hAnsi="Times New Roman"/>
                <w:kern w:val="0"/>
                <w:szCs w:val="21"/>
              </w:rPr>
              <w:fldChar w:fldCharType="end"/>
            </w:r>
            <w:r>
              <w:rPr>
                <w:rFonts w:hint="eastAsia" w:ascii="Times New Roman" w:hAnsi="Times New Roman"/>
                <w:kern w:val="0"/>
                <w:szCs w:val="21"/>
              </w:rPr>
              <w:t>氮氧化物气体的吸收</w:t>
            </w:r>
          </w:p>
          <w:p>
            <w:pPr>
              <w:rPr>
                <w:rFonts w:hint="eastAsia" w:ascii="Times New Roman" w:hAnsi="Times New Roman"/>
                <w:kern w:val="0"/>
                <w:szCs w:val="21"/>
              </w:rPr>
            </w:pPr>
            <w:r>
              <w:rPr>
                <w:rFonts w:hint="eastAsia" w:ascii="Times New Roman" w:hAnsi="Times New Roman"/>
                <w:kern w:val="0"/>
                <w:szCs w:val="21"/>
              </w:rPr>
              <w:fldChar w:fldCharType="begin"/>
            </w:r>
            <w:r>
              <w:rPr>
                <w:rFonts w:hint="eastAsia" w:ascii="Times New Roman" w:hAnsi="Times New Roman"/>
                <w:kern w:val="0"/>
                <w:szCs w:val="21"/>
              </w:rPr>
              <w:instrText xml:space="preserve"> EQ \o\ac(○,4)</w:instrText>
            </w:r>
            <w:r>
              <w:rPr>
                <w:rFonts w:hint="eastAsia" w:ascii="Times New Roman" w:hAnsi="Times New Roman"/>
                <w:kern w:val="0"/>
                <w:szCs w:val="21"/>
              </w:rPr>
              <w:fldChar w:fldCharType="end"/>
            </w:r>
            <w:r>
              <w:rPr>
                <w:rFonts w:hint="eastAsia" w:ascii="Times New Roman" w:hAnsi="Times New Roman"/>
                <w:kern w:val="0"/>
                <w:szCs w:val="21"/>
              </w:rPr>
              <w:t>稀硝酸生产工艺流程</w:t>
            </w:r>
          </w:p>
          <w:p>
            <w:pPr>
              <w:rPr>
                <w:rFonts w:hint="eastAsia" w:ascii="Times New Roman" w:hAnsi="Times New Roman"/>
                <w:kern w:val="0"/>
                <w:szCs w:val="21"/>
              </w:rPr>
            </w:pPr>
            <w:r>
              <w:rPr>
                <w:rFonts w:hint="eastAsia" w:ascii="Times New Roman" w:hAnsi="Times New Roman"/>
                <w:kern w:val="0"/>
                <w:szCs w:val="21"/>
              </w:rPr>
              <w:fldChar w:fldCharType="begin"/>
            </w:r>
            <w:r>
              <w:rPr>
                <w:rFonts w:hint="eastAsia" w:ascii="Times New Roman" w:hAnsi="Times New Roman"/>
                <w:kern w:val="0"/>
                <w:szCs w:val="21"/>
              </w:rPr>
              <w:instrText xml:space="preserve"> EQ \o\ac(○,5)</w:instrText>
            </w:r>
            <w:r>
              <w:rPr>
                <w:rFonts w:hint="eastAsia" w:ascii="Times New Roman" w:hAnsi="Times New Roman"/>
                <w:kern w:val="0"/>
                <w:szCs w:val="21"/>
              </w:rPr>
              <w:fldChar w:fldCharType="end"/>
            </w:r>
            <w:r>
              <w:rPr>
                <w:rFonts w:hint="eastAsia" w:ascii="Times New Roman" w:hAnsi="Times New Roman"/>
                <w:kern w:val="0"/>
                <w:szCs w:val="21"/>
              </w:rPr>
              <w:t>尾气的治理和能量利用</w:t>
            </w:r>
          </w:p>
          <w:p>
            <w:pPr>
              <w:rPr>
                <w:rFonts w:hint="eastAsia" w:ascii="Times New Roman" w:hAnsi="Times New Roman"/>
                <w:kern w:val="0"/>
                <w:szCs w:val="21"/>
              </w:rPr>
            </w:pPr>
            <w:r>
              <w:rPr>
                <w:rFonts w:hint="eastAsia" w:ascii="Times New Roman" w:hAnsi="Times New Roman"/>
                <w:kern w:val="0"/>
                <w:szCs w:val="21"/>
              </w:rPr>
              <w:fldChar w:fldCharType="begin"/>
            </w:r>
            <w:r>
              <w:rPr>
                <w:rFonts w:hint="eastAsia" w:ascii="Times New Roman" w:hAnsi="Times New Roman"/>
                <w:kern w:val="0"/>
                <w:szCs w:val="21"/>
              </w:rPr>
              <w:instrText xml:space="preserve"> EQ \o\ac(○,6)</w:instrText>
            </w:r>
            <w:r>
              <w:rPr>
                <w:rFonts w:hint="eastAsia" w:ascii="Times New Roman" w:hAnsi="Times New Roman"/>
                <w:kern w:val="0"/>
                <w:szCs w:val="21"/>
              </w:rPr>
              <w:fldChar w:fldCharType="end"/>
            </w:r>
            <w:r>
              <w:rPr>
                <w:rFonts w:hint="eastAsia" w:ascii="Times New Roman" w:hAnsi="Times New Roman"/>
                <w:kern w:val="0"/>
                <w:szCs w:val="21"/>
              </w:rPr>
              <w:t>浓硝酸的生产简介</w:t>
            </w:r>
          </w:p>
          <w:p>
            <w:pPr>
              <w:rPr>
                <w:rFonts w:ascii="Times New Roman" w:hAnsi="Times New Roman"/>
                <w:kern w:val="0"/>
                <w:szCs w:val="21"/>
              </w:rPr>
            </w:pPr>
          </w:p>
          <w:p>
            <w:pPr>
              <w:rPr>
                <w:rFonts w:ascii="Times New Roman" w:hAnsi="Times New Roman"/>
                <w:b/>
                <w:kern w:val="0"/>
                <w:szCs w:val="21"/>
              </w:rPr>
            </w:pPr>
            <w:r>
              <w:rPr>
                <w:rFonts w:ascii="Times New Roman" w:hAnsi="Times New Roman"/>
                <w:b/>
                <w:kern w:val="0"/>
                <w:szCs w:val="21"/>
              </w:rPr>
              <w:t>重点和难点：</w:t>
            </w:r>
          </w:p>
          <w:p>
            <w:pPr>
              <w:rPr>
                <w:rFonts w:hint="eastAsia" w:ascii="Times New Roman" w:hAnsi="Times New Roman"/>
                <w:kern w:val="0"/>
                <w:szCs w:val="21"/>
              </w:rPr>
            </w:pPr>
            <w:r>
              <w:rPr>
                <w:rFonts w:hint="eastAsia" w:ascii="Times New Roman" w:hAnsi="Times New Roman"/>
                <w:kern w:val="0"/>
                <w:szCs w:val="21"/>
              </w:rPr>
              <w:t>从硫铁矿制二氧化硫炉气；炉气的净化；二氧化硫的催化氧化过程。</w:t>
            </w:r>
          </w:p>
          <w:p>
            <w:pPr>
              <w:rPr>
                <w:rFonts w:hint="eastAsia" w:ascii="Times New Roman" w:hAnsi="Times New Roman"/>
                <w:kern w:val="0"/>
                <w:szCs w:val="21"/>
              </w:rPr>
            </w:pPr>
            <w:r>
              <w:rPr>
                <w:rFonts w:hint="eastAsia" w:ascii="Times New Roman" w:hAnsi="Times New Roman"/>
                <w:kern w:val="0"/>
                <w:szCs w:val="21"/>
              </w:rPr>
              <w:t>氨氧化工艺流程；稀硝酸生产工艺流程。</w:t>
            </w:r>
          </w:p>
          <w:p>
            <w:pPr>
              <w:rPr>
                <w:rFonts w:hint="eastAsia" w:ascii="Times New Roman" w:hAnsi="Times New Roman"/>
                <w:kern w:val="0"/>
                <w:szCs w:val="21"/>
              </w:rPr>
            </w:pPr>
          </w:p>
          <w:p>
            <w:pPr>
              <w:rPr>
                <w:rFonts w:ascii="Times New Roman" w:hAnsi="Times New Roman"/>
                <w:kern w:val="0"/>
                <w:szCs w:val="21"/>
              </w:rPr>
            </w:pPr>
          </w:p>
        </w:tc>
        <w:tc>
          <w:tcPr>
            <w:tcW w:w="1134" w:type="dxa"/>
            <w:noWrap w:val="0"/>
            <w:vAlign w:val="center"/>
          </w:tcPr>
          <w:p>
            <w:pPr>
              <w:rPr>
                <w:rFonts w:hint="eastAsia" w:ascii="Times New Roman" w:hAnsi="Times New Roman"/>
                <w:szCs w:val="21"/>
              </w:rPr>
            </w:pPr>
            <w:r>
              <w:rPr>
                <w:rFonts w:hint="eastAsia" w:ascii="Times New Roman" w:hAnsi="Times New Roman"/>
                <w:szCs w:val="21"/>
              </w:rPr>
              <w:t>生态文明教育：把绿水青山就是金山银山的重要发展理念和习近平总书记关于生态文明的重要论述与硫酸尾气治理有机融合，加强生态文明教育，引导学生树立崇尚自然、尊重自然的理念，切实增强学生投身生态文明建设的责任感、使命感。</w:t>
            </w:r>
          </w:p>
        </w:tc>
        <w:tc>
          <w:tcPr>
            <w:tcW w:w="2028" w:type="dxa"/>
            <w:noWrap w:val="0"/>
            <w:vAlign w:val="center"/>
          </w:tcPr>
          <w:p>
            <w:pPr>
              <w:rPr>
                <w:rFonts w:ascii="Times New Roman" w:hAnsi="Times New Roman"/>
                <w:szCs w:val="21"/>
              </w:rPr>
            </w:pPr>
            <w:r>
              <w:rPr>
                <w:rFonts w:hint="eastAsia" w:ascii="Times New Roman" w:hAnsi="Times New Roman"/>
                <w:kern w:val="0"/>
                <w:szCs w:val="21"/>
              </w:rPr>
              <w:t>了解硫酸工业在国民经济中的地位；理解硫酸的生产方法，掌握从硫铁矿制二氧化硫炉气的方法，以及炉气的净化与干燥。</w:t>
            </w:r>
          </w:p>
        </w:tc>
        <w:tc>
          <w:tcPr>
            <w:tcW w:w="699" w:type="dxa"/>
            <w:noWrap w:val="0"/>
            <w:vAlign w:val="center"/>
          </w:tcPr>
          <w:p>
            <w:pPr>
              <w:jc w:val="center"/>
              <w:rPr>
                <w:rFonts w:ascii="Times New Roman" w:hAnsi="Times New Roman"/>
                <w:szCs w:val="21"/>
              </w:rPr>
            </w:pPr>
            <w:r>
              <w:rPr>
                <w:rFonts w:ascii="Times New Roman" w:hAnsi="Times New Roman"/>
                <w:szCs w:val="21"/>
              </w:rPr>
              <w:t>6</w:t>
            </w:r>
          </w:p>
        </w:tc>
        <w:tc>
          <w:tcPr>
            <w:tcW w:w="975" w:type="dxa"/>
            <w:noWrap w:val="0"/>
            <w:vAlign w:val="center"/>
          </w:tcPr>
          <w:p>
            <w:pPr>
              <w:rPr>
                <w:rFonts w:ascii="Times New Roman" w:hAnsi="Times New Roman"/>
                <w:szCs w:val="21"/>
              </w:rPr>
            </w:pPr>
            <w:r>
              <w:rPr>
                <w:rFonts w:ascii="Times New Roman" w:hAnsi="Times New Roman"/>
                <w:szCs w:val="21"/>
              </w:rPr>
              <w:t>讲授/讨论/等</w:t>
            </w:r>
          </w:p>
        </w:tc>
        <w:tc>
          <w:tcPr>
            <w:tcW w:w="925" w:type="dxa"/>
            <w:noWrap w:val="0"/>
            <w:vAlign w:val="center"/>
          </w:tcPr>
          <w:p>
            <w:pPr>
              <w:jc w:val="center"/>
              <w:rPr>
                <w:rFonts w:ascii="Times New Roman" w:hAnsi="Times New Roman"/>
                <w:szCs w:val="21"/>
              </w:rPr>
            </w:pPr>
            <w:r>
              <w:rPr>
                <w:rFonts w:ascii="Times New Roman" w:hAnsi="Times New Roman"/>
                <w:b/>
                <w:kern w:val="0"/>
                <w:szCs w:val="21"/>
              </w:rPr>
              <w:t>目标1</w:t>
            </w:r>
            <w:r>
              <w:rPr>
                <w:rFonts w:hint="eastAsia" w:ascii="Times New Roman" w:hAnsi="Times New Roman"/>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ascii="Times New Roman" w:hAnsi="Times New Roman"/>
                <w:szCs w:val="21"/>
              </w:rPr>
            </w:pPr>
            <w:r>
              <w:rPr>
                <w:rFonts w:ascii="Times New Roman" w:hAnsi="Times New Roman"/>
                <w:szCs w:val="21"/>
              </w:rPr>
              <w:t>4</w:t>
            </w:r>
          </w:p>
        </w:tc>
        <w:tc>
          <w:tcPr>
            <w:tcW w:w="2632" w:type="dxa"/>
            <w:noWrap w:val="0"/>
            <w:vAlign w:val="center"/>
          </w:tcPr>
          <w:p>
            <w:pPr>
              <w:rPr>
                <w:rFonts w:hint="eastAsia" w:ascii="Times New Roman" w:hAnsi="Times New Roman"/>
                <w:kern w:val="0"/>
                <w:szCs w:val="21"/>
              </w:rPr>
            </w:pPr>
            <w:r>
              <w:rPr>
                <w:rFonts w:hint="eastAsia" w:ascii="Times New Roman" w:hAnsi="Times New Roman"/>
                <w:b/>
                <w:kern w:val="0"/>
                <w:szCs w:val="21"/>
              </w:rPr>
              <w:t>纯碱与烧碱：</w:t>
            </w:r>
            <w:r>
              <w:rPr>
                <w:rFonts w:hint="eastAsia" w:ascii="Times New Roman" w:hAnsi="Times New Roman"/>
                <w:kern w:val="0"/>
                <w:szCs w:val="21"/>
              </w:rPr>
              <w:t>（1）碱法制纯碱、联合制碱法的基本原理</w:t>
            </w:r>
          </w:p>
          <w:p>
            <w:pPr>
              <w:rPr>
                <w:rFonts w:hint="eastAsia" w:ascii="Times New Roman" w:hAnsi="Times New Roman"/>
                <w:kern w:val="0"/>
                <w:szCs w:val="21"/>
              </w:rPr>
            </w:pPr>
            <w:r>
              <w:rPr>
                <w:rFonts w:hint="eastAsia" w:ascii="Times New Roman" w:hAnsi="Times New Roman"/>
                <w:kern w:val="0"/>
                <w:szCs w:val="21"/>
              </w:rPr>
              <w:t>（2）蒸氨塔中的气液平衡关系以及蒸氨工艺条件的选择</w:t>
            </w:r>
          </w:p>
          <w:p>
            <w:pPr>
              <w:rPr>
                <w:rFonts w:hint="eastAsia" w:ascii="Times New Roman" w:hAnsi="Times New Roman"/>
                <w:kern w:val="0"/>
                <w:szCs w:val="21"/>
              </w:rPr>
            </w:pPr>
            <w:r>
              <w:rPr>
                <w:rFonts w:hint="eastAsia" w:ascii="Times New Roman" w:hAnsi="Times New Roman"/>
                <w:kern w:val="0"/>
                <w:szCs w:val="21"/>
              </w:rPr>
              <w:t>（3）电解液的蒸发原理及固碱的制造方法，隔膜法与水解法制烧碱的主要相同与不同之处，离子交换膜电解原理</w:t>
            </w:r>
          </w:p>
          <w:p>
            <w:pPr>
              <w:rPr>
                <w:rFonts w:hint="eastAsia" w:ascii="Times New Roman" w:hAnsi="Times New Roman"/>
                <w:kern w:val="0"/>
                <w:szCs w:val="21"/>
              </w:rPr>
            </w:pPr>
            <w:r>
              <w:rPr>
                <w:rFonts w:hint="eastAsia" w:ascii="Times New Roman" w:hAnsi="Times New Roman"/>
                <w:kern w:val="0"/>
                <w:szCs w:val="21"/>
              </w:rPr>
              <w:t>（4）联合法生产碱与氯化铵的特点，制碱与工艺条件的选择，烧碱的各种工业生产主法及其工艺特点</w:t>
            </w:r>
          </w:p>
          <w:p>
            <w:pPr>
              <w:rPr>
                <w:rFonts w:ascii="Times New Roman" w:hAnsi="Times New Roman"/>
                <w:kern w:val="0"/>
                <w:szCs w:val="21"/>
              </w:rPr>
            </w:pPr>
          </w:p>
          <w:p>
            <w:pPr>
              <w:rPr>
                <w:rFonts w:ascii="Times New Roman" w:hAnsi="Times New Roman"/>
                <w:kern w:val="0"/>
                <w:szCs w:val="21"/>
              </w:rPr>
            </w:pPr>
            <w:r>
              <w:rPr>
                <w:rFonts w:ascii="Times New Roman" w:hAnsi="Times New Roman"/>
                <w:b/>
                <w:kern w:val="0"/>
                <w:szCs w:val="21"/>
              </w:rPr>
              <w:t>重点和难点：</w:t>
            </w:r>
            <w:r>
              <w:rPr>
                <w:rFonts w:hint="eastAsia" w:ascii="Times New Roman" w:hAnsi="Times New Roman"/>
                <w:kern w:val="0"/>
                <w:szCs w:val="21"/>
              </w:rPr>
              <w:t>氨碱法制纯碱的主要生产步骤、氨盐水的碳酸化、联合制碱法的基本原理。</w:t>
            </w:r>
          </w:p>
        </w:tc>
        <w:tc>
          <w:tcPr>
            <w:tcW w:w="1134" w:type="dxa"/>
            <w:noWrap w:val="0"/>
            <w:vAlign w:val="center"/>
          </w:tcPr>
          <w:p>
            <w:pPr>
              <w:autoSpaceDE w:val="0"/>
              <w:autoSpaceDN w:val="0"/>
              <w:adjustRightInd w:val="0"/>
              <w:rPr>
                <w:rFonts w:ascii="Times New Roman" w:hAnsi="Times New Roman"/>
                <w:szCs w:val="21"/>
              </w:rPr>
            </w:pPr>
            <w:r>
              <w:rPr>
                <w:rFonts w:hint="eastAsia" w:ascii="Times New Roman" w:hAnsi="Times New Roman"/>
                <w:szCs w:val="21"/>
              </w:rPr>
              <w:t>联合制碱法为我国科学家侯德榜首创，结合此案例增强“四个自信”，引导学生厚植爱国主义情怀，弘扬以爱国主义为核心的民族精神和以改革创新为核心的时代精神。</w:t>
            </w:r>
          </w:p>
        </w:tc>
        <w:tc>
          <w:tcPr>
            <w:tcW w:w="2028" w:type="dxa"/>
            <w:noWrap w:val="0"/>
            <w:vAlign w:val="center"/>
          </w:tcPr>
          <w:p>
            <w:pPr>
              <w:autoSpaceDE w:val="0"/>
              <w:autoSpaceDN w:val="0"/>
              <w:adjustRightInd w:val="0"/>
              <w:rPr>
                <w:rFonts w:hint="eastAsia" w:ascii="Times New Roman" w:hAnsi="Times New Roman"/>
                <w:kern w:val="0"/>
                <w:szCs w:val="21"/>
              </w:rPr>
            </w:pPr>
            <w:r>
              <w:rPr>
                <w:rFonts w:hint="eastAsia" w:ascii="Times New Roman" w:hAnsi="Times New Roman"/>
                <w:kern w:val="0"/>
                <w:szCs w:val="21"/>
              </w:rPr>
              <w:t>了解联合法生产碱与氯化铵的特点，制碱与工艺条件的选择，烧碱的各种工业生产主法及其工艺特点，掌握碱法制纯碱、联合制碱法的基本原理。</w:t>
            </w:r>
          </w:p>
          <w:p>
            <w:pPr>
              <w:autoSpaceDE w:val="0"/>
              <w:autoSpaceDN w:val="0"/>
              <w:adjustRightInd w:val="0"/>
              <w:rPr>
                <w:rFonts w:ascii="Times New Roman" w:hAnsi="Times New Roman"/>
                <w:szCs w:val="21"/>
              </w:rPr>
            </w:pPr>
          </w:p>
        </w:tc>
        <w:tc>
          <w:tcPr>
            <w:tcW w:w="699" w:type="dxa"/>
            <w:noWrap w:val="0"/>
            <w:vAlign w:val="center"/>
          </w:tcPr>
          <w:p>
            <w:pPr>
              <w:jc w:val="center"/>
              <w:rPr>
                <w:rFonts w:ascii="Times New Roman" w:hAnsi="Times New Roman"/>
                <w:szCs w:val="21"/>
              </w:rPr>
            </w:pPr>
            <w:r>
              <w:rPr>
                <w:rFonts w:hint="eastAsia" w:ascii="Times New Roman" w:hAnsi="Times New Roman"/>
                <w:szCs w:val="21"/>
              </w:rPr>
              <w:t>4</w:t>
            </w:r>
          </w:p>
        </w:tc>
        <w:tc>
          <w:tcPr>
            <w:tcW w:w="975" w:type="dxa"/>
            <w:noWrap w:val="0"/>
            <w:vAlign w:val="center"/>
          </w:tcPr>
          <w:p>
            <w:pPr>
              <w:rPr>
                <w:rFonts w:ascii="Times New Roman" w:hAnsi="Times New Roman"/>
                <w:szCs w:val="21"/>
              </w:rPr>
            </w:pPr>
            <w:r>
              <w:rPr>
                <w:rFonts w:ascii="Times New Roman" w:hAnsi="Times New Roman"/>
                <w:szCs w:val="21"/>
              </w:rPr>
              <w:t>讲授/实验/讨论/等</w:t>
            </w:r>
          </w:p>
        </w:tc>
        <w:tc>
          <w:tcPr>
            <w:tcW w:w="925" w:type="dxa"/>
            <w:noWrap w:val="0"/>
            <w:vAlign w:val="center"/>
          </w:tcPr>
          <w:p>
            <w:pPr>
              <w:jc w:val="center"/>
              <w:rPr>
                <w:rFonts w:ascii="Times New Roman" w:hAnsi="Times New Roman"/>
                <w:szCs w:val="21"/>
              </w:rPr>
            </w:pPr>
            <w:r>
              <w:rPr>
                <w:rFonts w:ascii="Times New Roman" w:hAnsi="Times New Roman"/>
                <w:b/>
                <w:kern w:val="0"/>
                <w:szCs w:val="21"/>
              </w:rPr>
              <w:t>目标1</w:t>
            </w:r>
            <w:r>
              <w:rPr>
                <w:rFonts w:hint="eastAsia" w:ascii="Times New Roman" w:hAnsi="Times New Roman"/>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ascii="Times New Roman" w:hAnsi="Times New Roman"/>
                <w:szCs w:val="21"/>
              </w:rPr>
            </w:pPr>
            <w:r>
              <w:rPr>
                <w:rFonts w:ascii="Times New Roman" w:hAnsi="Times New Roman"/>
                <w:szCs w:val="21"/>
              </w:rPr>
              <w:t>5</w:t>
            </w:r>
          </w:p>
        </w:tc>
        <w:tc>
          <w:tcPr>
            <w:tcW w:w="2632" w:type="dxa"/>
            <w:noWrap w:val="0"/>
            <w:vAlign w:val="center"/>
          </w:tcPr>
          <w:p>
            <w:pPr>
              <w:rPr>
                <w:rFonts w:hint="eastAsia" w:ascii="Times New Roman" w:hAnsi="Times New Roman"/>
                <w:b/>
                <w:kern w:val="0"/>
                <w:szCs w:val="21"/>
              </w:rPr>
            </w:pPr>
            <w:r>
              <w:rPr>
                <w:rFonts w:hint="eastAsia" w:ascii="Times New Roman" w:hAnsi="Times New Roman"/>
                <w:b/>
                <w:kern w:val="0"/>
                <w:szCs w:val="21"/>
              </w:rPr>
              <w:t>天然气化工：</w:t>
            </w:r>
          </w:p>
          <w:p>
            <w:pPr>
              <w:rPr>
                <w:rFonts w:hint="eastAsia" w:ascii="Times New Roman" w:hAnsi="Times New Roman"/>
                <w:kern w:val="0"/>
                <w:szCs w:val="21"/>
              </w:rPr>
            </w:pPr>
            <w:r>
              <w:rPr>
                <w:rFonts w:hint="eastAsia" w:ascii="Times New Roman" w:hAnsi="Times New Roman"/>
                <w:kern w:val="0"/>
                <w:szCs w:val="21"/>
              </w:rPr>
              <w:t>（1）天然气的组成与分类</w:t>
            </w:r>
          </w:p>
          <w:p>
            <w:pPr>
              <w:rPr>
                <w:rFonts w:hint="eastAsia" w:ascii="Times New Roman" w:hAnsi="Times New Roman"/>
                <w:kern w:val="0"/>
                <w:szCs w:val="21"/>
              </w:rPr>
            </w:pPr>
            <w:r>
              <w:rPr>
                <w:rFonts w:hint="eastAsia" w:ascii="Times New Roman" w:hAnsi="Times New Roman"/>
                <w:kern w:val="0"/>
                <w:szCs w:val="21"/>
              </w:rPr>
              <w:t>（2）天然气的分离与净化方法</w:t>
            </w:r>
          </w:p>
          <w:p>
            <w:pPr>
              <w:rPr>
                <w:rFonts w:hint="eastAsia" w:ascii="Times New Roman" w:hAnsi="Times New Roman"/>
                <w:kern w:val="0"/>
                <w:szCs w:val="21"/>
              </w:rPr>
            </w:pPr>
            <w:r>
              <w:rPr>
                <w:rFonts w:hint="eastAsia" w:ascii="Times New Roman" w:hAnsi="Times New Roman"/>
                <w:kern w:val="0"/>
                <w:szCs w:val="21"/>
              </w:rPr>
              <w:t>（3）天然气的加工利用</w:t>
            </w:r>
          </w:p>
          <w:p>
            <w:pPr>
              <w:rPr>
                <w:rFonts w:ascii="Times New Roman" w:hAnsi="Times New Roman"/>
                <w:kern w:val="0"/>
                <w:szCs w:val="21"/>
              </w:rPr>
            </w:pPr>
          </w:p>
          <w:p>
            <w:pPr>
              <w:rPr>
                <w:rFonts w:hint="eastAsia" w:ascii="Times New Roman" w:hAnsi="Times New Roman"/>
                <w:kern w:val="0"/>
                <w:szCs w:val="21"/>
              </w:rPr>
            </w:pPr>
            <w:r>
              <w:rPr>
                <w:rFonts w:ascii="Times New Roman" w:hAnsi="Times New Roman"/>
                <w:b/>
                <w:kern w:val="0"/>
                <w:szCs w:val="21"/>
              </w:rPr>
              <w:t>重点和难点：</w:t>
            </w:r>
            <w:r>
              <w:rPr>
                <w:rFonts w:hint="eastAsia" w:ascii="Times New Roman" w:hAnsi="Times New Roman"/>
                <w:kern w:val="0"/>
                <w:szCs w:val="21"/>
              </w:rPr>
              <w:t>（1）天然气的分离与净化；</w:t>
            </w:r>
          </w:p>
          <w:p>
            <w:pPr>
              <w:rPr>
                <w:rFonts w:hint="eastAsia" w:ascii="Times New Roman" w:hAnsi="Times New Roman"/>
                <w:kern w:val="0"/>
                <w:szCs w:val="21"/>
              </w:rPr>
            </w:pPr>
            <w:r>
              <w:rPr>
                <w:rFonts w:hint="eastAsia" w:ascii="Times New Roman" w:hAnsi="Times New Roman"/>
                <w:kern w:val="0"/>
                <w:szCs w:val="21"/>
              </w:rPr>
              <w:t>（2）天然气合成甲醇；</w:t>
            </w:r>
          </w:p>
          <w:p>
            <w:pPr>
              <w:rPr>
                <w:rFonts w:ascii="Times New Roman" w:hAnsi="Times New Roman"/>
                <w:kern w:val="0"/>
                <w:szCs w:val="21"/>
              </w:rPr>
            </w:pPr>
            <w:r>
              <w:rPr>
                <w:rFonts w:hint="eastAsia" w:ascii="Times New Roman" w:hAnsi="Times New Roman"/>
                <w:kern w:val="0"/>
                <w:szCs w:val="21"/>
              </w:rPr>
              <w:t>（3）天然气的氯化加工。</w:t>
            </w:r>
          </w:p>
        </w:tc>
        <w:tc>
          <w:tcPr>
            <w:tcW w:w="1134" w:type="dxa"/>
            <w:noWrap w:val="0"/>
            <w:vAlign w:val="center"/>
          </w:tcPr>
          <w:p>
            <w:pPr>
              <w:rPr>
                <w:rFonts w:ascii="Times New Roman" w:hAnsi="Times New Roman"/>
                <w:szCs w:val="21"/>
              </w:rPr>
            </w:pPr>
          </w:p>
        </w:tc>
        <w:tc>
          <w:tcPr>
            <w:tcW w:w="2028" w:type="dxa"/>
            <w:noWrap w:val="0"/>
            <w:vAlign w:val="center"/>
          </w:tcPr>
          <w:p>
            <w:pPr>
              <w:rPr>
                <w:rFonts w:hint="eastAsia" w:ascii="Times New Roman" w:hAnsi="Times New Roman"/>
                <w:szCs w:val="21"/>
              </w:rPr>
            </w:pPr>
            <w:r>
              <w:rPr>
                <w:rFonts w:hint="eastAsia" w:ascii="Times New Roman" w:hAnsi="Times New Roman"/>
                <w:kern w:val="0"/>
                <w:szCs w:val="21"/>
              </w:rPr>
              <w:t>掌握天然气的组成与分类、天然气的分离与净化方法。</w:t>
            </w:r>
          </w:p>
        </w:tc>
        <w:tc>
          <w:tcPr>
            <w:tcW w:w="699" w:type="dxa"/>
            <w:noWrap w:val="0"/>
            <w:vAlign w:val="center"/>
          </w:tcPr>
          <w:p>
            <w:pPr>
              <w:jc w:val="center"/>
              <w:rPr>
                <w:rFonts w:hint="eastAsia" w:ascii="Times New Roman" w:hAnsi="Times New Roman"/>
                <w:szCs w:val="21"/>
              </w:rPr>
            </w:pPr>
            <w:r>
              <w:rPr>
                <w:rFonts w:hint="eastAsia" w:ascii="Times New Roman" w:hAnsi="Times New Roman"/>
                <w:szCs w:val="21"/>
              </w:rPr>
              <w:t>4</w:t>
            </w:r>
          </w:p>
        </w:tc>
        <w:tc>
          <w:tcPr>
            <w:tcW w:w="975" w:type="dxa"/>
            <w:noWrap w:val="0"/>
            <w:vAlign w:val="center"/>
          </w:tcPr>
          <w:p>
            <w:pPr>
              <w:rPr>
                <w:rFonts w:ascii="Times New Roman" w:hAnsi="Times New Roman"/>
                <w:szCs w:val="21"/>
              </w:rPr>
            </w:pPr>
            <w:r>
              <w:rPr>
                <w:rFonts w:ascii="Times New Roman" w:hAnsi="Times New Roman"/>
                <w:szCs w:val="21"/>
              </w:rPr>
              <w:t>讲授/讨论/等</w:t>
            </w:r>
          </w:p>
        </w:tc>
        <w:tc>
          <w:tcPr>
            <w:tcW w:w="925" w:type="dxa"/>
            <w:noWrap w:val="0"/>
            <w:vAlign w:val="center"/>
          </w:tcPr>
          <w:p>
            <w:pPr>
              <w:jc w:val="center"/>
              <w:rPr>
                <w:rFonts w:ascii="Times New Roman" w:hAnsi="Times New Roman"/>
                <w:szCs w:val="21"/>
              </w:rPr>
            </w:pPr>
            <w:r>
              <w:rPr>
                <w:rFonts w:ascii="Times New Roman" w:hAnsi="Times New Roman"/>
                <w:b/>
                <w:kern w:val="0"/>
                <w:szCs w:val="21"/>
              </w:rPr>
              <w:t>目标1</w:t>
            </w:r>
            <w:r>
              <w:rPr>
                <w:rFonts w:hint="eastAsia" w:ascii="Times New Roman" w:hAnsi="Times New Roman"/>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ascii="Times New Roman" w:hAnsi="Times New Roman"/>
                <w:szCs w:val="21"/>
              </w:rPr>
            </w:pPr>
            <w:r>
              <w:rPr>
                <w:rFonts w:ascii="Times New Roman" w:hAnsi="Times New Roman"/>
                <w:szCs w:val="21"/>
              </w:rPr>
              <w:t>6</w:t>
            </w:r>
          </w:p>
        </w:tc>
        <w:tc>
          <w:tcPr>
            <w:tcW w:w="2632" w:type="dxa"/>
            <w:noWrap w:val="0"/>
            <w:vAlign w:val="center"/>
          </w:tcPr>
          <w:p>
            <w:pPr>
              <w:rPr>
                <w:rFonts w:hint="eastAsia" w:ascii="Times New Roman" w:hAnsi="Times New Roman"/>
                <w:kern w:val="0"/>
                <w:szCs w:val="21"/>
              </w:rPr>
            </w:pPr>
            <w:r>
              <w:rPr>
                <w:rFonts w:hint="eastAsia" w:ascii="Times New Roman" w:hAnsi="Times New Roman"/>
                <w:b/>
                <w:kern w:val="0"/>
                <w:szCs w:val="21"/>
              </w:rPr>
              <w:t>石油加工：</w:t>
            </w:r>
            <w:r>
              <w:rPr>
                <w:rFonts w:hint="eastAsia" w:ascii="Times New Roman" w:hAnsi="Times New Roman"/>
                <w:kern w:val="0"/>
                <w:szCs w:val="21"/>
              </w:rPr>
              <w:t>（1）原油及其产品的组成与一般性质</w:t>
            </w:r>
          </w:p>
          <w:p>
            <w:pPr>
              <w:rPr>
                <w:rFonts w:hint="eastAsia" w:ascii="Times New Roman" w:hAnsi="Times New Roman"/>
                <w:kern w:val="0"/>
                <w:szCs w:val="21"/>
              </w:rPr>
            </w:pPr>
            <w:r>
              <w:rPr>
                <w:rFonts w:hint="eastAsia" w:ascii="Times New Roman" w:hAnsi="Times New Roman"/>
                <w:kern w:val="0"/>
                <w:szCs w:val="21"/>
              </w:rPr>
              <w:t>（2）原油的预处理和精馏</w:t>
            </w:r>
          </w:p>
          <w:p>
            <w:pPr>
              <w:rPr>
                <w:rFonts w:hint="eastAsia" w:ascii="Times New Roman" w:hAnsi="Times New Roman"/>
                <w:kern w:val="0"/>
                <w:szCs w:val="21"/>
              </w:rPr>
            </w:pPr>
            <w:r>
              <w:rPr>
                <w:rFonts w:hint="eastAsia" w:ascii="Times New Roman" w:hAnsi="Times New Roman"/>
                <w:kern w:val="0"/>
                <w:szCs w:val="21"/>
              </w:rPr>
              <w:t>（3）渣油热加工</w:t>
            </w:r>
          </w:p>
          <w:p>
            <w:pPr>
              <w:rPr>
                <w:rFonts w:hint="eastAsia" w:ascii="Times New Roman" w:hAnsi="Times New Roman"/>
                <w:kern w:val="0"/>
                <w:szCs w:val="21"/>
              </w:rPr>
            </w:pPr>
            <w:r>
              <w:rPr>
                <w:rFonts w:hint="eastAsia" w:ascii="Times New Roman" w:hAnsi="Times New Roman"/>
                <w:kern w:val="0"/>
                <w:szCs w:val="21"/>
              </w:rPr>
              <w:t>（4）催化裂化</w:t>
            </w:r>
          </w:p>
          <w:p>
            <w:pPr>
              <w:rPr>
                <w:rFonts w:hint="eastAsia" w:ascii="Times New Roman" w:hAnsi="Times New Roman"/>
                <w:kern w:val="0"/>
                <w:szCs w:val="21"/>
              </w:rPr>
            </w:pPr>
            <w:r>
              <w:rPr>
                <w:rFonts w:hint="eastAsia" w:ascii="Times New Roman" w:hAnsi="Times New Roman"/>
                <w:kern w:val="0"/>
                <w:szCs w:val="21"/>
              </w:rPr>
              <w:t>（5）加氢裂化</w:t>
            </w:r>
          </w:p>
          <w:p>
            <w:pPr>
              <w:rPr>
                <w:rFonts w:hint="eastAsia" w:ascii="Times New Roman" w:hAnsi="Times New Roman"/>
                <w:kern w:val="0"/>
                <w:szCs w:val="21"/>
              </w:rPr>
            </w:pPr>
            <w:r>
              <w:rPr>
                <w:rFonts w:hint="eastAsia" w:ascii="Times New Roman" w:hAnsi="Times New Roman"/>
                <w:kern w:val="0"/>
                <w:szCs w:val="21"/>
              </w:rPr>
              <w:t>（6）加氢精制</w:t>
            </w:r>
          </w:p>
          <w:p>
            <w:pPr>
              <w:rPr>
                <w:rFonts w:hint="eastAsia" w:ascii="Times New Roman" w:hAnsi="Times New Roman"/>
                <w:kern w:val="0"/>
                <w:szCs w:val="21"/>
              </w:rPr>
            </w:pPr>
            <w:r>
              <w:rPr>
                <w:rFonts w:hint="eastAsia" w:ascii="Times New Roman" w:hAnsi="Times New Roman"/>
                <w:kern w:val="0"/>
                <w:szCs w:val="21"/>
              </w:rPr>
              <w:t>（7）催化重整</w:t>
            </w:r>
          </w:p>
          <w:p>
            <w:pPr>
              <w:rPr>
                <w:rFonts w:hint="eastAsia" w:ascii="Times New Roman" w:hAnsi="Times New Roman"/>
                <w:kern w:val="0"/>
                <w:szCs w:val="21"/>
              </w:rPr>
            </w:pPr>
            <w:r>
              <w:rPr>
                <w:rFonts w:hint="eastAsia" w:ascii="Times New Roman" w:hAnsi="Times New Roman"/>
                <w:kern w:val="0"/>
                <w:szCs w:val="21"/>
              </w:rPr>
              <w:t>（8）润滑油的生产</w:t>
            </w:r>
          </w:p>
          <w:p>
            <w:pPr>
              <w:rPr>
                <w:rFonts w:ascii="Times New Roman" w:hAnsi="Times New Roman"/>
                <w:kern w:val="0"/>
                <w:szCs w:val="21"/>
              </w:rPr>
            </w:pPr>
          </w:p>
          <w:p>
            <w:pPr>
              <w:rPr>
                <w:rFonts w:hint="eastAsia" w:ascii="Times New Roman" w:hAnsi="Times New Roman"/>
                <w:kern w:val="0"/>
                <w:szCs w:val="21"/>
              </w:rPr>
            </w:pPr>
            <w:r>
              <w:rPr>
                <w:rFonts w:ascii="Times New Roman" w:hAnsi="Times New Roman"/>
                <w:b/>
                <w:kern w:val="0"/>
                <w:szCs w:val="21"/>
              </w:rPr>
              <w:t>重点和难点：</w:t>
            </w:r>
            <w:r>
              <w:rPr>
                <w:rFonts w:hint="eastAsia" w:ascii="Times New Roman" w:hAnsi="Times New Roman"/>
                <w:kern w:val="0"/>
                <w:szCs w:val="21"/>
              </w:rPr>
              <w:t>（1）原油精馏</w:t>
            </w:r>
          </w:p>
          <w:p>
            <w:pPr>
              <w:rPr>
                <w:rFonts w:hint="eastAsia" w:ascii="Times New Roman" w:hAnsi="Times New Roman"/>
                <w:kern w:val="0"/>
                <w:szCs w:val="21"/>
              </w:rPr>
            </w:pPr>
            <w:r>
              <w:rPr>
                <w:rFonts w:hint="eastAsia" w:ascii="Times New Roman" w:hAnsi="Times New Roman"/>
                <w:kern w:val="0"/>
                <w:szCs w:val="21"/>
              </w:rPr>
              <w:t>（2）延迟焦化</w:t>
            </w:r>
          </w:p>
          <w:p>
            <w:pPr>
              <w:rPr>
                <w:rFonts w:hint="eastAsia" w:ascii="Times New Roman" w:hAnsi="Times New Roman"/>
                <w:kern w:val="0"/>
                <w:szCs w:val="21"/>
              </w:rPr>
            </w:pPr>
            <w:r>
              <w:rPr>
                <w:rFonts w:hint="eastAsia" w:ascii="Times New Roman" w:hAnsi="Times New Roman"/>
                <w:kern w:val="0"/>
                <w:szCs w:val="21"/>
              </w:rPr>
              <w:t>（3）催化裂化</w:t>
            </w:r>
          </w:p>
          <w:p>
            <w:pPr>
              <w:rPr>
                <w:rFonts w:hint="eastAsia" w:ascii="Times New Roman" w:hAnsi="Times New Roman"/>
                <w:kern w:val="0"/>
                <w:szCs w:val="21"/>
              </w:rPr>
            </w:pPr>
            <w:r>
              <w:rPr>
                <w:rFonts w:hint="eastAsia" w:ascii="Times New Roman" w:hAnsi="Times New Roman"/>
                <w:kern w:val="0"/>
                <w:szCs w:val="21"/>
              </w:rPr>
              <w:t>（4）润滑油的溶剂精制</w:t>
            </w:r>
          </w:p>
          <w:p>
            <w:pPr>
              <w:rPr>
                <w:rFonts w:ascii="Times New Roman" w:hAnsi="Times New Roman"/>
                <w:kern w:val="0"/>
                <w:szCs w:val="21"/>
              </w:rPr>
            </w:pPr>
          </w:p>
        </w:tc>
        <w:tc>
          <w:tcPr>
            <w:tcW w:w="1134" w:type="dxa"/>
            <w:noWrap w:val="0"/>
            <w:vAlign w:val="center"/>
          </w:tcPr>
          <w:p>
            <w:pPr>
              <w:rPr>
                <w:rFonts w:ascii="Times New Roman" w:hAnsi="Times New Roman"/>
                <w:kern w:val="0"/>
                <w:szCs w:val="21"/>
              </w:rPr>
            </w:pPr>
          </w:p>
        </w:tc>
        <w:tc>
          <w:tcPr>
            <w:tcW w:w="2028" w:type="dxa"/>
            <w:noWrap w:val="0"/>
            <w:vAlign w:val="center"/>
          </w:tcPr>
          <w:p>
            <w:pPr>
              <w:rPr>
                <w:rFonts w:ascii="Times New Roman" w:hAnsi="Times New Roman"/>
                <w:kern w:val="0"/>
                <w:szCs w:val="21"/>
              </w:rPr>
            </w:pPr>
            <w:r>
              <w:rPr>
                <w:rFonts w:hint="eastAsia" w:ascii="Times New Roman" w:hAnsi="Times New Roman"/>
                <w:kern w:val="0"/>
                <w:szCs w:val="21"/>
              </w:rPr>
              <w:t>了解石油的化学组成、炼油厂典型流程；理解燃料油的生产、润滑油生产。</w:t>
            </w:r>
          </w:p>
        </w:tc>
        <w:tc>
          <w:tcPr>
            <w:tcW w:w="699" w:type="dxa"/>
            <w:noWrap w:val="0"/>
            <w:vAlign w:val="center"/>
          </w:tcPr>
          <w:p>
            <w:pPr>
              <w:jc w:val="center"/>
              <w:rPr>
                <w:rFonts w:hint="eastAsia" w:ascii="Times New Roman" w:hAnsi="Times New Roman"/>
                <w:szCs w:val="21"/>
              </w:rPr>
            </w:pPr>
            <w:r>
              <w:rPr>
                <w:rFonts w:hint="eastAsia" w:ascii="Times New Roman" w:hAnsi="Times New Roman"/>
                <w:szCs w:val="21"/>
              </w:rPr>
              <w:t>6</w:t>
            </w:r>
          </w:p>
        </w:tc>
        <w:tc>
          <w:tcPr>
            <w:tcW w:w="975" w:type="dxa"/>
            <w:noWrap w:val="0"/>
            <w:vAlign w:val="center"/>
          </w:tcPr>
          <w:p>
            <w:pPr>
              <w:rPr>
                <w:rFonts w:ascii="Times New Roman" w:hAnsi="Times New Roman"/>
                <w:szCs w:val="21"/>
              </w:rPr>
            </w:pPr>
            <w:r>
              <w:rPr>
                <w:rFonts w:ascii="Times New Roman" w:hAnsi="Times New Roman"/>
                <w:szCs w:val="21"/>
              </w:rPr>
              <w:t>讲授/实验/讨论/等</w:t>
            </w:r>
          </w:p>
        </w:tc>
        <w:tc>
          <w:tcPr>
            <w:tcW w:w="925" w:type="dxa"/>
            <w:noWrap w:val="0"/>
            <w:vAlign w:val="center"/>
          </w:tcPr>
          <w:p>
            <w:pPr>
              <w:jc w:val="center"/>
              <w:rPr>
                <w:rFonts w:ascii="Times New Roman" w:hAnsi="Times New Roman"/>
                <w:szCs w:val="21"/>
              </w:rPr>
            </w:pPr>
            <w:r>
              <w:rPr>
                <w:rFonts w:ascii="Times New Roman" w:hAnsi="Times New Roman"/>
                <w:b/>
                <w:kern w:val="0"/>
                <w:szCs w:val="21"/>
              </w:rPr>
              <w:t>目标1</w:t>
            </w:r>
            <w:r>
              <w:rPr>
                <w:rFonts w:hint="eastAsia" w:ascii="Times New Roman" w:hAnsi="Times New Roman"/>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ascii="Times New Roman" w:hAnsi="Times New Roman"/>
                <w:szCs w:val="21"/>
              </w:rPr>
            </w:pPr>
            <w:r>
              <w:rPr>
                <w:rFonts w:ascii="Times New Roman" w:hAnsi="Times New Roman"/>
                <w:szCs w:val="21"/>
              </w:rPr>
              <w:t>7</w:t>
            </w:r>
          </w:p>
        </w:tc>
        <w:tc>
          <w:tcPr>
            <w:tcW w:w="2632" w:type="dxa"/>
            <w:noWrap w:val="0"/>
            <w:vAlign w:val="center"/>
          </w:tcPr>
          <w:p>
            <w:pPr>
              <w:rPr>
                <w:rFonts w:hint="eastAsia" w:ascii="Times New Roman" w:hAnsi="Times New Roman"/>
                <w:b/>
                <w:kern w:val="0"/>
                <w:szCs w:val="21"/>
              </w:rPr>
            </w:pPr>
            <w:r>
              <w:rPr>
                <w:rFonts w:hint="eastAsia" w:ascii="Times New Roman" w:hAnsi="Times New Roman"/>
                <w:b/>
                <w:kern w:val="0"/>
                <w:szCs w:val="21"/>
              </w:rPr>
              <w:t>煤的化学加工：</w:t>
            </w:r>
          </w:p>
          <w:p>
            <w:pPr>
              <w:rPr>
                <w:rFonts w:hint="eastAsia" w:ascii="Times New Roman" w:hAnsi="Times New Roman"/>
                <w:kern w:val="0"/>
                <w:szCs w:val="21"/>
              </w:rPr>
            </w:pPr>
            <w:r>
              <w:rPr>
                <w:rFonts w:hint="eastAsia" w:ascii="Times New Roman" w:hAnsi="Times New Roman"/>
                <w:kern w:val="0"/>
                <w:szCs w:val="21"/>
              </w:rPr>
              <w:t>（1）煤及其转化利用</w:t>
            </w:r>
          </w:p>
          <w:p>
            <w:pPr>
              <w:rPr>
                <w:rFonts w:hint="eastAsia" w:ascii="Times New Roman" w:hAnsi="Times New Roman"/>
                <w:kern w:val="0"/>
                <w:szCs w:val="21"/>
              </w:rPr>
            </w:pPr>
            <w:r>
              <w:rPr>
                <w:rFonts w:hint="eastAsia" w:ascii="Times New Roman" w:hAnsi="Times New Roman"/>
                <w:kern w:val="0"/>
                <w:szCs w:val="21"/>
              </w:rPr>
              <w:t>（2）煤的气化</w:t>
            </w:r>
          </w:p>
          <w:p>
            <w:pPr>
              <w:rPr>
                <w:rFonts w:hint="eastAsia" w:ascii="Times New Roman" w:hAnsi="Times New Roman"/>
                <w:kern w:val="0"/>
                <w:szCs w:val="21"/>
              </w:rPr>
            </w:pPr>
            <w:r>
              <w:rPr>
                <w:rFonts w:hint="eastAsia" w:ascii="Times New Roman" w:hAnsi="Times New Roman"/>
                <w:kern w:val="0"/>
                <w:szCs w:val="21"/>
              </w:rPr>
              <w:t>（3）煤的液化</w:t>
            </w:r>
          </w:p>
          <w:p>
            <w:pPr>
              <w:rPr>
                <w:rFonts w:hint="eastAsia" w:ascii="Times New Roman" w:hAnsi="Times New Roman"/>
                <w:kern w:val="0"/>
                <w:szCs w:val="21"/>
              </w:rPr>
            </w:pPr>
            <w:r>
              <w:rPr>
                <w:rFonts w:hint="eastAsia" w:ascii="Times New Roman" w:hAnsi="Times New Roman"/>
                <w:kern w:val="0"/>
                <w:szCs w:val="21"/>
              </w:rPr>
              <w:t>（4）煤的焦化</w:t>
            </w:r>
          </w:p>
          <w:p>
            <w:pPr>
              <w:rPr>
                <w:rFonts w:ascii="Times New Roman" w:hAnsi="Times New Roman"/>
                <w:kern w:val="0"/>
                <w:szCs w:val="21"/>
              </w:rPr>
            </w:pPr>
          </w:p>
          <w:p>
            <w:pPr>
              <w:rPr>
                <w:rFonts w:ascii="Times New Roman" w:hAnsi="Times New Roman"/>
                <w:b/>
                <w:kern w:val="0"/>
                <w:szCs w:val="21"/>
              </w:rPr>
            </w:pPr>
            <w:r>
              <w:rPr>
                <w:rFonts w:ascii="Times New Roman" w:hAnsi="Times New Roman"/>
                <w:b/>
                <w:kern w:val="0"/>
                <w:szCs w:val="21"/>
              </w:rPr>
              <w:t>重点和难点：</w:t>
            </w:r>
          </w:p>
          <w:p>
            <w:pPr>
              <w:rPr>
                <w:rFonts w:hint="eastAsia" w:ascii="Times New Roman" w:hAnsi="Times New Roman"/>
                <w:kern w:val="0"/>
                <w:szCs w:val="21"/>
              </w:rPr>
            </w:pPr>
            <w:r>
              <w:rPr>
                <w:rFonts w:hint="eastAsia" w:ascii="Times New Roman" w:hAnsi="Times New Roman"/>
                <w:kern w:val="0"/>
                <w:szCs w:val="21"/>
              </w:rPr>
              <w:t>煤气化原理、煤液化原理。</w:t>
            </w:r>
          </w:p>
          <w:p>
            <w:pPr>
              <w:rPr>
                <w:rFonts w:ascii="Times New Roman" w:hAnsi="Times New Roman"/>
                <w:kern w:val="0"/>
                <w:szCs w:val="21"/>
              </w:rPr>
            </w:pPr>
          </w:p>
        </w:tc>
        <w:tc>
          <w:tcPr>
            <w:tcW w:w="1134" w:type="dxa"/>
            <w:noWrap w:val="0"/>
            <w:vAlign w:val="center"/>
          </w:tcPr>
          <w:p>
            <w:pPr>
              <w:rPr>
                <w:rFonts w:ascii="Times New Roman" w:hAnsi="Times New Roman"/>
                <w:kern w:val="0"/>
                <w:szCs w:val="21"/>
              </w:rPr>
            </w:pPr>
          </w:p>
        </w:tc>
        <w:tc>
          <w:tcPr>
            <w:tcW w:w="2028" w:type="dxa"/>
            <w:noWrap w:val="0"/>
            <w:vAlign w:val="center"/>
          </w:tcPr>
          <w:p>
            <w:pPr>
              <w:rPr>
                <w:rFonts w:ascii="Times New Roman" w:hAnsi="Times New Roman"/>
                <w:kern w:val="0"/>
                <w:szCs w:val="21"/>
              </w:rPr>
            </w:pPr>
            <w:r>
              <w:rPr>
                <w:rFonts w:hint="eastAsia" w:ascii="Times New Roman" w:hAnsi="Times New Roman"/>
                <w:kern w:val="0"/>
                <w:szCs w:val="21"/>
              </w:rPr>
              <w:t>了解煤及其转化利用，掌握煤的气化、液化、焦化基本原理、生产方法及流程。</w:t>
            </w:r>
          </w:p>
        </w:tc>
        <w:tc>
          <w:tcPr>
            <w:tcW w:w="699" w:type="dxa"/>
            <w:noWrap w:val="0"/>
            <w:vAlign w:val="center"/>
          </w:tcPr>
          <w:p>
            <w:pPr>
              <w:jc w:val="center"/>
              <w:rPr>
                <w:rFonts w:hint="eastAsia" w:ascii="Times New Roman" w:hAnsi="Times New Roman"/>
                <w:szCs w:val="21"/>
              </w:rPr>
            </w:pPr>
            <w:r>
              <w:rPr>
                <w:rFonts w:hint="eastAsia" w:ascii="Times New Roman" w:hAnsi="Times New Roman"/>
                <w:szCs w:val="21"/>
              </w:rPr>
              <w:t>4</w:t>
            </w:r>
          </w:p>
        </w:tc>
        <w:tc>
          <w:tcPr>
            <w:tcW w:w="975" w:type="dxa"/>
            <w:noWrap w:val="0"/>
            <w:vAlign w:val="center"/>
          </w:tcPr>
          <w:p>
            <w:pPr>
              <w:rPr>
                <w:rFonts w:ascii="Times New Roman" w:hAnsi="Times New Roman"/>
                <w:szCs w:val="21"/>
              </w:rPr>
            </w:pPr>
            <w:r>
              <w:rPr>
                <w:rFonts w:ascii="Times New Roman" w:hAnsi="Times New Roman"/>
                <w:szCs w:val="21"/>
              </w:rPr>
              <w:t>讲授/讨论/等</w:t>
            </w:r>
          </w:p>
        </w:tc>
        <w:tc>
          <w:tcPr>
            <w:tcW w:w="925" w:type="dxa"/>
            <w:noWrap w:val="0"/>
            <w:vAlign w:val="center"/>
          </w:tcPr>
          <w:p>
            <w:pPr>
              <w:jc w:val="center"/>
              <w:rPr>
                <w:rFonts w:ascii="Times New Roman" w:hAnsi="Times New Roman"/>
                <w:szCs w:val="21"/>
              </w:rPr>
            </w:pPr>
            <w:r>
              <w:rPr>
                <w:rFonts w:ascii="Times New Roman" w:hAnsi="Times New Roman"/>
                <w:b/>
                <w:kern w:val="0"/>
                <w:szCs w:val="21"/>
              </w:rPr>
              <w:t>目标1</w:t>
            </w:r>
            <w:r>
              <w:rPr>
                <w:rFonts w:hint="eastAsia" w:ascii="Times New Roman" w:hAnsi="Times New Roman"/>
                <w:b/>
                <w:kern w:val="0"/>
                <w:szCs w:val="21"/>
              </w:rPr>
              <w:t>-2</w:t>
            </w:r>
          </w:p>
        </w:tc>
      </w:tr>
    </w:tbl>
    <w:p>
      <w:pPr>
        <w:spacing w:line="360" w:lineRule="auto"/>
        <w:ind w:firstLine="562"/>
        <w:rPr>
          <w:rFonts w:hint="eastAsia" w:ascii="Times New Roman" w:hAnsi="Times New Roman"/>
          <w:b/>
          <w:sz w:val="28"/>
          <w:szCs w:val="28"/>
        </w:rPr>
      </w:pPr>
      <w:bookmarkStart w:id="149" w:name="_Toc57384466"/>
      <w:bookmarkStart w:id="150" w:name="_Toc57385480"/>
      <w:bookmarkStart w:id="151" w:name="_Toc57384859"/>
      <w:bookmarkStart w:id="152" w:name="_Toc57364608"/>
      <w:bookmarkStart w:id="153" w:name="_Toc57361312"/>
      <w:bookmarkStart w:id="154" w:name="_Toc57361894"/>
      <w:r>
        <w:rPr>
          <w:rFonts w:hint="eastAsia" w:ascii="Times New Roman" w:hAnsi="Times New Roman"/>
          <w:b/>
          <w:sz w:val="28"/>
          <w:szCs w:val="28"/>
        </w:rPr>
        <w:t>四、课程实施</w:t>
      </w:r>
      <w:bookmarkEnd w:id="149"/>
      <w:bookmarkEnd w:id="150"/>
      <w:bookmarkEnd w:id="151"/>
      <w:bookmarkEnd w:id="152"/>
      <w:bookmarkEnd w:id="153"/>
      <w:bookmarkEnd w:id="154"/>
    </w:p>
    <w:p>
      <w:pPr>
        <w:spacing w:line="360" w:lineRule="auto"/>
        <w:ind w:firstLine="562"/>
        <w:rPr>
          <w:rFonts w:hint="eastAsia" w:ascii="Times New Roman" w:hAnsi="Times New Roman"/>
          <w:b/>
          <w:sz w:val="24"/>
        </w:rPr>
      </w:pPr>
      <w:bookmarkStart w:id="155" w:name="_Toc57385481"/>
      <w:bookmarkStart w:id="156" w:name="_Toc57364609"/>
      <w:bookmarkStart w:id="157" w:name="_Toc57384467"/>
      <w:bookmarkStart w:id="158" w:name="_Toc57361313"/>
      <w:bookmarkStart w:id="159" w:name="_Toc57384860"/>
      <w:bookmarkStart w:id="160" w:name="_Toc57361895"/>
      <w:r>
        <w:rPr>
          <w:rFonts w:hint="eastAsia" w:ascii="Times New Roman" w:hAnsi="Times New Roman"/>
          <w:b/>
          <w:sz w:val="24"/>
        </w:rPr>
        <w:t>（一）教学方法与教学手段</w:t>
      </w:r>
      <w:bookmarkEnd w:id="155"/>
      <w:bookmarkEnd w:id="156"/>
      <w:bookmarkEnd w:id="157"/>
      <w:bookmarkEnd w:id="158"/>
      <w:bookmarkEnd w:id="159"/>
      <w:bookmarkEnd w:id="160"/>
    </w:p>
    <w:p>
      <w:pPr>
        <w:spacing w:line="360" w:lineRule="auto"/>
        <w:ind w:firstLine="480"/>
        <w:rPr>
          <w:rFonts w:ascii="Times New Roman" w:hAnsi="Times New Roman"/>
        </w:rPr>
      </w:pPr>
      <w:r>
        <w:rPr>
          <w:rFonts w:ascii="Times New Roman" w:hAnsi="Times New Roman"/>
        </w:rPr>
        <w:t>1</w:t>
      </w:r>
      <w:r>
        <w:rPr>
          <w:rFonts w:hint="eastAsia" w:ascii="Times New Roman" w:hAnsi="Times New Roman"/>
        </w:rPr>
        <w:t>.</w:t>
      </w:r>
      <w:r>
        <w:rPr>
          <w:rFonts w:ascii="Times New Roman" w:hAnsi="Times New Roman"/>
        </w:rPr>
        <w:t>把握主线，引导学生</w:t>
      </w:r>
      <w:r>
        <w:rPr>
          <w:rFonts w:hint="eastAsia" w:ascii="Times New Roman" w:hAnsi="Times New Roman"/>
        </w:rPr>
        <w:t>重要基础工业如合成氨、硫酸等</w:t>
      </w:r>
      <w:r>
        <w:rPr>
          <w:rFonts w:ascii="Times New Roman" w:hAnsi="Times New Roman"/>
        </w:rPr>
        <w:t>相关</w:t>
      </w:r>
      <w:r>
        <w:rPr>
          <w:rFonts w:hint="eastAsia" w:ascii="Times New Roman" w:hAnsi="Times New Roman"/>
        </w:rPr>
        <w:t>工艺</w:t>
      </w:r>
      <w:r>
        <w:rPr>
          <w:rFonts w:ascii="Times New Roman" w:hAnsi="Times New Roman"/>
        </w:rPr>
        <w:t>，利用</w:t>
      </w:r>
      <w:r>
        <w:rPr>
          <w:rFonts w:hint="eastAsia" w:ascii="Times New Roman" w:hAnsi="Times New Roman"/>
        </w:rPr>
        <w:t>现代化工生产</w:t>
      </w:r>
      <w:r>
        <w:rPr>
          <w:rFonts w:ascii="Times New Roman" w:hAnsi="Times New Roman"/>
        </w:rPr>
        <w:t>中的实际案例，帮助学生理解</w:t>
      </w:r>
      <w:r>
        <w:rPr>
          <w:rFonts w:hint="eastAsia" w:ascii="Times New Roman" w:hAnsi="Times New Roman"/>
        </w:rPr>
        <w:t>不同工艺的优缺点</w:t>
      </w:r>
      <w:r>
        <w:rPr>
          <w:rFonts w:ascii="Times New Roman" w:hAnsi="Times New Roman"/>
        </w:rPr>
        <w:t>，使学生能用</w:t>
      </w:r>
      <w:r>
        <w:rPr>
          <w:rFonts w:hint="eastAsia" w:ascii="Times New Roman" w:hAnsi="Times New Roman"/>
        </w:rPr>
        <w:t>理解化工工艺流程的选取原则</w:t>
      </w:r>
      <w:r>
        <w:rPr>
          <w:rFonts w:ascii="Times New Roman" w:hAnsi="Times New Roman"/>
        </w:rPr>
        <w:t>，并最终能</w:t>
      </w:r>
      <w:r>
        <w:rPr>
          <w:rFonts w:hint="eastAsia" w:ascii="Times New Roman" w:hAnsi="Times New Roman"/>
        </w:rPr>
        <w:t>进行化工工艺流程的</w:t>
      </w:r>
      <w:r>
        <w:rPr>
          <w:rFonts w:ascii="Times New Roman" w:hAnsi="Times New Roman"/>
        </w:rPr>
        <w:t>优化设计。</w:t>
      </w:r>
    </w:p>
    <w:p>
      <w:pPr>
        <w:spacing w:line="360" w:lineRule="auto"/>
        <w:ind w:firstLine="480"/>
        <w:rPr>
          <w:rFonts w:ascii="Times New Roman" w:hAnsi="Times New Roman"/>
        </w:rPr>
      </w:pPr>
      <w:r>
        <w:rPr>
          <w:rFonts w:hint="eastAsia" w:ascii="Times New Roman" w:hAnsi="Times New Roman"/>
        </w:rPr>
        <w:t>2.</w:t>
      </w:r>
      <w:r>
        <w:rPr>
          <w:rFonts w:ascii="Times New Roman" w:hAnsi="Times New Roman"/>
        </w:rPr>
        <w:t>采用多媒体教学手段，配合例题的讲解及适当的思考题，保证讲课进度的同时，注意学生的掌握程度和课堂的气氛</w:t>
      </w:r>
      <w:r>
        <w:rPr>
          <w:rFonts w:hint="eastAsia" w:ascii="Times New Roman" w:hAnsi="Times New Roman"/>
        </w:rPr>
        <w:t>。</w:t>
      </w:r>
    </w:p>
    <w:p>
      <w:pPr>
        <w:spacing w:line="360" w:lineRule="auto"/>
        <w:ind w:firstLine="480"/>
        <w:rPr>
          <w:rFonts w:ascii="Times New Roman" w:hAnsi="Times New Roman"/>
        </w:rPr>
      </w:pPr>
      <w:r>
        <w:rPr>
          <w:rFonts w:ascii="Times New Roman" w:hAnsi="Times New Roman"/>
        </w:rPr>
        <w:t>3</w:t>
      </w:r>
      <w:r>
        <w:rPr>
          <w:rFonts w:hint="eastAsia" w:ascii="Times New Roman" w:hAnsi="Times New Roman"/>
        </w:rPr>
        <w:t>.</w:t>
      </w:r>
      <w:r>
        <w:rPr>
          <w:rFonts w:ascii="Times New Roman" w:hAnsi="Times New Roman"/>
        </w:rPr>
        <w:t>采用案例式教学，引进</w:t>
      </w:r>
      <w:r>
        <w:rPr>
          <w:rFonts w:hint="eastAsia" w:ascii="Times New Roman" w:hAnsi="Times New Roman"/>
        </w:rPr>
        <w:t>合成氨过程中的</w:t>
      </w:r>
      <w:r>
        <w:rPr>
          <w:rFonts w:ascii="Times New Roman" w:hAnsi="Times New Roman"/>
        </w:rPr>
        <w:t>的实际案例，让学生真正了解并掌握</w:t>
      </w:r>
      <w:r>
        <w:rPr>
          <w:rFonts w:hint="eastAsia" w:ascii="Times New Roman" w:hAnsi="Times New Roman"/>
        </w:rPr>
        <w:t>多种工艺流程</w:t>
      </w:r>
      <w:r>
        <w:rPr>
          <w:rFonts w:ascii="Times New Roman" w:hAnsi="Times New Roman"/>
        </w:rPr>
        <w:t>，从而具备相关知识和方法的实际应用能力。</w:t>
      </w:r>
    </w:p>
    <w:p>
      <w:pPr>
        <w:spacing w:line="360" w:lineRule="auto"/>
        <w:ind w:firstLine="562"/>
        <w:rPr>
          <w:rFonts w:hint="eastAsia" w:ascii="Times New Roman" w:hAnsi="Times New Roman"/>
          <w:b/>
          <w:sz w:val="24"/>
        </w:rPr>
      </w:pPr>
      <w:bookmarkStart w:id="161" w:name="_Toc57384861"/>
      <w:bookmarkStart w:id="162" w:name="_Toc57364610"/>
      <w:bookmarkStart w:id="163" w:name="_Toc57385482"/>
      <w:bookmarkStart w:id="164" w:name="_Toc57384468"/>
      <w:bookmarkStart w:id="165" w:name="_Toc57361896"/>
      <w:bookmarkStart w:id="166" w:name="_Toc57361314"/>
      <w:r>
        <w:rPr>
          <w:rFonts w:hint="eastAsia" w:ascii="Times New Roman" w:hAnsi="Times New Roman"/>
          <w:b/>
          <w:sz w:val="24"/>
        </w:rPr>
        <w:t>（二）课程实施与保障</w:t>
      </w:r>
      <w:bookmarkEnd w:id="161"/>
      <w:bookmarkEnd w:id="162"/>
      <w:bookmarkEnd w:id="163"/>
      <w:bookmarkEnd w:id="164"/>
      <w:bookmarkEnd w:id="165"/>
      <w:bookmarkEnd w:id="166"/>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273"/>
        <w:gridCol w:w="6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3" w:type="dxa"/>
            <w:gridSpan w:val="2"/>
            <w:tcBorders>
              <w:top w:val="single" w:color="auto" w:sz="8" w:space="0"/>
              <w:left w:val="single" w:color="auto" w:sz="8" w:space="0"/>
              <w:right w:val="single" w:color="auto" w:sz="8" w:space="0"/>
            </w:tcBorders>
            <w:noWrap w:val="0"/>
            <w:tcMar>
              <w:left w:w="28" w:type="dxa"/>
              <w:right w:w="28" w:type="dxa"/>
            </w:tcMar>
            <w:vAlign w:val="center"/>
          </w:tcPr>
          <w:p>
            <w:pPr>
              <w:spacing w:line="276" w:lineRule="auto"/>
              <w:jc w:val="center"/>
              <w:rPr>
                <w:rFonts w:ascii="Times New Roman" w:hAnsi="Times New Roman"/>
                <w:szCs w:val="21"/>
              </w:rPr>
            </w:pPr>
            <w:r>
              <w:rPr>
                <w:rFonts w:ascii="Times New Roman" w:hAnsi="Times New Roman"/>
                <w:bCs/>
                <w:szCs w:val="21"/>
              </w:rPr>
              <w:t>主要教学环节</w:t>
            </w:r>
          </w:p>
        </w:tc>
        <w:tc>
          <w:tcPr>
            <w:tcW w:w="6817" w:type="dxa"/>
            <w:tcBorders>
              <w:top w:val="single" w:color="auto" w:sz="8" w:space="0"/>
              <w:left w:val="single" w:color="auto" w:sz="8" w:space="0"/>
              <w:right w:val="single" w:color="auto" w:sz="8" w:space="0"/>
            </w:tcBorders>
            <w:noWrap w:val="0"/>
            <w:vAlign w:val="center"/>
          </w:tcPr>
          <w:p>
            <w:pPr>
              <w:spacing w:line="276" w:lineRule="auto"/>
              <w:jc w:val="center"/>
              <w:rPr>
                <w:rFonts w:ascii="Times New Roman" w:hAnsi="Times New Roman"/>
                <w:szCs w:val="21"/>
              </w:rPr>
            </w:pPr>
            <w:r>
              <w:rPr>
                <w:rFonts w:ascii="Times New Roman" w:hAnsi="Times New Roman"/>
                <w:bCs/>
                <w:szCs w:val="21"/>
              </w:rPr>
              <w:t>质量</w:t>
            </w:r>
            <w:r>
              <w:rPr>
                <w:rFonts w:hint="eastAsia" w:ascii="Times New Roman" w:hAnsi="Times New Roman"/>
                <w:bCs/>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6" w:hRule="atLeast"/>
          <w:jc w:val="center"/>
        </w:trPr>
        <w:tc>
          <w:tcPr>
            <w:tcW w:w="1010" w:type="dxa"/>
            <w:tcBorders>
              <w:left w:val="single" w:color="auto" w:sz="8" w:space="0"/>
            </w:tcBorders>
            <w:noWrap w:val="0"/>
            <w:vAlign w:val="center"/>
          </w:tcPr>
          <w:p>
            <w:pPr>
              <w:spacing w:line="276" w:lineRule="auto"/>
              <w:ind w:firstLine="480"/>
              <w:jc w:val="center"/>
              <w:rPr>
                <w:rFonts w:ascii="Times New Roman" w:hAnsi="Times New Roman"/>
                <w:szCs w:val="21"/>
              </w:rPr>
            </w:pPr>
            <w:r>
              <w:rPr>
                <w:rFonts w:ascii="Times New Roman" w:hAnsi="Times New Roman"/>
                <w:szCs w:val="21"/>
              </w:rPr>
              <w:t>1</w:t>
            </w:r>
          </w:p>
        </w:tc>
        <w:tc>
          <w:tcPr>
            <w:tcW w:w="1273" w:type="dxa"/>
            <w:noWrap w:val="0"/>
            <w:tcMar>
              <w:left w:w="28" w:type="dxa"/>
              <w:right w:w="28" w:type="dxa"/>
            </w:tcMar>
            <w:vAlign w:val="center"/>
          </w:tcPr>
          <w:p>
            <w:pPr>
              <w:spacing w:line="276" w:lineRule="auto"/>
              <w:jc w:val="center"/>
              <w:rPr>
                <w:rFonts w:ascii="Times New Roman" w:hAnsi="Times New Roman"/>
                <w:szCs w:val="21"/>
              </w:rPr>
            </w:pPr>
            <w:r>
              <w:rPr>
                <w:rFonts w:ascii="Times New Roman" w:hAnsi="Times New Roman"/>
                <w:szCs w:val="21"/>
              </w:rPr>
              <w:t>备课</w:t>
            </w:r>
          </w:p>
        </w:tc>
        <w:tc>
          <w:tcPr>
            <w:tcW w:w="6817" w:type="dxa"/>
            <w:tcBorders>
              <w:right w:val="single" w:color="auto" w:sz="8" w:space="0"/>
            </w:tcBorders>
            <w:noWrap w:val="0"/>
            <w:vAlign w:val="center"/>
          </w:tcPr>
          <w:p>
            <w:pPr>
              <w:spacing w:line="276" w:lineRule="auto"/>
              <w:ind w:firstLine="480"/>
              <w:rPr>
                <w:rFonts w:ascii="Times New Roman" w:hAnsi="Times New Roman"/>
                <w:szCs w:val="21"/>
              </w:rPr>
            </w:pPr>
            <w:r>
              <w:rPr>
                <w:rFonts w:ascii="Times New Roman" w:hAnsi="Times New Roman"/>
                <w:szCs w:val="21"/>
              </w:rPr>
              <w:t>（1）掌握本课程教学大纲内容，严格按照教学大纲要求进行课程教学内容的组织。</w:t>
            </w:r>
          </w:p>
          <w:p>
            <w:pPr>
              <w:spacing w:line="276" w:lineRule="auto"/>
              <w:ind w:firstLine="480"/>
              <w:rPr>
                <w:rFonts w:ascii="Times New Roman" w:hAnsi="Times New Roman"/>
                <w:szCs w:val="21"/>
              </w:rPr>
            </w:pPr>
            <w:r>
              <w:rPr>
                <w:rFonts w:ascii="Times New Roman" w:hAnsi="Times New Roman"/>
                <w:szCs w:val="21"/>
              </w:rPr>
              <w:t>（2）熟悉教材各章节，借助专业书籍资料，并依据教学大纲编写授课计划，编写每次授课的教案。教案内容包括章节标题、教学目的、教法设计、课堂类型、时间分配、授课内容、课后作业、教学效果分析等方面。</w:t>
            </w:r>
          </w:p>
          <w:p>
            <w:pPr>
              <w:spacing w:line="276" w:lineRule="auto"/>
              <w:ind w:firstLine="480"/>
              <w:rPr>
                <w:rFonts w:ascii="Times New Roman" w:hAnsi="Times New Roman"/>
                <w:szCs w:val="21"/>
              </w:rPr>
            </w:pPr>
            <w:r>
              <w:rPr>
                <w:rFonts w:ascii="Times New Roman" w:hAnsi="Times New Roman"/>
                <w:szCs w:val="21"/>
              </w:rPr>
              <w:t>（3）</w:t>
            </w:r>
            <w:r>
              <w:rPr>
                <w:rFonts w:hint="eastAsia" w:ascii="Times New Roman" w:hAnsi="Times New Roman"/>
                <w:szCs w:val="21"/>
              </w:rPr>
              <w:t>根据</w:t>
            </w:r>
            <w:r>
              <w:rPr>
                <w:rFonts w:ascii="Times New Roman" w:hAnsi="Times New Roman"/>
                <w:szCs w:val="21"/>
              </w:rPr>
              <w:t>各部分</w:t>
            </w:r>
            <w:r>
              <w:rPr>
                <w:rFonts w:hint="eastAsia" w:ascii="Times New Roman" w:hAnsi="Times New Roman"/>
                <w:szCs w:val="21"/>
              </w:rPr>
              <w:t>教学</w:t>
            </w:r>
            <w:r>
              <w:rPr>
                <w:rFonts w:ascii="Times New Roman" w:hAnsi="Times New Roman"/>
                <w:szCs w:val="21"/>
              </w:rPr>
              <w:t>内容</w:t>
            </w:r>
            <w:r>
              <w:rPr>
                <w:rFonts w:hint="eastAsia" w:ascii="Times New Roman" w:hAnsi="Times New Roman"/>
                <w:szCs w:val="21"/>
              </w:rPr>
              <w:t>，</w:t>
            </w:r>
            <w:r>
              <w:rPr>
                <w:rFonts w:ascii="Times New Roman" w:hAnsi="Times New Roman"/>
                <w:szCs w:val="21"/>
              </w:rPr>
              <w:t>构思授课思路、技巧</w:t>
            </w:r>
            <w:r>
              <w:rPr>
                <w:rFonts w:hint="eastAsia" w:ascii="Times New Roman" w:hAnsi="Times New Roman"/>
                <w:szCs w:val="21"/>
              </w:rPr>
              <w:t>，选择合适的</w:t>
            </w:r>
            <w:r>
              <w:rPr>
                <w:rFonts w:ascii="Times New Roman" w:hAnsi="Times New Roman"/>
                <w:szCs w:val="21"/>
              </w:rPr>
              <w:t>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0" w:type="dxa"/>
            <w:tcBorders>
              <w:left w:val="single" w:color="auto" w:sz="8" w:space="0"/>
            </w:tcBorders>
            <w:noWrap w:val="0"/>
            <w:vAlign w:val="center"/>
          </w:tcPr>
          <w:p>
            <w:pPr>
              <w:spacing w:line="276" w:lineRule="auto"/>
              <w:ind w:firstLine="480"/>
              <w:jc w:val="center"/>
              <w:rPr>
                <w:rFonts w:ascii="Times New Roman" w:hAnsi="Times New Roman"/>
                <w:szCs w:val="21"/>
              </w:rPr>
            </w:pPr>
            <w:r>
              <w:rPr>
                <w:rFonts w:ascii="Times New Roman" w:hAnsi="Times New Roman"/>
                <w:szCs w:val="21"/>
              </w:rPr>
              <w:t>2</w:t>
            </w:r>
          </w:p>
        </w:tc>
        <w:tc>
          <w:tcPr>
            <w:tcW w:w="1273" w:type="dxa"/>
            <w:noWrap w:val="0"/>
            <w:tcMar>
              <w:left w:w="28" w:type="dxa"/>
              <w:right w:w="28" w:type="dxa"/>
            </w:tcMar>
            <w:vAlign w:val="center"/>
          </w:tcPr>
          <w:p>
            <w:pPr>
              <w:spacing w:line="276" w:lineRule="auto"/>
              <w:jc w:val="center"/>
              <w:rPr>
                <w:rFonts w:ascii="Times New Roman" w:hAnsi="Times New Roman"/>
                <w:szCs w:val="21"/>
              </w:rPr>
            </w:pPr>
            <w:r>
              <w:rPr>
                <w:rFonts w:ascii="Times New Roman" w:hAnsi="Times New Roman"/>
                <w:szCs w:val="21"/>
              </w:rPr>
              <w:t>讲授</w:t>
            </w:r>
          </w:p>
        </w:tc>
        <w:tc>
          <w:tcPr>
            <w:tcW w:w="6817" w:type="dxa"/>
            <w:tcBorders>
              <w:right w:val="single" w:color="auto" w:sz="8" w:space="0"/>
            </w:tcBorders>
            <w:noWrap w:val="0"/>
            <w:vAlign w:val="center"/>
          </w:tcPr>
          <w:p>
            <w:pPr>
              <w:spacing w:line="276" w:lineRule="auto"/>
              <w:ind w:firstLine="480"/>
              <w:rPr>
                <w:rFonts w:ascii="Times New Roman" w:hAnsi="Times New Roman"/>
                <w:szCs w:val="21"/>
              </w:rPr>
            </w:pPr>
            <w:r>
              <w:rPr>
                <w:rFonts w:hint="eastAsia" w:ascii="Times New Roman" w:hAnsi="Times New Roman"/>
                <w:szCs w:val="21"/>
              </w:rPr>
              <w:t>（1）</w:t>
            </w:r>
            <w:r>
              <w:rPr>
                <w:rFonts w:ascii="Times New Roman" w:hAnsi="Times New Roman"/>
                <w:szCs w:val="21"/>
              </w:rPr>
              <w:t>要点准确</w:t>
            </w:r>
            <w:r>
              <w:rPr>
                <w:rFonts w:hint="eastAsia" w:ascii="Times New Roman" w:hAnsi="Times New Roman"/>
                <w:szCs w:val="21"/>
              </w:rPr>
              <w:t>、</w:t>
            </w:r>
            <w:r>
              <w:rPr>
                <w:rFonts w:ascii="Times New Roman" w:hAnsi="Times New Roman"/>
                <w:szCs w:val="21"/>
              </w:rPr>
              <w:t>推理正确</w:t>
            </w:r>
            <w:r>
              <w:rPr>
                <w:rFonts w:hint="eastAsia" w:ascii="Times New Roman" w:hAnsi="Times New Roman"/>
                <w:szCs w:val="21"/>
              </w:rPr>
              <w:t>、</w:t>
            </w:r>
            <w:r>
              <w:rPr>
                <w:rFonts w:ascii="Times New Roman" w:hAnsi="Times New Roman"/>
                <w:szCs w:val="21"/>
              </w:rPr>
              <w:t>条理清晰</w:t>
            </w:r>
            <w:r>
              <w:rPr>
                <w:rFonts w:hint="eastAsia" w:ascii="Times New Roman" w:hAnsi="Times New Roman"/>
                <w:szCs w:val="21"/>
              </w:rPr>
              <w:t>、</w:t>
            </w:r>
            <w:r>
              <w:rPr>
                <w:rFonts w:ascii="Times New Roman" w:hAnsi="Times New Roman"/>
                <w:szCs w:val="21"/>
              </w:rPr>
              <w:t>重点突出，</w:t>
            </w:r>
            <w:r>
              <w:rPr>
                <w:rFonts w:hint="eastAsia" w:ascii="Times New Roman" w:hAnsi="Times New Roman"/>
                <w:szCs w:val="21"/>
              </w:rPr>
              <w:t>能够</w:t>
            </w:r>
            <w:r>
              <w:rPr>
                <w:rFonts w:ascii="Times New Roman" w:hAnsi="Times New Roman"/>
                <w:szCs w:val="21"/>
              </w:rPr>
              <w:t>理论联系实际，熟练地解答和讲解例题。</w:t>
            </w:r>
          </w:p>
          <w:p>
            <w:pPr>
              <w:spacing w:line="276" w:lineRule="auto"/>
              <w:ind w:firstLine="480"/>
              <w:rPr>
                <w:rFonts w:ascii="Times New Roman" w:hAnsi="Times New Roman"/>
                <w:szCs w:val="21"/>
              </w:rPr>
            </w:pPr>
            <w:r>
              <w:rPr>
                <w:rFonts w:hint="eastAsia" w:ascii="Times New Roman" w:hAnsi="Times New Roman"/>
                <w:szCs w:val="21"/>
              </w:rPr>
              <w:t>（2）</w:t>
            </w:r>
            <w:r>
              <w:rPr>
                <w:rFonts w:ascii="Times New Roman" w:hAnsi="Times New Roman"/>
                <w:szCs w:val="21"/>
              </w:rPr>
              <w:t>采用多种教学方式（如启发式教学、案例分析教学、讨论式教学、多媒体示范教学等），注重培养学生发现、分析和解决问题的能力。</w:t>
            </w:r>
          </w:p>
          <w:p>
            <w:pPr>
              <w:spacing w:line="276" w:lineRule="auto"/>
              <w:ind w:firstLine="480"/>
              <w:rPr>
                <w:rFonts w:ascii="Times New Roman" w:hAnsi="Times New Roman"/>
                <w:szCs w:val="21"/>
              </w:rPr>
            </w:pPr>
            <w:r>
              <w:rPr>
                <w:rFonts w:hint="eastAsia" w:ascii="Times New Roman" w:hAnsi="Times New Roman"/>
                <w:szCs w:val="21"/>
              </w:rPr>
              <w:t>（3）能够采用现代信息技术辅助</w:t>
            </w:r>
            <w:r>
              <w:rPr>
                <w:rFonts w:ascii="Times New Roman" w:hAnsi="Times New Roman"/>
                <w:szCs w:val="21"/>
              </w:rPr>
              <w:t>教学。</w:t>
            </w:r>
          </w:p>
          <w:p>
            <w:pPr>
              <w:spacing w:line="276" w:lineRule="auto"/>
              <w:ind w:firstLine="480"/>
              <w:rPr>
                <w:rFonts w:ascii="Times New Roman" w:hAnsi="Times New Roman"/>
                <w:szCs w:val="21"/>
              </w:rPr>
            </w:pPr>
            <w:r>
              <w:rPr>
                <w:rFonts w:hint="eastAsia" w:ascii="Times New Roman" w:hAnsi="Times New Roman"/>
                <w:szCs w:val="21"/>
              </w:rPr>
              <w:t>（4）</w:t>
            </w:r>
            <w:r>
              <w:rPr>
                <w:rFonts w:ascii="Times New Roman" w:hAnsi="Times New Roman"/>
                <w:szCs w:val="21"/>
              </w:rPr>
              <w:t>表达方式</w:t>
            </w:r>
            <w:r>
              <w:rPr>
                <w:rFonts w:hint="eastAsia" w:ascii="Times New Roman" w:hAnsi="Times New Roman"/>
                <w:szCs w:val="21"/>
              </w:rPr>
              <w:t>应能</w:t>
            </w:r>
            <w:r>
              <w:rPr>
                <w:rFonts w:ascii="Times New Roman" w:hAnsi="Times New Roman"/>
                <w:szCs w:val="21"/>
              </w:rPr>
              <w:t>便于学生理解、接受，力求形象生动，使学生在掌握知识的过程中，保持较为浓厚的</w:t>
            </w:r>
            <w:r>
              <w:rPr>
                <w:rFonts w:hint="eastAsia" w:ascii="Times New Roman" w:hAnsi="Times New Roman"/>
                <w:szCs w:val="21"/>
              </w:rPr>
              <w:t>学习</w:t>
            </w:r>
            <w:r>
              <w:rPr>
                <w:rFonts w:ascii="Times New Roman" w:hAnsi="Times New Roman"/>
                <w:szCs w:val="21"/>
              </w:rPr>
              <w:t>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jc w:val="center"/>
        </w:trPr>
        <w:tc>
          <w:tcPr>
            <w:tcW w:w="1010" w:type="dxa"/>
            <w:tcBorders>
              <w:left w:val="single" w:color="auto" w:sz="8" w:space="0"/>
            </w:tcBorders>
            <w:noWrap w:val="0"/>
            <w:vAlign w:val="center"/>
          </w:tcPr>
          <w:p>
            <w:pPr>
              <w:spacing w:line="276" w:lineRule="auto"/>
              <w:ind w:firstLine="480"/>
              <w:jc w:val="center"/>
              <w:rPr>
                <w:rFonts w:ascii="Times New Roman" w:hAnsi="Times New Roman"/>
                <w:szCs w:val="21"/>
              </w:rPr>
            </w:pPr>
            <w:r>
              <w:rPr>
                <w:rFonts w:ascii="Times New Roman" w:hAnsi="Times New Roman"/>
                <w:szCs w:val="21"/>
              </w:rPr>
              <w:t>3</w:t>
            </w:r>
          </w:p>
        </w:tc>
        <w:tc>
          <w:tcPr>
            <w:tcW w:w="1273" w:type="dxa"/>
            <w:noWrap w:val="0"/>
            <w:tcMar>
              <w:left w:w="28" w:type="dxa"/>
              <w:right w:w="28" w:type="dxa"/>
            </w:tcMar>
            <w:vAlign w:val="center"/>
          </w:tcPr>
          <w:p>
            <w:pPr>
              <w:spacing w:line="276" w:lineRule="auto"/>
              <w:jc w:val="center"/>
              <w:rPr>
                <w:rFonts w:ascii="Times New Roman" w:hAnsi="Times New Roman"/>
                <w:szCs w:val="21"/>
              </w:rPr>
            </w:pPr>
            <w:r>
              <w:rPr>
                <w:rFonts w:ascii="Times New Roman" w:hAnsi="Times New Roman"/>
                <w:szCs w:val="21"/>
              </w:rPr>
              <w:t>作业布置与批改</w:t>
            </w:r>
          </w:p>
        </w:tc>
        <w:tc>
          <w:tcPr>
            <w:tcW w:w="6817" w:type="dxa"/>
            <w:tcBorders>
              <w:right w:val="single" w:color="auto" w:sz="8" w:space="0"/>
            </w:tcBorders>
            <w:noWrap w:val="0"/>
            <w:vAlign w:val="center"/>
          </w:tcPr>
          <w:p>
            <w:pPr>
              <w:spacing w:line="276" w:lineRule="auto"/>
              <w:ind w:firstLine="480"/>
              <w:rPr>
                <w:rFonts w:ascii="Times New Roman" w:hAnsi="Times New Roman"/>
                <w:szCs w:val="21"/>
              </w:rPr>
            </w:pPr>
            <w:r>
              <w:rPr>
                <w:rFonts w:ascii="Times New Roman" w:hAnsi="Times New Roman"/>
                <w:szCs w:val="21"/>
              </w:rPr>
              <w:t>学生必须完成</w:t>
            </w:r>
            <w:r>
              <w:rPr>
                <w:rFonts w:hint="eastAsia" w:ascii="Times New Roman" w:hAnsi="Times New Roman"/>
                <w:szCs w:val="21"/>
              </w:rPr>
              <w:t>规定</w:t>
            </w:r>
            <w:r>
              <w:rPr>
                <w:rFonts w:ascii="Times New Roman" w:hAnsi="Times New Roman"/>
                <w:szCs w:val="21"/>
              </w:rPr>
              <w:t>数量的作业</w:t>
            </w:r>
            <w:r>
              <w:rPr>
                <w:rFonts w:hint="eastAsia" w:ascii="Times New Roman" w:hAnsi="Times New Roman"/>
                <w:szCs w:val="21"/>
              </w:rPr>
              <w:t>，</w:t>
            </w:r>
            <w:r>
              <w:rPr>
                <w:rFonts w:ascii="Times New Roman" w:hAnsi="Times New Roman"/>
                <w:szCs w:val="21"/>
              </w:rPr>
              <w:t>作业必须达到以下基本要求：</w:t>
            </w:r>
          </w:p>
          <w:p>
            <w:pPr>
              <w:spacing w:line="276" w:lineRule="auto"/>
              <w:ind w:firstLine="480"/>
              <w:rPr>
                <w:rFonts w:ascii="Times New Roman" w:hAnsi="Times New Roman"/>
                <w:szCs w:val="21"/>
              </w:rPr>
            </w:pPr>
            <w:r>
              <w:rPr>
                <w:rFonts w:hint="eastAsia" w:ascii="Times New Roman" w:hAnsi="Times New Roman"/>
                <w:szCs w:val="21"/>
              </w:rPr>
              <w:t>（1）</w:t>
            </w:r>
            <w:r>
              <w:rPr>
                <w:rFonts w:ascii="Times New Roman" w:hAnsi="Times New Roman"/>
                <w:szCs w:val="21"/>
              </w:rPr>
              <w:t>按时按量完成作业，不缺交，不抄袭</w:t>
            </w:r>
            <w:r>
              <w:rPr>
                <w:rFonts w:hint="eastAsia" w:ascii="Times New Roman" w:hAnsi="Times New Roman"/>
                <w:szCs w:val="21"/>
              </w:rPr>
              <w:t>。</w:t>
            </w:r>
          </w:p>
          <w:p>
            <w:pPr>
              <w:spacing w:line="276" w:lineRule="auto"/>
              <w:ind w:firstLine="480"/>
              <w:rPr>
                <w:rFonts w:ascii="Times New Roman" w:hAnsi="Times New Roman"/>
                <w:szCs w:val="21"/>
              </w:rPr>
            </w:pPr>
            <w:r>
              <w:rPr>
                <w:rFonts w:hint="eastAsia" w:ascii="Times New Roman" w:hAnsi="Times New Roman"/>
                <w:szCs w:val="21"/>
              </w:rPr>
              <w:t>（2）书写</w:t>
            </w:r>
            <w:r>
              <w:rPr>
                <w:rFonts w:ascii="Times New Roman" w:hAnsi="Times New Roman"/>
                <w:szCs w:val="21"/>
              </w:rPr>
              <w:t>规范</w:t>
            </w:r>
            <w:r>
              <w:rPr>
                <w:rFonts w:hint="eastAsia" w:ascii="Times New Roman" w:hAnsi="Times New Roman"/>
                <w:szCs w:val="21"/>
              </w:rPr>
              <w:t>、</w:t>
            </w:r>
            <w:r>
              <w:rPr>
                <w:rFonts w:ascii="Times New Roman" w:hAnsi="Times New Roman"/>
                <w:szCs w:val="21"/>
              </w:rPr>
              <w:t>清晰</w:t>
            </w:r>
            <w:r>
              <w:rPr>
                <w:rFonts w:hint="eastAsia" w:ascii="Times New Roman" w:hAnsi="Times New Roman"/>
                <w:szCs w:val="21"/>
              </w:rPr>
              <w:t>。</w:t>
            </w:r>
          </w:p>
          <w:p>
            <w:pPr>
              <w:spacing w:line="276" w:lineRule="auto"/>
              <w:ind w:firstLine="480"/>
              <w:rPr>
                <w:rFonts w:ascii="Times New Roman" w:hAnsi="Times New Roman"/>
                <w:szCs w:val="21"/>
              </w:rPr>
            </w:pPr>
            <w:r>
              <w:rPr>
                <w:rFonts w:hint="eastAsia" w:ascii="Times New Roman" w:hAnsi="Times New Roman"/>
                <w:szCs w:val="21"/>
              </w:rPr>
              <w:t>（3）</w:t>
            </w:r>
            <w:r>
              <w:rPr>
                <w:rFonts w:ascii="Times New Roman" w:hAnsi="Times New Roman"/>
                <w:szCs w:val="21"/>
              </w:rPr>
              <w:t>解题方法和步骤正确。</w:t>
            </w:r>
          </w:p>
          <w:p>
            <w:pPr>
              <w:spacing w:line="276" w:lineRule="auto"/>
              <w:ind w:firstLine="480"/>
              <w:rPr>
                <w:rFonts w:ascii="Times New Roman" w:hAnsi="Times New Roman"/>
                <w:szCs w:val="21"/>
              </w:rPr>
            </w:pPr>
            <w:r>
              <w:rPr>
                <w:rFonts w:ascii="Times New Roman" w:hAnsi="Times New Roman"/>
                <w:szCs w:val="21"/>
              </w:rPr>
              <w:t>教师批改</w:t>
            </w:r>
            <w:r>
              <w:rPr>
                <w:rFonts w:hint="eastAsia" w:ascii="Times New Roman" w:hAnsi="Times New Roman"/>
                <w:szCs w:val="21"/>
              </w:rPr>
              <w:t>和</w:t>
            </w:r>
            <w:r>
              <w:rPr>
                <w:rFonts w:ascii="Times New Roman" w:hAnsi="Times New Roman"/>
                <w:szCs w:val="21"/>
              </w:rPr>
              <w:t>讲评作业要求如下：</w:t>
            </w:r>
          </w:p>
          <w:p>
            <w:pPr>
              <w:spacing w:line="276" w:lineRule="auto"/>
              <w:ind w:firstLine="480"/>
              <w:rPr>
                <w:rFonts w:ascii="Times New Roman" w:hAnsi="Times New Roman"/>
                <w:szCs w:val="21"/>
              </w:rPr>
            </w:pPr>
            <w:r>
              <w:rPr>
                <w:rFonts w:hint="eastAsia" w:ascii="Times New Roman" w:hAnsi="Times New Roman"/>
                <w:szCs w:val="21"/>
              </w:rPr>
              <w:t>（1）</w:t>
            </w:r>
            <w:r>
              <w:rPr>
                <w:rFonts w:ascii="Times New Roman" w:hAnsi="Times New Roman"/>
                <w:szCs w:val="21"/>
              </w:rPr>
              <w:t>学生的作业要</w:t>
            </w:r>
            <w:r>
              <w:rPr>
                <w:rFonts w:hint="eastAsia" w:ascii="Times New Roman" w:hAnsi="Times New Roman"/>
                <w:szCs w:val="21"/>
              </w:rPr>
              <w:t>按时</w:t>
            </w:r>
            <w:r>
              <w:rPr>
                <w:rFonts w:ascii="Times New Roman" w:hAnsi="Times New Roman"/>
                <w:szCs w:val="21"/>
              </w:rPr>
              <w:t>全</w:t>
            </w:r>
            <w:r>
              <w:rPr>
                <w:rFonts w:hint="eastAsia" w:ascii="Times New Roman" w:hAnsi="Times New Roman"/>
                <w:szCs w:val="21"/>
              </w:rPr>
              <w:t>部</w:t>
            </w:r>
            <w:r>
              <w:rPr>
                <w:rFonts w:ascii="Times New Roman" w:hAnsi="Times New Roman"/>
                <w:szCs w:val="21"/>
              </w:rPr>
              <w:t>批改，并</w:t>
            </w:r>
            <w:r>
              <w:rPr>
                <w:rFonts w:hint="eastAsia" w:ascii="Times New Roman" w:hAnsi="Times New Roman"/>
                <w:szCs w:val="21"/>
              </w:rPr>
              <w:t>及时进行</w:t>
            </w:r>
            <w:r>
              <w:rPr>
                <w:rFonts w:ascii="Times New Roman" w:hAnsi="Times New Roman"/>
                <w:szCs w:val="21"/>
              </w:rPr>
              <w:t>讲评</w:t>
            </w:r>
            <w:r>
              <w:rPr>
                <w:rFonts w:hint="eastAsia" w:ascii="Times New Roman" w:hAnsi="Times New Roman"/>
                <w:szCs w:val="21"/>
              </w:rPr>
              <w:t>。</w:t>
            </w:r>
          </w:p>
          <w:p>
            <w:pPr>
              <w:spacing w:line="276" w:lineRule="auto"/>
              <w:ind w:firstLine="480"/>
              <w:rPr>
                <w:rFonts w:ascii="Times New Roman" w:hAnsi="Times New Roman"/>
                <w:szCs w:val="21"/>
              </w:rPr>
            </w:pPr>
            <w:r>
              <w:rPr>
                <w:rFonts w:hint="eastAsia" w:ascii="Times New Roman" w:hAnsi="Times New Roman"/>
                <w:szCs w:val="21"/>
              </w:rPr>
              <w:t>（2）</w:t>
            </w:r>
            <w:r>
              <w:rPr>
                <w:rFonts w:ascii="Times New Roman" w:hAnsi="Times New Roman"/>
                <w:szCs w:val="21"/>
              </w:rPr>
              <w:t>教师批改</w:t>
            </w:r>
            <w:r>
              <w:rPr>
                <w:rFonts w:hint="eastAsia" w:ascii="Times New Roman" w:hAnsi="Times New Roman"/>
                <w:szCs w:val="21"/>
              </w:rPr>
              <w:t>和</w:t>
            </w:r>
            <w:r>
              <w:rPr>
                <w:rFonts w:ascii="Times New Roman" w:hAnsi="Times New Roman"/>
                <w:szCs w:val="21"/>
              </w:rPr>
              <w:t>讲评作业要认真、细致，按百分制评定成绩并写明日期</w:t>
            </w:r>
            <w:r>
              <w:rPr>
                <w:rFonts w:hint="eastAsia" w:ascii="Times New Roman" w:hAnsi="Times New Roman"/>
                <w:szCs w:val="21"/>
              </w:rPr>
              <w:t>。</w:t>
            </w:r>
          </w:p>
          <w:p>
            <w:pPr>
              <w:spacing w:line="276" w:lineRule="auto"/>
              <w:ind w:firstLine="480"/>
              <w:rPr>
                <w:rFonts w:ascii="Times New Roman" w:hAnsi="Times New Roman"/>
                <w:szCs w:val="21"/>
              </w:rPr>
            </w:pPr>
            <w:r>
              <w:rPr>
                <w:rFonts w:hint="eastAsia" w:ascii="Times New Roman" w:hAnsi="Times New Roman"/>
                <w:szCs w:val="21"/>
              </w:rPr>
              <w:t>（3）</w:t>
            </w:r>
            <w:r>
              <w:rPr>
                <w:rFonts w:ascii="Times New Roman" w:hAnsi="Times New Roman"/>
                <w:szCs w:val="21"/>
              </w:rPr>
              <w:t>学生作业的平均成绩</w:t>
            </w:r>
            <w:r>
              <w:rPr>
                <w:rFonts w:hint="eastAsia" w:ascii="Times New Roman" w:hAnsi="Times New Roman"/>
                <w:szCs w:val="21"/>
              </w:rPr>
              <w:t>应</w:t>
            </w:r>
            <w:r>
              <w:rPr>
                <w:rFonts w:ascii="Times New Roman" w:hAnsi="Times New Roman"/>
                <w:szCs w:val="21"/>
              </w:rPr>
              <w:t>作为本课程总评成绩中平时成绩的重要组成部分。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1010" w:type="dxa"/>
            <w:tcBorders>
              <w:left w:val="single" w:color="auto" w:sz="8" w:space="0"/>
            </w:tcBorders>
            <w:noWrap w:val="0"/>
            <w:vAlign w:val="center"/>
          </w:tcPr>
          <w:p>
            <w:pPr>
              <w:spacing w:line="276" w:lineRule="auto"/>
              <w:ind w:firstLine="480"/>
              <w:jc w:val="center"/>
              <w:rPr>
                <w:rFonts w:ascii="Times New Roman" w:hAnsi="Times New Roman"/>
                <w:szCs w:val="21"/>
              </w:rPr>
            </w:pPr>
            <w:r>
              <w:rPr>
                <w:rFonts w:ascii="Times New Roman" w:hAnsi="Times New Roman"/>
                <w:szCs w:val="21"/>
              </w:rPr>
              <w:t>4</w:t>
            </w:r>
          </w:p>
        </w:tc>
        <w:tc>
          <w:tcPr>
            <w:tcW w:w="1273" w:type="dxa"/>
            <w:noWrap w:val="0"/>
            <w:tcMar>
              <w:left w:w="28" w:type="dxa"/>
              <w:right w:w="28" w:type="dxa"/>
            </w:tcMar>
            <w:vAlign w:val="center"/>
          </w:tcPr>
          <w:p>
            <w:pPr>
              <w:spacing w:line="276" w:lineRule="auto"/>
              <w:jc w:val="center"/>
              <w:rPr>
                <w:rFonts w:ascii="Times New Roman" w:hAnsi="Times New Roman"/>
                <w:szCs w:val="21"/>
              </w:rPr>
            </w:pPr>
            <w:r>
              <w:rPr>
                <w:rFonts w:ascii="Times New Roman" w:hAnsi="Times New Roman"/>
                <w:szCs w:val="21"/>
              </w:rPr>
              <w:t>课外答疑</w:t>
            </w:r>
          </w:p>
        </w:tc>
        <w:tc>
          <w:tcPr>
            <w:tcW w:w="6817" w:type="dxa"/>
            <w:tcBorders>
              <w:right w:val="single" w:color="auto" w:sz="8" w:space="0"/>
            </w:tcBorders>
            <w:noWrap w:val="0"/>
            <w:vAlign w:val="center"/>
          </w:tcPr>
          <w:p>
            <w:pPr>
              <w:spacing w:line="276" w:lineRule="auto"/>
              <w:ind w:firstLine="480"/>
              <w:rPr>
                <w:rFonts w:ascii="Times New Roman" w:hAnsi="Times New Roman"/>
                <w:szCs w:val="21"/>
              </w:rPr>
            </w:pPr>
            <w:r>
              <w:rPr>
                <w:rFonts w:ascii="Times New Roman" w:hAnsi="Times New Roman"/>
                <w:szCs w:val="21"/>
              </w:rPr>
              <w:t>为了解学生的学习情况，帮助学生</w:t>
            </w:r>
            <w:r>
              <w:rPr>
                <w:rFonts w:hint="eastAsia" w:ascii="Times New Roman" w:hAnsi="Times New Roman"/>
                <w:szCs w:val="21"/>
              </w:rPr>
              <w:t>更好地</w:t>
            </w:r>
            <w:r>
              <w:rPr>
                <w:rFonts w:ascii="Times New Roman" w:hAnsi="Times New Roman"/>
                <w:szCs w:val="21"/>
              </w:rPr>
              <w:t>理解和消化所学知识、改进学习方法和思维方式，培养其独立思考问题的能力，任课教师</w:t>
            </w:r>
            <w:r>
              <w:rPr>
                <w:rFonts w:hint="eastAsia" w:ascii="Times New Roman" w:hAnsi="Times New Roman"/>
                <w:szCs w:val="21"/>
              </w:rPr>
              <w:t>需</w:t>
            </w:r>
            <w:r>
              <w:rPr>
                <w:rFonts w:ascii="Times New Roman" w:hAnsi="Times New Roman"/>
                <w:szCs w:val="21"/>
              </w:rPr>
              <w:t>每周安排</w:t>
            </w:r>
            <w:r>
              <w:rPr>
                <w:rFonts w:hint="eastAsia" w:ascii="Times New Roman" w:hAnsi="Times New Roman"/>
                <w:szCs w:val="21"/>
              </w:rPr>
              <w:t>一定</w:t>
            </w:r>
            <w:r>
              <w:rPr>
                <w:rFonts w:ascii="Times New Roman" w:hAnsi="Times New Roman"/>
                <w:szCs w:val="21"/>
              </w:rPr>
              <w:t>时间进行课外答疑与辅导。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010" w:type="dxa"/>
            <w:tcBorders>
              <w:left w:val="single" w:color="auto" w:sz="8" w:space="0"/>
            </w:tcBorders>
            <w:noWrap w:val="0"/>
            <w:vAlign w:val="center"/>
          </w:tcPr>
          <w:p>
            <w:pPr>
              <w:spacing w:line="276" w:lineRule="auto"/>
              <w:ind w:firstLine="480"/>
              <w:jc w:val="center"/>
              <w:rPr>
                <w:rFonts w:ascii="Times New Roman" w:hAnsi="Times New Roman"/>
                <w:szCs w:val="21"/>
              </w:rPr>
            </w:pPr>
            <w:r>
              <w:rPr>
                <w:rFonts w:ascii="Times New Roman" w:hAnsi="Times New Roman"/>
                <w:szCs w:val="21"/>
              </w:rPr>
              <w:t>5</w:t>
            </w:r>
          </w:p>
        </w:tc>
        <w:tc>
          <w:tcPr>
            <w:tcW w:w="1273" w:type="dxa"/>
            <w:noWrap w:val="0"/>
            <w:tcMar>
              <w:left w:w="28" w:type="dxa"/>
              <w:right w:w="28" w:type="dxa"/>
            </w:tcMar>
            <w:vAlign w:val="center"/>
          </w:tcPr>
          <w:p>
            <w:pPr>
              <w:spacing w:line="276" w:lineRule="auto"/>
              <w:jc w:val="center"/>
              <w:rPr>
                <w:rFonts w:ascii="Times New Roman" w:hAnsi="Times New Roman"/>
                <w:szCs w:val="21"/>
              </w:rPr>
            </w:pPr>
            <w:r>
              <w:rPr>
                <w:rFonts w:ascii="Times New Roman" w:hAnsi="Times New Roman"/>
                <w:szCs w:val="21"/>
              </w:rPr>
              <w:t>成绩考核</w:t>
            </w:r>
          </w:p>
        </w:tc>
        <w:tc>
          <w:tcPr>
            <w:tcW w:w="6817" w:type="dxa"/>
            <w:tcBorders>
              <w:right w:val="single" w:color="auto" w:sz="8" w:space="0"/>
            </w:tcBorders>
            <w:noWrap w:val="0"/>
            <w:vAlign w:val="center"/>
          </w:tcPr>
          <w:p>
            <w:pPr>
              <w:spacing w:line="276" w:lineRule="auto"/>
              <w:ind w:firstLine="480"/>
              <w:rPr>
                <w:rFonts w:ascii="Times New Roman" w:hAnsi="Times New Roman"/>
                <w:szCs w:val="21"/>
              </w:rPr>
            </w:pPr>
            <w:r>
              <w:rPr>
                <w:rFonts w:ascii="Times New Roman" w:hAnsi="Times New Roman"/>
                <w:szCs w:val="21"/>
              </w:rPr>
              <w:t>本课程考核的方式</w:t>
            </w:r>
            <w:r>
              <w:rPr>
                <w:rFonts w:hint="eastAsia" w:ascii="Times New Roman" w:hAnsi="Times New Roman"/>
                <w:szCs w:val="21"/>
              </w:rPr>
              <w:t>为闭卷笔试</w:t>
            </w:r>
            <w:r>
              <w:rPr>
                <w:rFonts w:ascii="Times New Roman" w:hAnsi="Times New Roman"/>
                <w:szCs w:val="21"/>
              </w:rPr>
              <w:t>。考试采取教考分离，监考</w:t>
            </w:r>
            <w:r>
              <w:rPr>
                <w:rFonts w:hint="eastAsia" w:ascii="Times New Roman" w:hAnsi="Times New Roman"/>
                <w:szCs w:val="21"/>
              </w:rPr>
              <w:t>由学院</w:t>
            </w:r>
            <w:r>
              <w:rPr>
                <w:rFonts w:ascii="Times New Roman" w:hAnsi="Times New Roman"/>
                <w:szCs w:val="21"/>
              </w:rPr>
              <w:t>统一安排。有下列情况之一者，总评成绩为不及格：</w:t>
            </w:r>
          </w:p>
          <w:p>
            <w:pPr>
              <w:spacing w:line="276" w:lineRule="auto"/>
              <w:ind w:firstLine="480"/>
              <w:rPr>
                <w:rFonts w:ascii="Times New Roman" w:hAnsi="Times New Roman"/>
                <w:szCs w:val="21"/>
              </w:rPr>
            </w:pPr>
            <w:r>
              <w:rPr>
                <w:rFonts w:hint="eastAsia" w:ascii="Times New Roman" w:hAnsi="Times New Roman"/>
                <w:szCs w:val="21"/>
              </w:rPr>
              <w:t>（1）</w:t>
            </w:r>
            <w:r>
              <w:rPr>
                <w:rFonts w:ascii="Times New Roman" w:hAnsi="Times New Roman"/>
                <w:szCs w:val="21"/>
              </w:rPr>
              <w:t>缺交作业次数达1/3以上者</w:t>
            </w:r>
            <w:r>
              <w:rPr>
                <w:rFonts w:hint="eastAsia" w:ascii="Times New Roman" w:hAnsi="Times New Roman"/>
                <w:szCs w:val="21"/>
              </w:rPr>
              <w:t>。</w:t>
            </w:r>
          </w:p>
          <w:p>
            <w:pPr>
              <w:spacing w:line="276" w:lineRule="auto"/>
              <w:ind w:firstLine="480"/>
              <w:rPr>
                <w:rFonts w:ascii="Times New Roman" w:hAnsi="Times New Roman"/>
                <w:szCs w:val="21"/>
              </w:rPr>
            </w:pPr>
            <w:r>
              <w:rPr>
                <w:rFonts w:hint="eastAsia" w:ascii="Times New Roman" w:hAnsi="Times New Roman"/>
                <w:szCs w:val="21"/>
              </w:rPr>
              <w:t>（2）</w:t>
            </w:r>
            <w:r>
              <w:rPr>
                <w:rFonts w:ascii="Times New Roman" w:hAnsi="Times New Roman"/>
                <w:szCs w:val="21"/>
              </w:rPr>
              <w:t>缺课次数达本学期总授课学时的1/3以上者</w:t>
            </w:r>
            <w:r>
              <w:rPr>
                <w:rFonts w:hint="eastAsia" w:ascii="Times New Roman" w:hAnsi="Times New Roman"/>
                <w:szCs w:val="21"/>
              </w:rPr>
              <w:t>。</w:t>
            </w:r>
          </w:p>
          <w:p>
            <w:pPr>
              <w:spacing w:line="276" w:lineRule="auto"/>
              <w:ind w:firstLine="480"/>
              <w:rPr>
                <w:rFonts w:ascii="Times New Roman" w:hAnsi="Times New Roman"/>
                <w:szCs w:val="21"/>
              </w:rPr>
            </w:pPr>
            <w:r>
              <w:rPr>
                <w:rFonts w:hint="eastAsia" w:ascii="Times New Roman" w:hAnsi="Times New Roman"/>
                <w:szCs w:val="21"/>
              </w:rPr>
              <w:t>（3）</w:t>
            </w:r>
            <w:r>
              <w:rPr>
                <w:rFonts w:ascii="Times New Roman" w:hAnsi="Times New Roman"/>
                <w:szCs w:val="21"/>
              </w:rPr>
              <w:t>课程目标小于0.6。</w:t>
            </w:r>
          </w:p>
        </w:tc>
      </w:tr>
    </w:tbl>
    <w:p>
      <w:pPr>
        <w:spacing w:line="360" w:lineRule="auto"/>
        <w:rPr>
          <w:rFonts w:hint="eastAsia" w:ascii="Times New Roman" w:hAnsi="Times New Roman"/>
          <w:b/>
          <w:sz w:val="28"/>
          <w:szCs w:val="28"/>
        </w:rPr>
      </w:pPr>
      <w:bookmarkStart w:id="167" w:name="_Toc57384862"/>
      <w:bookmarkStart w:id="168" w:name="_Toc57361315"/>
      <w:bookmarkStart w:id="169" w:name="_Toc57364611"/>
      <w:bookmarkStart w:id="170" w:name="_Toc57384469"/>
      <w:bookmarkStart w:id="171" w:name="_Toc57385483"/>
      <w:bookmarkStart w:id="172" w:name="_Toc57361897"/>
      <w:r>
        <w:rPr>
          <w:rFonts w:hint="eastAsia" w:ascii="Times New Roman" w:hAnsi="Times New Roman"/>
          <w:b/>
          <w:sz w:val="28"/>
          <w:szCs w:val="28"/>
        </w:rPr>
        <w:t>五、课程考核</w:t>
      </w:r>
      <w:bookmarkEnd w:id="167"/>
      <w:bookmarkEnd w:id="168"/>
      <w:bookmarkEnd w:id="169"/>
      <w:bookmarkEnd w:id="170"/>
      <w:bookmarkEnd w:id="171"/>
      <w:bookmarkEnd w:id="172"/>
    </w:p>
    <w:p>
      <w:pPr>
        <w:spacing w:line="360" w:lineRule="auto"/>
        <w:ind w:firstLine="480"/>
        <w:rPr>
          <w:rFonts w:ascii="Times New Roman" w:hAnsi="Times New Roman"/>
        </w:rPr>
      </w:pPr>
      <w:r>
        <w:rPr>
          <w:rFonts w:hint="eastAsia" w:ascii="Times New Roman" w:hAnsi="Times New Roman"/>
        </w:rPr>
        <w:t>（一）</w:t>
      </w:r>
      <w:r>
        <w:rPr>
          <w:rFonts w:ascii="Times New Roman" w:hAnsi="Times New Roman"/>
        </w:rPr>
        <w:t>课程考核包括期末考试、平时</w:t>
      </w:r>
      <w:r>
        <w:rPr>
          <w:rFonts w:hint="eastAsia" w:ascii="Times New Roman" w:hAnsi="Times New Roman"/>
        </w:rPr>
        <w:t>考勤</w:t>
      </w:r>
      <w:r>
        <w:rPr>
          <w:rFonts w:ascii="Times New Roman" w:hAnsi="Times New Roman"/>
        </w:rPr>
        <w:t>及作业</w:t>
      </w:r>
      <w:r>
        <w:rPr>
          <w:rFonts w:hint="eastAsia" w:ascii="Times New Roman" w:hAnsi="Times New Roman"/>
        </w:rPr>
        <w:t>成绩</w:t>
      </w:r>
      <w:r>
        <w:rPr>
          <w:rFonts w:ascii="Times New Roman" w:hAnsi="Times New Roman"/>
        </w:rPr>
        <w:t>，期末考试采用</w:t>
      </w:r>
      <w:r>
        <w:rPr>
          <w:rFonts w:hint="eastAsia" w:ascii="Times New Roman" w:hAnsi="Times New Roman"/>
        </w:rPr>
        <w:t>开</w:t>
      </w:r>
      <w:r>
        <w:rPr>
          <w:rFonts w:ascii="Times New Roman" w:hAnsi="Times New Roman"/>
        </w:rPr>
        <w:t>卷笔试。</w:t>
      </w:r>
    </w:p>
    <w:p>
      <w:pPr>
        <w:spacing w:line="360" w:lineRule="auto"/>
        <w:ind w:firstLine="480"/>
        <w:rPr>
          <w:rFonts w:ascii="Times New Roman" w:hAnsi="Times New Roman"/>
        </w:rPr>
      </w:pPr>
      <w:r>
        <w:rPr>
          <w:rFonts w:hint="eastAsia" w:ascii="Times New Roman" w:hAnsi="Times New Roman"/>
        </w:rPr>
        <w:t>（二）</w:t>
      </w:r>
      <w:r>
        <w:rPr>
          <w:rFonts w:ascii="Times New Roman" w:hAnsi="Times New Roman"/>
        </w:rPr>
        <w:t>课程成绩=</w:t>
      </w:r>
      <w:r>
        <w:rPr>
          <w:rFonts w:hint="eastAsia" w:ascii="Times New Roman" w:hAnsi="Times New Roman"/>
        </w:rPr>
        <w:t>考勤及</w:t>
      </w:r>
      <w:r>
        <w:rPr>
          <w:rFonts w:ascii="Times New Roman" w:hAnsi="Times New Roman"/>
        </w:rPr>
        <w:t>平时</w:t>
      </w:r>
      <w:r>
        <w:rPr>
          <w:rFonts w:hint="eastAsia" w:ascii="Times New Roman" w:hAnsi="Times New Roman"/>
        </w:rPr>
        <w:t>作业</w:t>
      </w:r>
      <w:r>
        <w:rPr>
          <w:rFonts w:ascii="Times New Roman" w:hAnsi="Times New Roman"/>
        </w:rPr>
        <w:t>成绩×40%+期末考试成绩×60%。</w:t>
      </w:r>
      <w:r>
        <w:rPr>
          <w:rFonts w:hint="eastAsia" w:ascii="Times New Roman" w:hAnsi="Times New Roman"/>
        </w:rPr>
        <w:t>具体内容和比例如表所示。</w:t>
      </w:r>
    </w:p>
    <w:p>
      <w:pPr>
        <w:spacing w:line="360" w:lineRule="auto"/>
        <w:ind w:firstLine="480"/>
        <w:rPr>
          <w:rFonts w:hint="eastAsia" w:ascii="Times New Roman" w:hAnsi="Times New Roman"/>
          <w:szCs w:val="22"/>
        </w:rPr>
      </w:pPr>
      <w:r>
        <w:rPr>
          <w:rFonts w:ascii="Times New Roman" w:hAnsi="Times New Roman"/>
          <w:szCs w:val="22"/>
        </w:rPr>
        <w:t>（三）所有课程目标均</w:t>
      </w:r>
      <w:r>
        <w:rPr>
          <w:rFonts w:hint="eastAsia" w:ascii="Times New Roman" w:hAnsi="Times New Roman"/>
          <w:szCs w:val="22"/>
        </w:rPr>
        <w:t>需</w:t>
      </w:r>
      <w:r>
        <w:rPr>
          <w:rFonts w:ascii="Times New Roman" w:hAnsi="Times New Roman"/>
          <w:szCs w:val="22"/>
        </w:rPr>
        <w:t>大于等于0.6，否则总评成绩不及格，需要补考或重</w:t>
      </w:r>
      <w:r>
        <w:rPr>
          <w:rFonts w:hint="eastAsia" w:ascii="Times New Roman" w:hAnsi="Times New Roman"/>
          <w:szCs w:val="22"/>
        </w:rPr>
        <w:t>修。</w:t>
      </w:r>
      <w:r>
        <w:rPr>
          <w:rFonts w:ascii="Times New Roman" w:hAnsi="Times New Roman"/>
          <w:szCs w:val="22"/>
        </w:rPr>
        <w:t>每</w:t>
      </w:r>
      <w:r>
        <w:rPr>
          <w:rFonts w:hint="eastAsia" w:ascii="Times New Roman" w:hAnsi="Times New Roman"/>
          <w:szCs w:val="22"/>
        </w:rPr>
        <w:t>个</w:t>
      </w:r>
      <w:r>
        <w:rPr>
          <w:rFonts w:ascii="Times New Roman" w:hAnsi="Times New Roman"/>
          <w:szCs w:val="22"/>
        </w:rPr>
        <w:t>课程目标达成度计算方法如下：</w:t>
      </w:r>
    </w:p>
    <w:p>
      <w:pPr>
        <w:spacing w:line="360" w:lineRule="auto"/>
        <w:ind w:firstLine="480"/>
        <w:rPr>
          <w:rFonts w:hint="eastAsia" w:ascii="Times New Roman" w:hAnsi="Times New Roman"/>
          <w:szCs w:val="22"/>
        </w:rPr>
      </w:pPr>
    </w:p>
    <w:tbl>
      <w:tblPr>
        <w:tblStyle w:val="10"/>
        <w:tblpPr w:leftFromText="180" w:rightFromText="180" w:vertAnchor="text" w:horzAnchor="margin" w:tblpXSpec="center" w:tblpY="244"/>
        <w:tblW w:w="91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715"/>
        <w:gridCol w:w="1560"/>
        <w:gridCol w:w="3260"/>
        <w:gridCol w:w="638"/>
        <w:gridCol w:w="638"/>
        <w:gridCol w:w="638"/>
        <w:gridCol w:w="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vMerge w:val="restart"/>
            <w:shd w:val="clear" w:color="auto" w:fill="FFFFFF"/>
            <w:noWrap w:val="0"/>
            <w:tcMar>
              <w:left w:w="57" w:type="dxa"/>
              <w:right w:w="57" w:type="dxa"/>
            </w:tcMar>
            <w:vAlign w:val="center"/>
          </w:tcPr>
          <w:p>
            <w:pPr>
              <w:adjustRightInd w:val="0"/>
              <w:snapToGrid w:val="0"/>
              <w:jc w:val="center"/>
              <w:rPr>
                <w:rFonts w:ascii="Times New Roman" w:hAnsi="Times New Roman"/>
              </w:rPr>
            </w:pPr>
            <w:r>
              <w:rPr>
                <w:rFonts w:hint="eastAsia" w:ascii="Times New Roman" w:hAnsi="Times New Roman"/>
              </w:rPr>
              <w:t>考核环节</w:t>
            </w:r>
          </w:p>
        </w:tc>
        <w:tc>
          <w:tcPr>
            <w:tcW w:w="715" w:type="dxa"/>
            <w:vMerge w:val="restart"/>
            <w:shd w:val="clear" w:color="auto" w:fill="FFFFFF"/>
            <w:noWrap w:val="0"/>
            <w:vAlign w:val="center"/>
          </w:tcPr>
          <w:p>
            <w:pPr>
              <w:adjustRightInd w:val="0"/>
              <w:snapToGrid w:val="0"/>
              <w:jc w:val="center"/>
              <w:rPr>
                <w:rFonts w:ascii="Times New Roman" w:hAnsi="Times New Roman"/>
              </w:rPr>
            </w:pPr>
            <w:r>
              <w:rPr>
                <w:rFonts w:hint="eastAsia" w:ascii="Times New Roman" w:hAnsi="Times New Roman"/>
              </w:rPr>
              <w:t>成绩比例</w:t>
            </w:r>
          </w:p>
        </w:tc>
        <w:tc>
          <w:tcPr>
            <w:tcW w:w="4820" w:type="dxa"/>
            <w:gridSpan w:val="2"/>
            <w:vMerge w:val="restart"/>
            <w:shd w:val="clear" w:color="auto" w:fill="FFFFFF"/>
            <w:noWrap w:val="0"/>
            <w:vAlign w:val="center"/>
          </w:tcPr>
          <w:p>
            <w:pPr>
              <w:adjustRightInd w:val="0"/>
              <w:snapToGrid w:val="0"/>
              <w:jc w:val="center"/>
              <w:rPr>
                <w:rFonts w:ascii="Times New Roman" w:hAnsi="Times New Roman"/>
              </w:rPr>
            </w:pPr>
            <w:r>
              <w:rPr>
                <w:rFonts w:ascii="Times New Roman" w:hAnsi="Times New Roman"/>
              </w:rPr>
              <w:t>考核</w:t>
            </w:r>
            <w:r>
              <w:rPr>
                <w:rFonts w:hint="eastAsia" w:ascii="Times New Roman" w:hAnsi="Times New Roman"/>
              </w:rPr>
              <w:t>内容与</w:t>
            </w:r>
            <w:r>
              <w:rPr>
                <w:rFonts w:ascii="Times New Roman" w:hAnsi="Times New Roman"/>
              </w:rPr>
              <w:t>评价细则</w:t>
            </w:r>
          </w:p>
        </w:tc>
        <w:tc>
          <w:tcPr>
            <w:tcW w:w="2552" w:type="dxa"/>
            <w:gridSpan w:val="4"/>
            <w:shd w:val="clear" w:color="auto" w:fill="FFFFFF"/>
            <w:noWrap w:val="0"/>
            <w:vAlign w:val="center"/>
          </w:tcPr>
          <w:p>
            <w:pPr>
              <w:adjustRightInd w:val="0"/>
              <w:snapToGrid w:val="0"/>
              <w:jc w:val="center"/>
              <w:rPr>
                <w:rFonts w:ascii="Times New Roman" w:hAnsi="Times New Roman"/>
              </w:rPr>
            </w:pPr>
            <w:r>
              <w:rPr>
                <w:rFonts w:hint="eastAsia" w:ascii="Times New Roman" w:hAnsi="Times New Roman"/>
              </w:rPr>
              <w:t>支撑目标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vMerge w:val="continue"/>
            <w:shd w:val="clear" w:color="auto" w:fill="FFFFFF"/>
            <w:noWrap w:val="0"/>
            <w:tcMar>
              <w:left w:w="57" w:type="dxa"/>
              <w:right w:w="57" w:type="dxa"/>
            </w:tcMar>
            <w:vAlign w:val="center"/>
          </w:tcPr>
          <w:p>
            <w:pPr>
              <w:adjustRightInd w:val="0"/>
              <w:snapToGrid w:val="0"/>
              <w:jc w:val="center"/>
              <w:rPr>
                <w:rFonts w:ascii="Times New Roman" w:hAnsi="Times New Roman"/>
              </w:rPr>
            </w:pPr>
          </w:p>
        </w:tc>
        <w:tc>
          <w:tcPr>
            <w:tcW w:w="715" w:type="dxa"/>
            <w:vMerge w:val="continue"/>
            <w:shd w:val="clear" w:color="auto" w:fill="FFFFFF"/>
            <w:noWrap w:val="0"/>
            <w:vAlign w:val="center"/>
          </w:tcPr>
          <w:p>
            <w:pPr>
              <w:adjustRightInd w:val="0"/>
              <w:snapToGrid w:val="0"/>
              <w:jc w:val="center"/>
              <w:rPr>
                <w:rFonts w:ascii="Times New Roman" w:hAnsi="Times New Roman"/>
              </w:rPr>
            </w:pPr>
          </w:p>
        </w:tc>
        <w:tc>
          <w:tcPr>
            <w:tcW w:w="4820" w:type="dxa"/>
            <w:gridSpan w:val="2"/>
            <w:vMerge w:val="continue"/>
            <w:shd w:val="clear" w:color="auto" w:fill="FFFFFF"/>
            <w:noWrap w:val="0"/>
            <w:vAlign w:val="center"/>
          </w:tcPr>
          <w:p>
            <w:pPr>
              <w:adjustRightInd w:val="0"/>
              <w:snapToGrid w:val="0"/>
              <w:jc w:val="center"/>
              <w:rPr>
                <w:rFonts w:ascii="Times New Roman" w:hAnsi="Times New Roman"/>
              </w:rPr>
            </w:pPr>
          </w:p>
        </w:tc>
        <w:tc>
          <w:tcPr>
            <w:tcW w:w="638" w:type="dxa"/>
            <w:shd w:val="clear" w:color="auto" w:fill="FFFFFF"/>
            <w:noWrap w:val="0"/>
            <w:vAlign w:val="center"/>
          </w:tcPr>
          <w:p>
            <w:pPr>
              <w:adjustRightInd w:val="0"/>
              <w:snapToGrid w:val="0"/>
              <w:jc w:val="center"/>
              <w:rPr>
                <w:rFonts w:ascii="Times New Roman" w:hAnsi="Times New Roman"/>
              </w:rPr>
            </w:pPr>
            <w:r>
              <w:rPr>
                <w:rFonts w:hint="eastAsia" w:ascii="Times New Roman" w:hAnsi="Times New Roman"/>
              </w:rPr>
              <w:t>目标1</w:t>
            </w:r>
          </w:p>
        </w:tc>
        <w:tc>
          <w:tcPr>
            <w:tcW w:w="638" w:type="dxa"/>
            <w:shd w:val="clear" w:color="auto" w:fill="FFFFFF"/>
            <w:noWrap w:val="0"/>
            <w:vAlign w:val="center"/>
          </w:tcPr>
          <w:p>
            <w:pPr>
              <w:adjustRightInd w:val="0"/>
              <w:snapToGrid w:val="0"/>
              <w:jc w:val="center"/>
              <w:rPr>
                <w:rFonts w:ascii="Times New Roman" w:hAnsi="Times New Roman"/>
              </w:rPr>
            </w:pPr>
            <w:r>
              <w:rPr>
                <w:rFonts w:hint="eastAsia" w:ascii="Times New Roman" w:hAnsi="Times New Roman"/>
              </w:rPr>
              <w:t>目标2</w:t>
            </w:r>
          </w:p>
        </w:tc>
        <w:tc>
          <w:tcPr>
            <w:tcW w:w="638" w:type="dxa"/>
            <w:shd w:val="clear" w:color="auto" w:fill="FFFFFF"/>
            <w:noWrap w:val="0"/>
            <w:vAlign w:val="center"/>
          </w:tcPr>
          <w:p>
            <w:pPr>
              <w:adjustRightInd w:val="0"/>
              <w:snapToGrid w:val="0"/>
              <w:jc w:val="center"/>
              <w:rPr>
                <w:rFonts w:ascii="Times New Roman" w:hAnsi="Times New Roman"/>
              </w:rPr>
            </w:pPr>
            <w:r>
              <w:rPr>
                <w:rFonts w:hint="eastAsia" w:ascii="Times New Roman" w:hAnsi="Times New Roman"/>
              </w:rPr>
              <w:t>目标3</w:t>
            </w:r>
          </w:p>
        </w:tc>
        <w:tc>
          <w:tcPr>
            <w:tcW w:w="638" w:type="dxa"/>
            <w:shd w:val="clear" w:color="auto" w:fill="FFFFFF"/>
            <w:noWrap w:val="0"/>
            <w:vAlign w:val="center"/>
          </w:tcPr>
          <w:p>
            <w:pPr>
              <w:adjustRightInd w:val="0"/>
              <w:snapToGrid w:val="0"/>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shd w:val="clear" w:color="auto" w:fill="FFFFFF"/>
            <w:noWrap w:val="0"/>
            <w:tcMar>
              <w:left w:w="57" w:type="dxa"/>
              <w:right w:w="57" w:type="dxa"/>
            </w:tcMar>
            <w:vAlign w:val="center"/>
          </w:tcPr>
          <w:p>
            <w:pPr>
              <w:adjustRightInd w:val="0"/>
              <w:snapToGrid w:val="0"/>
              <w:jc w:val="center"/>
              <w:rPr>
                <w:rFonts w:ascii="Times New Roman" w:hAnsi="Times New Roman"/>
              </w:rPr>
            </w:pPr>
            <w:r>
              <w:rPr>
                <w:rFonts w:hint="eastAsia" w:ascii="Times New Roman" w:hAnsi="Times New Roman"/>
              </w:rPr>
              <w:t>平时表现</w:t>
            </w:r>
          </w:p>
        </w:tc>
        <w:tc>
          <w:tcPr>
            <w:tcW w:w="715" w:type="dxa"/>
            <w:shd w:val="clear" w:color="auto" w:fill="FFFFFF"/>
            <w:noWrap w:val="0"/>
            <w:vAlign w:val="center"/>
          </w:tcPr>
          <w:p>
            <w:pPr>
              <w:adjustRightInd w:val="0"/>
              <w:snapToGrid w:val="0"/>
              <w:jc w:val="center"/>
              <w:rPr>
                <w:rFonts w:ascii="Times New Roman" w:hAnsi="Times New Roman"/>
              </w:rPr>
            </w:pPr>
            <w:r>
              <w:rPr>
                <w:rFonts w:hint="eastAsia" w:ascii="Times New Roman" w:hAnsi="Times New Roman"/>
              </w:rPr>
              <w:t>10%</w:t>
            </w:r>
          </w:p>
        </w:tc>
        <w:tc>
          <w:tcPr>
            <w:tcW w:w="4820" w:type="dxa"/>
            <w:gridSpan w:val="2"/>
            <w:shd w:val="clear" w:color="auto" w:fill="FFFFFF"/>
            <w:noWrap w:val="0"/>
            <w:vAlign w:val="center"/>
          </w:tcPr>
          <w:p>
            <w:pPr>
              <w:adjustRightInd w:val="0"/>
              <w:snapToGrid w:val="0"/>
              <w:rPr>
                <w:rFonts w:ascii="Times New Roman" w:hAnsi="Times New Roman"/>
              </w:rPr>
            </w:pPr>
            <w:r>
              <w:rPr>
                <w:rFonts w:hint="eastAsia" w:ascii="Times New Roman" w:hAnsi="Times New Roman"/>
              </w:rPr>
              <w:t>课堂不定期点名，考核能否按时到勤，对于旷课、迟到和早退者适当扣分，根据平时课堂笔记、课堂回答问题等情况确定平时表现分数。</w:t>
            </w:r>
          </w:p>
        </w:tc>
        <w:tc>
          <w:tcPr>
            <w:tcW w:w="638" w:type="dxa"/>
            <w:shd w:val="clear" w:color="auto" w:fill="FFFFFF"/>
            <w:noWrap w:val="0"/>
            <w:vAlign w:val="center"/>
          </w:tcPr>
          <w:p>
            <w:pPr>
              <w:adjustRightInd w:val="0"/>
              <w:snapToGrid w:val="0"/>
              <w:jc w:val="center"/>
              <w:rPr>
                <w:rFonts w:ascii="Times New Roman" w:hAnsi="Times New Roman"/>
                <w:highlight w:val="yellow"/>
              </w:rPr>
            </w:pPr>
            <w:r>
              <w:rPr>
                <w:rFonts w:hint="eastAsia" w:ascii="Times New Roman" w:hAnsi="Times New Roman"/>
              </w:rPr>
              <w:t>5%</w:t>
            </w:r>
          </w:p>
        </w:tc>
        <w:tc>
          <w:tcPr>
            <w:tcW w:w="638" w:type="dxa"/>
            <w:shd w:val="clear" w:color="auto" w:fill="FFFFFF"/>
            <w:noWrap w:val="0"/>
            <w:vAlign w:val="center"/>
          </w:tcPr>
          <w:p>
            <w:pPr>
              <w:adjustRightInd w:val="0"/>
              <w:snapToGrid w:val="0"/>
              <w:jc w:val="center"/>
              <w:rPr>
                <w:rFonts w:ascii="Times New Roman" w:hAnsi="Times New Roman"/>
                <w:highlight w:val="yellow"/>
              </w:rPr>
            </w:pPr>
            <w:r>
              <w:rPr>
                <w:rFonts w:hint="eastAsia" w:ascii="Times New Roman" w:hAnsi="Times New Roman"/>
              </w:rPr>
              <w:t>5%</w:t>
            </w:r>
          </w:p>
        </w:tc>
        <w:tc>
          <w:tcPr>
            <w:tcW w:w="638" w:type="dxa"/>
            <w:shd w:val="clear" w:color="auto" w:fill="FFFFFF"/>
            <w:noWrap w:val="0"/>
            <w:vAlign w:val="center"/>
          </w:tcPr>
          <w:p>
            <w:pPr>
              <w:adjustRightInd w:val="0"/>
              <w:snapToGrid w:val="0"/>
              <w:jc w:val="center"/>
              <w:rPr>
                <w:rFonts w:ascii="Times New Roman" w:hAnsi="Times New Roman"/>
              </w:rPr>
            </w:pPr>
          </w:p>
        </w:tc>
        <w:tc>
          <w:tcPr>
            <w:tcW w:w="638" w:type="dxa"/>
            <w:shd w:val="clear" w:color="auto" w:fill="FFFFFF"/>
            <w:noWrap w:val="0"/>
            <w:vAlign w:val="center"/>
          </w:tcPr>
          <w:p>
            <w:pPr>
              <w:adjustRightInd w:val="0"/>
              <w:snapToGrid w:val="0"/>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043" w:type="dxa"/>
            <w:shd w:val="clear" w:color="auto" w:fill="auto"/>
            <w:noWrap w:val="0"/>
            <w:tcMar>
              <w:left w:w="57" w:type="dxa"/>
              <w:right w:w="57" w:type="dxa"/>
            </w:tcMar>
            <w:vAlign w:val="center"/>
          </w:tcPr>
          <w:p>
            <w:pPr>
              <w:adjustRightInd w:val="0"/>
              <w:snapToGrid w:val="0"/>
              <w:jc w:val="center"/>
              <w:rPr>
                <w:rFonts w:ascii="Times New Roman" w:hAnsi="Times New Roman"/>
              </w:rPr>
            </w:pPr>
            <w:r>
              <w:rPr>
                <w:rFonts w:ascii="Times New Roman" w:hAnsi="Times New Roman"/>
              </w:rPr>
              <w:t>作</w:t>
            </w:r>
            <w:r>
              <w:rPr>
                <w:rFonts w:hint="eastAsia" w:ascii="Times New Roman" w:hAnsi="Times New Roman"/>
              </w:rPr>
              <w:t xml:space="preserve">    </w:t>
            </w:r>
            <w:r>
              <w:rPr>
                <w:rFonts w:ascii="Times New Roman" w:hAnsi="Times New Roman"/>
              </w:rPr>
              <w:t>业</w:t>
            </w:r>
          </w:p>
        </w:tc>
        <w:tc>
          <w:tcPr>
            <w:tcW w:w="715" w:type="dxa"/>
            <w:shd w:val="clear" w:color="auto" w:fill="auto"/>
            <w:noWrap w:val="0"/>
            <w:vAlign w:val="center"/>
          </w:tcPr>
          <w:p>
            <w:pPr>
              <w:adjustRightInd w:val="0"/>
              <w:snapToGrid w:val="0"/>
              <w:jc w:val="center"/>
              <w:rPr>
                <w:rFonts w:ascii="Times New Roman" w:hAnsi="Times New Roman"/>
              </w:rPr>
            </w:pPr>
            <w:r>
              <w:rPr>
                <w:rFonts w:hint="eastAsia" w:ascii="Times New Roman" w:hAnsi="Times New Roman"/>
              </w:rPr>
              <w:t>30</w:t>
            </w:r>
            <w:r>
              <w:rPr>
                <w:rFonts w:ascii="Times New Roman" w:hAnsi="Times New Roman"/>
              </w:rPr>
              <w:t>%</w:t>
            </w:r>
          </w:p>
        </w:tc>
        <w:tc>
          <w:tcPr>
            <w:tcW w:w="4820" w:type="dxa"/>
            <w:gridSpan w:val="2"/>
            <w:shd w:val="clear" w:color="auto" w:fill="auto"/>
            <w:noWrap w:val="0"/>
            <w:vAlign w:val="center"/>
          </w:tcPr>
          <w:p>
            <w:pPr>
              <w:adjustRightInd w:val="0"/>
              <w:snapToGrid w:val="0"/>
              <w:rPr>
                <w:rFonts w:ascii="Times New Roman" w:hAnsi="Times New Roman"/>
                <w:szCs w:val="21"/>
              </w:rPr>
            </w:pPr>
            <w:r>
              <w:rPr>
                <w:rFonts w:hint="eastAsia" w:ascii="Times New Roman" w:hAnsi="Times New Roman"/>
                <w:szCs w:val="21"/>
              </w:rPr>
              <w:t>每章节对应有思考题和习题，考核学生对每节课知识点的复习、理解和掌握度。对每次作业完成情况做记录并百分制打分。</w:t>
            </w:r>
          </w:p>
        </w:tc>
        <w:tc>
          <w:tcPr>
            <w:tcW w:w="638" w:type="dxa"/>
            <w:shd w:val="clear" w:color="auto" w:fill="FFFFFF"/>
            <w:noWrap w:val="0"/>
            <w:vAlign w:val="center"/>
          </w:tcPr>
          <w:p>
            <w:pPr>
              <w:adjustRightInd w:val="0"/>
              <w:snapToGrid w:val="0"/>
              <w:jc w:val="center"/>
              <w:rPr>
                <w:rFonts w:ascii="Times New Roman" w:hAnsi="Times New Roman"/>
                <w:color w:val="000000"/>
                <w:szCs w:val="21"/>
              </w:rPr>
            </w:pPr>
            <w:r>
              <w:rPr>
                <w:rFonts w:hint="eastAsia" w:ascii="Times New Roman" w:hAnsi="Times New Roman"/>
                <w:color w:val="000000"/>
                <w:szCs w:val="21"/>
              </w:rPr>
              <w:t>15%</w:t>
            </w:r>
          </w:p>
        </w:tc>
        <w:tc>
          <w:tcPr>
            <w:tcW w:w="638" w:type="dxa"/>
            <w:shd w:val="clear" w:color="auto" w:fill="FFFFFF"/>
            <w:noWrap w:val="0"/>
            <w:vAlign w:val="center"/>
          </w:tcPr>
          <w:p>
            <w:pPr>
              <w:adjustRightInd w:val="0"/>
              <w:snapToGrid w:val="0"/>
              <w:jc w:val="center"/>
              <w:rPr>
                <w:rFonts w:ascii="Times New Roman" w:hAnsi="Times New Roman"/>
                <w:color w:val="000000"/>
                <w:szCs w:val="21"/>
              </w:rPr>
            </w:pPr>
            <w:r>
              <w:rPr>
                <w:rFonts w:hint="eastAsia" w:ascii="Times New Roman" w:hAnsi="Times New Roman"/>
                <w:color w:val="000000"/>
                <w:szCs w:val="21"/>
              </w:rPr>
              <w:t>15%</w:t>
            </w:r>
          </w:p>
        </w:tc>
        <w:tc>
          <w:tcPr>
            <w:tcW w:w="638" w:type="dxa"/>
            <w:shd w:val="clear" w:color="auto" w:fill="FFFFFF"/>
            <w:noWrap w:val="0"/>
            <w:vAlign w:val="center"/>
          </w:tcPr>
          <w:p>
            <w:pPr>
              <w:adjustRightInd w:val="0"/>
              <w:snapToGrid w:val="0"/>
              <w:jc w:val="center"/>
              <w:rPr>
                <w:rFonts w:ascii="Times New Roman" w:hAnsi="Times New Roman"/>
                <w:color w:val="000000"/>
                <w:szCs w:val="21"/>
              </w:rPr>
            </w:pPr>
          </w:p>
        </w:tc>
        <w:tc>
          <w:tcPr>
            <w:tcW w:w="638" w:type="dxa"/>
            <w:shd w:val="clear" w:color="auto" w:fill="FFFFFF"/>
            <w:noWrap w:val="0"/>
            <w:vAlign w:val="center"/>
          </w:tcPr>
          <w:p>
            <w:pPr>
              <w:adjustRightInd w:val="0"/>
              <w:snapToGrid w:val="0"/>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043" w:type="dxa"/>
            <w:vMerge w:val="restart"/>
            <w:shd w:val="clear" w:color="auto" w:fill="auto"/>
            <w:noWrap w:val="0"/>
            <w:tcMar>
              <w:left w:w="57" w:type="dxa"/>
              <w:right w:w="57" w:type="dxa"/>
            </w:tcMar>
            <w:vAlign w:val="center"/>
          </w:tcPr>
          <w:p>
            <w:pPr>
              <w:adjustRightInd w:val="0"/>
              <w:snapToGrid w:val="0"/>
              <w:jc w:val="center"/>
              <w:rPr>
                <w:rFonts w:ascii="Times New Roman" w:hAnsi="Times New Roman"/>
              </w:rPr>
            </w:pPr>
            <w:r>
              <w:rPr>
                <w:rFonts w:ascii="Times New Roman" w:hAnsi="Times New Roman"/>
              </w:rPr>
              <w:t>期末</w:t>
            </w:r>
            <w:r>
              <w:rPr>
                <w:rFonts w:hint="eastAsia" w:ascii="Times New Roman" w:hAnsi="Times New Roman"/>
              </w:rPr>
              <w:t>试卷</w:t>
            </w:r>
          </w:p>
        </w:tc>
        <w:tc>
          <w:tcPr>
            <w:tcW w:w="715" w:type="dxa"/>
            <w:vMerge w:val="restart"/>
            <w:shd w:val="clear" w:color="auto" w:fill="auto"/>
            <w:noWrap w:val="0"/>
            <w:vAlign w:val="center"/>
          </w:tcPr>
          <w:p>
            <w:pPr>
              <w:adjustRightInd w:val="0"/>
              <w:snapToGrid w:val="0"/>
              <w:jc w:val="center"/>
              <w:rPr>
                <w:rFonts w:ascii="Times New Roman" w:hAnsi="Times New Roman"/>
              </w:rPr>
            </w:pPr>
            <w:r>
              <w:rPr>
                <w:rFonts w:hint="eastAsia" w:ascii="Times New Roman" w:hAnsi="Times New Roman"/>
              </w:rPr>
              <w:t>60</w:t>
            </w:r>
            <w:r>
              <w:rPr>
                <w:rFonts w:ascii="Times New Roman" w:hAnsi="Times New Roman"/>
              </w:rPr>
              <w:t>%</w:t>
            </w:r>
            <w:r>
              <w:rPr>
                <w:rFonts w:hint="eastAsia" w:ascii="Times New Roman" w:hAnsi="Times New Roman"/>
              </w:rPr>
              <w:t xml:space="preserve"> </w:t>
            </w:r>
          </w:p>
        </w:tc>
        <w:tc>
          <w:tcPr>
            <w:tcW w:w="1560" w:type="dxa"/>
            <w:tcBorders>
              <w:left w:val="single" w:color="auto" w:sz="4" w:space="0"/>
            </w:tcBorders>
            <w:shd w:val="clear" w:color="auto" w:fill="auto"/>
            <w:noWrap w:val="0"/>
            <w:vAlign w:val="center"/>
          </w:tcPr>
          <w:p>
            <w:pPr>
              <w:adjustRightInd w:val="0"/>
              <w:snapToGrid w:val="0"/>
              <w:jc w:val="center"/>
              <w:rPr>
                <w:rFonts w:ascii="Times New Roman" w:hAnsi="Times New Roman"/>
                <w:color w:val="000000"/>
                <w:szCs w:val="21"/>
              </w:rPr>
            </w:pPr>
            <w:r>
              <w:rPr>
                <w:rFonts w:hint="eastAsia" w:ascii="Times New Roman" w:hAnsi="Times New Roman"/>
                <w:color w:val="000000"/>
                <w:szCs w:val="21"/>
              </w:rPr>
              <w:t>题型</w:t>
            </w:r>
          </w:p>
        </w:tc>
        <w:tc>
          <w:tcPr>
            <w:tcW w:w="3260" w:type="dxa"/>
            <w:tcBorders>
              <w:left w:val="single" w:color="auto" w:sz="4" w:space="0"/>
            </w:tcBorders>
            <w:shd w:val="clear" w:color="auto" w:fill="auto"/>
            <w:noWrap w:val="0"/>
            <w:vAlign w:val="center"/>
          </w:tcPr>
          <w:p>
            <w:pPr>
              <w:widowControl/>
              <w:adjustRightInd w:val="0"/>
              <w:snapToGrid w:val="0"/>
              <w:jc w:val="center"/>
              <w:rPr>
                <w:rFonts w:ascii="Times New Roman" w:hAnsi="Times New Roman"/>
              </w:rPr>
            </w:pPr>
            <w:r>
              <w:rPr>
                <w:rFonts w:hint="eastAsia" w:ascii="Times New Roman" w:hAnsi="Times New Roman"/>
                <w:color w:val="000000"/>
                <w:szCs w:val="21"/>
              </w:rPr>
              <w:t>考核内容及相应试题</w:t>
            </w:r>
          </w:p>
        </w:tc>
        <w:tc>
          <w:tcPr>
            <w:tcW w:w="2552" w:type="dxa"/>
            <w:gridSpan w:val="4"/>
            <w:tcBorders>
              <w:tl2br w:val="single" w:color="auto" w:sz="4" w:space="0"/>
            </w:tcBorders>
            <w:shd w:val="clear" w:color="auto" w:fill="FFFFFF"/>
            <w:noWrap w:val="0"/>
            <w:vAlign w:val="top"/>
          </w:tcPr>
          <w:p>
            <w:pPr>
              <w:adjustRightInd w:val="0"/>
              <w:snapToGrid w:val="0"/>
              <w:rPr>
                <w:rFonts w:ascii="Times New Roman" w:hAnsi="Times New Roman" w:eastAsia="楷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noWrap w:val="0"/>
            <w:tcMar>
              <w:left w:w="57" w:type="dxa"/>
              <w:right w:w="57" w:type="dxa"/>
            </w:tcMar>
            <w:vAlign w:val="center"/>
          </w:tcPr>
          <w:p>
            <w:pPr>
              <w:adjustRightInd w:val="0"/>
              <w:snapToGrid w:val="0"/>
              <w:jc w:val="center"/>
              <w:rPr>
                <w:rFonts w:ascii="Times New Roman" w:hAnsi="Times New Roman"/>
              </w:rPr>
            </w:pPr>
          </w:p>
        </w:tc>
        <w:tc>
          <w:tcPr>
            <w:tcW w:w="715" w:type="dxa"/>
            <w:vMerge w:val="continue"/>
            <w:shd w:val="clear" w:color="auto" w:fill="auto"/>
            <w:noWrap w:val="0"/>
            <w:vAlign w:val="center"/>
          </w:tcPr>
          <w:p>
            <w:pPr>
              <w:adjustRightInd w:val="0"/>
              <w:snapToGrid w:val="0"/>
              <w:jc w:val="center"/>
              <w:rPr>
                <w:rFonts w:ascii="Times New Roman" w:hAnsi="Times New Roman"/>
              </w:rPr>
            </w:pPr>
          </w:p>
        </w:tc>
        <w:tc>
          <w:tcPr>
            <w:tcW w:w="1560" w:type="dxa"/>
            <w:tcBorders>
              <w:left w:val="single" w:color="auto" w:sz="4" w:space="0"/>
            </w:tcBorders>
            <w:shd w:val="clear" w:color="auto" w:fill="auto"/>
            <w:noWrap w:val="0"/>
            <w:vAlign w:val="center"/>
          </w:tcPr>
          <w:p>
            <w:pPr>
              <w:adjustRightInd w:val="0"/>
              <w:snapToGrid w:val="0"/>
              <w:jc w:val="center"/>
              <w:rPr>
                <w:rFonts w:ascii="Times New Roman" w:hAnsi="Times New Roman"/>
                <w:color w:val="000000"/>
                <w:szCs w:val="21"/>
              </w:rPr>
            </w:pPr>
            <w:r>
              <w:rPr>
                <w:rFonts w:hint="eastAsia" w:ascii="Times New Roman" w:hAnsi="Times New Roman"/>
                <w:color w:val="000000"/>
                <w:szCs w:val="21"/>
              </w:rPr>
              <w:t>选择题</w:t>
            </w:r>
          </w:p>
        </w:tc>
        <w:tc>
          <w:tcPr>
            <w:tcW w:w="3260" w:type="dxa"/>
            <w:tcBorders>
              <w:left w:val="single" w:color="auto" w:sz="4" w:space="0"/>
            </w:tcBorders>
            <w:shd w:val="clear" w:color="auto" w:fill="auto"/>
            <w:noWrap w:val="0"/>
            <w:vAlign w:val="center"/>
          </w:tcPr>
          <w:p>
            <w:pPr>
              <w:adjustRightInd w:val="0"/>
              <w:snapToGrid w:val="0"/>
              <w:rPr>
                <w:rFonts w:ascii="Times New Roman" w:hAnsi="Times New Roman"/>
                <w:color w:val="000000"/>
                <w:szCs w:val="21"/>
              </w:rPr>
            </w:pPr>
            <w:r>
              <w:rPr>
                <w:rFonts w:hint="eastAsia" w:ascii="Times New Roman" w:hAnsi="Times New Roman"/>
                <w:color w:val="000000"/>
                <w:szCs w:val="21"/>
              </w:rPr>
              <w:t>主要考核合成氨原料气的制备与净化、硫酸及硝酸的制取、纯碱及烧碱的生产、天然气、煤及石油的主要组分等</w:t>
            </w:r>
          </w:p>
        </w:tc>
        <w:tc>
          <w:tcPr>
            <w:tcW w:w="638" w:type="dxa"/>
            <w:shd w:val="clear" w:color="auto" w:fill="FFFFFF"/>
            <w:noWrap w:val="0"/>
            <w:vAlign w:val="center"/>
          </w:tcPr>
          <w:p>
            <w:pPr>
              <w:widowControl/>
              <w:adjustRightInd w:val="0"/>
              <w:snapToGrid w:val="0"/>
              <w:jc w:val="center"/>
              <w:rPr>
                <w:rFonts w:ascii="Times New Roman" w:hAnsi="Times New Roman"/>
                <w:highlight w:val="none"/>
              </w:rPr>
            </w:pPr>
            <w:r>
              <w:rPr>
                <w:rFonts w:hint="eastAsia" w:ascii="Times New Roman" w:hAnsi="Times New Roman"/>
                <w:highlight w:val="none"/>
              </w:rPr>
              <w:t>15%</w:t>
            </w:r>
          </w:p>
        </w:tc>
        <w:tc>
          <w:tcPr>
            <w:tcW w:w="638" w:type="dxa"/>
            <w:shd w:val="clear" w:color="auto" w:fill="FFFFFF"/>
            <w:noWrap w:val="0"/>
            <w:vAlign w:val="center"/>
          </w:tcPr>
          <w:p>
            <w:pPr>
              <w:widowControl/>
              <w:adjustRightInd w:val="0"/>
              <w:snapToGrid w:val="0"/>
              <w:jc w:val="center"/>
              <w:rPr>
                <w:rFonts w:ascii="Times New Roman" w:hAnsi="Times New Roman"/>
                <w:highlight w:val="none"/>
              </w:rPr>
            </w:pPr>
            <w:r>
              <w:rPr>
                <w:rFonts w:hint="eastAsia" w:ascii="Times New Roman" w:hAnsi="Times New Roman"/>
                <w:highlight w:val="none"/>
              </w:rPr>
              <w:t>5%</w:t>
            </w:r>
          </w:p>
        </w:tc>
        <w:tc>
          <w:tcPr>
            <w:tcW w:w="638" w:type="dxa"/>
            <w:shd w:val="clear" w:color="auto" w:fill="FFFFFF"/>
            <w:noWrap w:val="0"/>
            <w:vAlign w:val="center"/>
          </w:tcPr>
          <w:p>
            <w:pPr>
              <w:widowControl/>
              <w:adjustRightInd w:val="0"/>
              <w:snapToGrid w:val="0"/>
              <w:jc w:val="center"/>
              <w:rPr>
                <w:rFonts w:ascii="Times New Roman" w:hAnsi="Times New Roman"/>
                <w:highlight w:val="yellow"/>
              </w:rPr>
            </w:pPr>
          </w:p>
        </w:tc>
        <w:tc>
          <w:tcPr>
            <w:tcW w:w="638" w:type="dxa"/>
            <w:shd w:val="clear" w:color="auto" w:fill="FFFFFF"/>
            <w:noWrap w:val="0"/>
            <w:vAlign w:val="center"/>
          </w:tcPr>
          <w:p>
            <w:pPr>
              <w:widowControl/>
              <w:adjustRightInd w:val="0"/>
              <w:snapToGrid w:val="0"/>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noWrap w:val="0"/>
            <w:tcMar>
              <w:left w:w="57" w:type="dxa"/>
              <w:right w:w="57" w:type="dxa"/>
            </w:tcMar>
            <w:vAlign w:val="center"/>
          </w:tcPr>
          <w:p>
            <w:pPr>
              <w:adjustRightInd w:val="0"/>
              <w:snapToGrid w:val="0"/>
              <w:jc w:val="center"/>
              <w:rPr>
                <w:rFonts w:ascii="Times New Roman" w:hAnsi="Times New Roman"/>
              </w:rPr>
            </w:pPr>
          </w:p>
        </w:tc>
        <w:tc>
          <w:tcPr>
            <w:tcW w:w="715" w:type="dxa"/>
            <w:vMerge w:val="continue"/>
            <w:shd w:val="clear" w:color="auto" w:fill="auto"/>
            <w:noWrap w:val="0"/>
            <w:vAlign w:val="center"/>
          </w:tcPr>
          <w:p>
            <w:pPr>
              <w:adjustRightInd w:val="0"/>
              <w:snapToGrid w:val="0"/>
              <w:jc w:val="center"/>
              <w:rPr>
                <w:rFonts w:ascii="Times New Roman" w:hAnsi="Times New Roman"/>
              </w:rPr>
            </w:pPr>
          </w:p>
        </w:tc>
        <w:tc>
          <w:tcPr>
            <w:tcW w:w="1560" w:type="dxa"/>
            <w:tcBorders>
              <w:left w:val="single" w:color="auto" w:sz="4" w:space="0"/>
            </w:tcBorders>
            <w:shd w:val="clear" w:color="auto" w:fill="auto"/>
            <w:noWrap w:val="0"/>
            <w:vAlign w:val="center"/>
          </w:tcPr>
          <w:p>
            <w:pPr>
              <w:adjustRightInd w:val="0"/>
              <w:snapToGrid w:val="0"/>
              <w:jc w:val="center"/>
              <w:rPr>
                <w:rFonts w:ascii="Times New Roman" w:hAnsi="Times New Roman"/>
                <w:color w:val="000000"/>
                <w:szCs w:val="21"/>
              </w:rPr>
            </w:pPr>
            <w:r>
              <w:rPr>
                <w:rFonts w:hint="eastAsia" w:ascii="Times New Roman" w:hAnsi="Times New Roman"/>
                <w:color w:val="000000"/>
                <w:szCs w:val="21"/>
              </w:rPr>
              <w:t>填空</w:t>
            </w:r>
            <w:r>
              <w:rPr>
                <w:rFonts w:ascii="Times New Roman" w:hAnsi="Times New Roman"/>
                <w:color w:val="000000"/>
                <w:szCs w:val="21"/>
              </w:rPr>
              <w:t>题</w:t>
            </w:r>
          </w:p>
        </w:tc>
        <w:tc>
          <w:tcPr>
            <w:tcW w:w="3260" w:type="dxa"/>
            <w:tcBorders>
              <w:left w:val="single" w:color="auto" w:sz="4" w:space="0"/>
            </w:tcBorders>
            <w:shd w:val="clear" w:color="auto" w:fill="auto"/>
            <w:noWrap w:val="0"/>
            <w:vAlign w:val="center"/>
          </w:tcPr>
          <w:p>
            <w:pPr>
              <w:adjustRightInd w:val="0"/>
              <w:snapToGrid w:val="0"/>
              <w:rPr>
                <w:rFonts w:ascii="Times New Roman" w:hAnsi="Times New Roman"/>
                <w:color w:val="000000"/>
                <w:szCs w:val="21"/>
              </w:rPr>
            </w:pPr>
            <w:r>
              <w:rPr>
                <w:rFonts w:hint="eastAsia" w:ascii="Times New Roman" w:hAnsi="Times New Roman"/>
                <w:color w:val="000000"/>
                <w:szCs w:val="21"/>
              </w:rPr>
              <w:t>主要考核三大化石燃料的加工利用、纯碱及烧碱的生产原理、硫酸及硝酸生产过程中的环保因素、合成氨合成过程中的主要化学反应及催化剂等</w:t>
            </w:r>
          </w:p>
        </w:tc>
        <w:tc>
          <w:tcPr>
            <w:tcW w:w="638" w:type="dxa"/>
            <w:shd w:val="clear" w:color="auto" w:fill="FFFFFF"/>
            <w:noWrap w:val="0"/>
            <w:vAlign w:val="center"/>
          </w:tcPr>
          <w:p>
            <w:pPr>
              <w:adjustRightInd w:val="0"/>
              <w:snapToGrid w:val="0"/>
              <w:jc w:val="center"/>
              <w:rPr>
                <w:rFonts w:ascii="Times New Roman" w:hAnsi="Times New Roman"/>
                <w:color w:val="000000"/>
                <w:szCs w:val="21"/>
                <w:highlight w:val="none"/>
              </w:rPr>
            </w:pPr>
            <w:r>
              <w:rPr>
                <w:rFonts w:hint="eastAsia" w:ascii="Times New Roman" w:hAnsi="Times New Roman"/>
                <w:color w:val="000000"/>
                <w:szCs w:val="21"/>
                <w:highlight w:val="none"/>
              </w:rPr>
              <w:t>10%</w:t>
            </w:r>
          </w:p>
        </w:tc>
        <w:tc>
          <w:tcPr>
            <w:tcW w:w="638" w:type="dxa"/>
            <w:shd w:val="clear" w:color="auto" w:fill="FFFFFF"/>
            <w:noWrap w:val="0"/>
            <w:vAlign w:val="center"/>
          </w:tcPr>
          <w:p>
            <w:pPr>
              <w:adjustRightInd w:val="0"/>
              <w:snapToGrid w:val="0"/>
              <w:jc w:val="center"/>
              <w:rPr>
                <w:rFonts w:hint="default" w:ascii="Times New Roman" w:hAnsi="Times New Roman" w:eastAsia="宋体"/>
                <w:color w:val="000000"/>
                <w:szCs w:val="21"/>
                <w:highlight w:val="none"/>
                <w:lang w:val="en-US" w:eastAsia="zh-CN"/>
              </w:rPr>
            </w:pPr>
            <w:r>
              <w:rPr>
                <w:rFonts w:hint="eastAsia" w:ascii="Times New Roman" w:hAnsi="Times New Roman"/>
                <w:color w:val="000000"/>
                <w:szCs w:val="21"/>
                <w:highlight w:val="none"/>
                <w:lang w:val="en-US" w:eastAsia="zh-CN"/>
              </w:rPr>
              <w:t>10%</w:t>
            </w:r>
          </w:p>
        </w:tc>
        <w:tc>
          <w:tcPr>
            <w:tcW w:w="638" w:type="dxa"/>
            <w:shd w:val="clear" w:color="auto" w:fill="FFFFFF"/>
            <w:noWrap w:val="0"/>
            <w:vAlign w:val="center"/>
          </w:tcPr>
          <w:p>
            <w:pPr>
              <w:adjustRightInd w:val="0"/>
              <w:snapToGrid w:val="0"/>
              <w:jc w:val="center"/>
              <w:rPr>
                <w:rFonts w:ascii="Times New Roman" w:hAnsi="Times New Roman"/>
                <w:color w:val="000000"/>
                <w:szCs w:val="21"/>
                <w:highlight w:val="yellow"/>
              </w:rPr>
            </w:pPr>
          </w:p>
        </w:tc>
        <w:tc>
          <w:tcPr>
            <w:tcW w:w="638" w:type="dxa"/>
            <w:shd w:val="clear" w:color="auto" w:fill="FFFFFF"/>
            <w:noWrap w:val="0"/>
            <w:vAlign w:val="center"/>
          </w:tcPr>
          <w:p>
            <w:pPr>
              <w:adjustRightInd w:val="0"/>
              <w:snapToGrid w:val="0"/>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noWrap w:val="0"/>
            <w:tcMar>
              <w:left w:w="57" w:type="dxa"/>
              <w:right w:w="57" w:type="dxa"/>
            </w:tcMar>
            <w:vAlign w:val="center"/>
          </w:tcPr>
          <w:p>
            <w:pPr>
              <w:adjustRightInd w:val="0"/>
              <w:snapToGrid w:val="0"/>
              <w:jc w:val="center"/>
              <w:rPr>
                <w:rFonts w:ascii="Times New Roman" w:hAnsi="Times New Roman"/>
              </w:rPr>
            </w:pPr>
          </w:p>
        </w:tc>
        <w:tc>
          <w:tcPr>
            <w:tcW w:w="715" w:type="dxa"/>
            <w:vMerge w:val="continue"/>
            <w:shd w:val="clear" w:color="auto" w:fill="auto"/>
            <w:noWrap w:val="0"/>
            <w:vAlign w:val="center"/>
          </w:tcPr>
          <w:p>
            <w:pPr>
              <w:adjustRightInd w:val="0"/>
              <w:snapToGrid w:val="0"/>
              <w:jc w:val="center"/>
              <w:rPr>
                <w:rFonts w:ascii="Times New Roman" w:hAnsi="Times New Roman"/>
              </w:rPr>
            </w:pPr>
          </w:p>
        </w:tc>
        <w:tc>
          <w:tcPr>
            <w:tcW w:w="1560" w:type="dxa"/>
            <w:tcBorders>
              <w:left w:val="single" w:color="auto" w:sz="4" w:space="0"/>
            </w:tcBorders>
            <w:shd w:val="clear" w:color="auto" w:fill="auto"/>
            <w:noWrap w:val="0"/>
            <w:vAlign w:val="center"/>
          </w:tcPr>
          <w:p>
            <w:pPr>
              <w:adjustRightInd w:val="0"/>
              <w:snapToGrid w:val="0"/>
              <w:jc w:val="center"/>
              <w:rPr>
                <w:rFonts w:ascii="Times New Roman" w:hAnsi="Times New Roman"/>
                <w:color w:val="000000"/>
                <w:szCs w:val="21"/>
              </w:rPr>
            </w:pPr>
            <w:r>
              <w:rPr>
                <w:rFonts w:hint="eastAsia" w:ascii="Times New Roman" w:hAnsi="Times New Roman"/>
                <w:color w:val="000000"/>
                <w:szCs w:val="21"/>
              </w:rPr>
              <w:t>简答</w:t>
            </w:r>
            <w:r>
              <w:rPr>
                <w:rFonts w:ascii="Times New Roman" w:hAnsi="Times New Roman"/>
                <w:color w:val="000000"/>
                <w:szCs w:val="21"/>
              </w:rPr>
              <w:t>题</w:t>
            </w:r>
          </w:p>
        </w:tc>
        <w:tc>
          <w:tcPr>
            <w:tcW w:w="3260" w:type="dxa"/>
            <w:tcBorders>
              <w:left w:val="single" w:color="auto" w:sz="4" w:space="0"/>
              <w:bottom w:val="single" w:color="auto" w:sz="4" w:space="0"/>
            </w:tcBorders>
            <w:shd w:val="clear" w:color="auto" w:fill="auto"/>
            <w:noWrap w:val="0"/>
            <w:vAlign w:val="center"/>
          </w:tcPr>
          <w:p>
            <w:pPr>
              <w:adjustRightInd w:val="0"/>
              <w:snapToGrid w:val="0"/>
              <w:rPr>
                <w:rFonts w:ascii="Times New Roman" w:hAnsi="Times New Roman"/>
                <w:color w:val="000000"/>
                <w:szCs w:val="21"/>
              </w:rPr>
            </w:pPr>
            <w:r>
              <w:rPr>
                <w:rFonts w:hint="eastAsia" w:ascii="Times New Roman" w:hAnsi="Times New Roman"/>
                <w:color w:val="000000"/>
                <w:szCs w:val="21"/>
              </w:rPr>
              <w:t>主要合成氨工艺路线、合成氨主要工序的工艺条件及基本的工艺计算、煤的制取、天然气的净化、纯碱及烧碱制备方法、硫酸尾气净化、润滑油的制取等</w:t>
            </w:r>
          </w:p>
        </w:tc>
        <w:tc>
          <w:tcPr>
            <w:tcW w:w="638" w:type="dxa"/>
            <w:shd w:val="clear" w:color="auto" w:fill="FFFFFF"/>
            <w:noWrap w:val="0"/>
            <w:vAlign w:val="center"/>
          </w:tcPr>
          <w:p>
            <w:pPr>
              <w:adjustRightInd w:val="0"/>
              <w:snapToGrid w:val="0"/>
              <w:jc w:val="center"/>
              <w:rPr>
                <w:rFonts w:ascii="Times New Roman" w:hAnsi="Times New Roman"/>
                <w:color w:val="000000"/>
                <w:szCs w:val="21"/>
                <w:highlight w:val="none"/>
              </w:rPr>
            </w:pPr>
            <w:r>
              <w:rPr>
                <w:rFonts w:hint="eastAsia" w:ascii="Times New Roman" w:hAnsi="Times New Roman"/>
                <w:color w:val="000000"/>
                <w:szCs w:val="21"/>
                <w:highlight w:val="none"/>
              </w:rPr>
              <w:t>20%</w:t>
            </w:r>
          </w:p>
        </w:tc>
        <w:tc>
          <w:tcPr>
            <w:tcW w:w="638" w:type="dxa"/>
            <w:shd w:val="clear" w:color="auto" w:fill="FFFFFF"/>
            <w:noWrap w:val="0"/>
            <w:vAlign w:val="center"/>
          </w:tcPr>
          <w:p>
            <w:pPr>
              <w:adjustRightInd w:val="0"/>
              <w:snapToGrid w:val="0"/>
              <w:jc w:val="center"/>
              <w:rPr>
                <w:rFonts w:ascii="Times New Roman" w:hAnsi="Times New Roman"/>
                <w:color w:val="000000"/>
                <w:szCs w:val="21"/>
                <w:highlight w:val="none"/>
              </w:rPr>
            </w:pPr>
            <w:r>
              <w:rPr>
                <w:rFonts w:hint="eastAsia" w:ascii="Times New Roman" w:hAnsi="Times New Roman"/>
                <w:color w:val="000000"/>
                <w:szCs w:val="21"/>
                <w:highlight w:val="none"/>
              </w:rPr>
              <w:t>10%</w:t>
            </w:r>
          </w:p>
        </w:tc>
        <w:tc>
          <w:tcPr>
            <w:tcW w:w="638" w:type="dxa"/>
            <w:shd w:val="clear" w:color="auto" w:fill="FFFFFF"/>
            <w:noWrap w:val="0"/>
            <w:vAlign w:val="center"/>
          </w:tcPr>
          <w:p>
            <w:pPr>
              <w:adjustRightInd w:val="0"/>
              <w:snapToGrid w:val="0"/>
              <w:jc w:val="center"/>
              <w:rPr>
                <w:rFonts w:ascii="Times New Roman" w:hAnsi="Times New Roman"/>
                <w:color w:val="000000"/>
                <w:szCs w:val="21"/>
                <w:highlight w:val="yellow"/>
              </w:rPr>
            </w:pPr>
          </w:p>
        </w:tc>
        <w:tc>
          <w:tcPr>
            <w:tcW w:w="638" w:type="dxa"/>
            <w:shd w:val="clear" w:color="auto" w:fill="FFFFFF"/>
            <w:noWrap w:val="0"/>
            <w:vAlign w:val="center"/>
          </w:tcPr>
          <w:p>
            <w:pPr>
              <w:adjustRightInd w:val="0"/>
              <w:snapToGrid w:val="0"/>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043" w:type="dxa"/>
            <w:shd w:val="clear" w:color="auto" w:fill="auto"/>
            <w:noWrap w:val="0"/>
            <w:tcMar>
              <w:left w:w="57" w:type="dxa"/>
              <w:right w:w="57" w:type="dxa"/>
            </w:tcMar>
            <w:vAlign w:val="center"/>
          </w:tcPr>
          <w:p>
            <w:pPr>
              <w:adjustRightInd w:val="0"/>
              <w:snapToGrid w:val="0"/>
              <w:jc w:val="center"/>
              <w:rPr>
                <w:rFonts w:ascii="Times New Roman" w:hAnsi="Times New Roman"/>
              </w:rPr>
            </w:pPr>
            <w:r>
              <w:rPr>
                <w:rFonts w:hint="eastAsia" w:ascii="Times New Roman" w:hAnsi="Times New Roman"/>
              </w:rPr>
              <w:t>合    计</w:t>
            </w:r>
          </w:p>
        </w:tc>
        <w:tc>
          <w:tcPr>
            <w:tcW w:w="715" w:type="dxa"/>
            <w:shd w:val="clear" w:color="auto" w:fill="auto"/>
            <w:noWrap w:val="0"/>
            <w:vAlign w:val="center"/>
          </w:tcPr>
          <w:p>
            <w:pPr>
              <w:adjustRightInd w:val="0"/>
              <w:snapToGrid w:val="0"/>
              <w:jc w:val="center"/>
              <w:rPr>
                <w:rFonts w:ascii="Times New Roman" w:hAnsi="Times New Roman"/>
              </w:rPr>
            </w:pPr>
            <w:r>
              <w:rPr>
                <w:rFonts w:hint="eastAsia" w:ascii="Times New Roman" w:hAnsi="Times New Roman"/>
              </w:rPr>
              <w:t>100%</w:t>
            </w:r>
          </w:p>
        </w:tc>
        <w:tc>
          <w:tcPr>
            <w:tcW w:w="4820" w:type="dxa"/>
            <w:gridSpan w:val="2"/>
            <w:tcBorders>
              <w:left w:val="single" w:color="auto" w:sz="4" w:space="0"/>
            </w:tcBorders>
            <w:shd w:val="clear" w:color="auto" w:fill="auto"/>
            <w:noWrap w:val="0"/>
            <w:vAlign w:val="center"/>
          </w:tcPr>
          <w:p>
            <w:pPr>
              <w:adjustRightInd w:val="0"/>
              <w:snapToGrid w:val="0"/>
              <w:rPr>
                <w:rFonts w:ascii="Times New Roman" w:hAnsi="Times New Roman"/>
                <w:color w:val="000000"/>
                <w:szCs w:val="21"/>
                <w:highlight w:val="yellow"/>
              </w:rPr>
            </w:pPr>
          </w:p>
        </w:tc>
        <w:tc>
          <w:tcPr>
            <w:tcW w:w="638" w:type="dxa"/>
            <w:shd w:val="clear" w:color="auto" w:fill="FFFFFF"/>
            <w:noWrap w:val="0"/>
            <w:vAlign w:val="center"/>
          </w:tcPr>
          <w:p>
            <w:pPr>
              <w:adjustRightInd w:val="0"/>
              <w:snapToGrid w:val="0"/>
              <w:jc w:val="center"/>
              <w:rPr>
                <w:rFonts w:ascii="Times New Roman" w:hAnsi="Times New Roman"/>
                <w:color w:val="000000"/>
                <w:szCs w:val="21"/>
                <w:highlight w:val="none"/>
              </w:rPr>
            </w:pPr>
            <w:r>
              <w:rPr>
                <w:rFonts w:hint="eastAsia" w:ascii="Times New Roman" w:hAnsi="Times New Roman"/>
                <w:color w:val="000000"/>
                <w:szCs w:val="21"/>
                <w:highlight w:val="none"/>
              </w:rPr>
              <w:t>65%</w:t>
            </w:r>
          </w:p>
        </w:tc>
        <w:tc>
          <w:tcPr>
            <w:tcW w:w="638" w:type="dxa"/>
            <w:shd w:val="clear" w:color="auto" w:fill="FFFFFF"/>
            <w:noWrap w:val="0"/>
            <w:vAlign w:val="center"/>
          </w:tcPr>
          <w:p>
            <w:pPr>
              <w:adjustRightInd w:val="0"/>
              <w:snapToGrid w:val="0"/>
              <w:jc w:val="center"/>
              <w:rPr>
                <w:rFonts w:ascii="Times New Roman" w:hAnsi="Times New Roman"/>
                <w:color w:val="000000"/>
                <w:szCs w:val="21"/>
                <w:highlight w:val="none"/>
              </w:rPr>
            </w:pPr>
            <w:r>
              <w:rPr>
                <w:rFonts w:hint="eastAsia" w:ascii="Times New Roman" w:hAnsi="Times New Roman"/>
                <w:color w:val="000000"/>
                <w:szCs w:val="21"/>
                <w:highlight w:val="none"/>
              </w:rPr>
              <w:t>35%</w:t>
            </w:r>
          </w:p>
        </w:tc>
        <w:tc>
          <w:tcPr>
            <w:tcW w:w="638" w:type="dxa"/>
            <w:shd w:val="clear" w:color="auto" w:fill="FFFFFF"/>
            <w:noWrap w:val="0"/>
            <w:vAlign w:val="center"/>
          </w:tcPr>
          <w:p>
            <w:pPr>
              <w:adjustRightInd w:val="0"/>
              <w:snapToGrid w:val="0"/>
              <w:jc w:val="center"/>
              <w:rPr>
                <w:rFonts w:ascii="Times New Roman" w:hAnsi="Times New Roman"/>
                <w:color w:val="000000"/>
                <w:szCs w:val="21"/>
                <w:highlight w:val="yellow"/>
              </w:rPr>
            </w:pPr>
          </w:p>
        </w:tc>
        <w:tc>
          <w:tcPr>
            <w:tcW w:w="638" w:type="dxa"/>
            <w:shd w:val="clear" w:color="auto" w:fill="FFFFFF"/>
            <w:noWrap w:val="0"/>
            <w:vAlign w:val="center"/>
          </w:tcPr>
          <w:p>
            <w:pPr>
              <w:adjustRightInd w:val="0"/>
              <w:snapToGrid w:val="0"/>
              <w:jc w:val="center"/>
              <w:rPr>
                <w:rFonts w:ascii="Times New Roman" w:hAnsi="Times New Roman"/>
                <w:color w:val="000000"/>
                <w:szCs w:val="21"/>
              </w:rPr>
            </w:pPr>
          </w:p>
        </w:tc>
      </w:tr>
    </w:tbl>
    <w:p>
      <w:pPr>
        <w:spacing w:line="360" w:lineRule="auto"/>
        <w:ind w:firstLine="480"/>
        <w:rPr>
          <w:rFonts w:ascii="Times New Roman" w:hAnsi="Times New Roman"/>
          <w:szCs w:val="22"/>
        </w:rPr>
      </w:pPr>
    </w:p>
    <w:p>
      <w:pPr>
        <w:widowControl/>
        <w:spacing w:line="360" w:lineRule="auto"/>
        <w:ind w:firstLine="480"/>
        <w:jc w:val="center"/>
        <w:textAlignment w:val="baseline"/>
        <w:rPr>
          <w:rFonts w:hint="eastAsia" w:ascii="Times New Roman" w:hAnsi="Times New Roman"/>
          <w:kern w:val="0"/>
          <w:position w:val="-22"/>
          <w:szCs w:val="21"/>
        </w:rPr>
      </w:pPr>
      <w:r>
        <w:rPr>
          <w:rFonts w:ascii="Times New Roman" w:hAnsi="Times New Roman"/>
          <w:kern w:val="0"/>
          <w:position w:val="-22"/>
          <w:szCs w:val="21"/>
        </w:rPr>
        <w:pict>
          <v:shape id="对象 2" o:spid="_x0000_s2053" o:spt="75" type="#_x0000_t75" style="position:absolute;left:0pt;margin-left:42.7pt;margin-top:7.85pt;height:32.65pt;width:349.3pt;mso-wrap-distance-bottom:0pt;mso-wrap-distance-left:9pt;mso-wrap-distance-right:9pt;mso-wrap-distance-top:0pt;z-index:251661312;mso-width-relative:page;mso-height-relative:page;" o:ole="t" filled="f" o:preferrelative="t" stroked="f" coordsize="21600,21600">
            <v:path/>
            <v:fill on="f" focussize="0,0"/>
            <v:stroke on="f"/>
            <v:imagedata r:id="rId30" o:title=""/>
            <o:lock v:ext="edit" aspectratio="t"/>
            <w10:wrap type="square"/>
          </v:shape>
          <o:OLEObject Type="Embed" ProgID="Equation.3" ShapeID="对象 2" DrawAspect="Content" ObjectID="_1468075733" r:id="rId29">
            <o:LockedField>false</o:LockedField>
          </o:OLEObject>
        </w:pict>
      </w:r>
    </w:p>
    <w:p>
      <w:pPr>
        <w:widowControl/>
        <w:spacing w:line="360" w:lineRule="auto"/>
        <w:ind w:firstLine="480"/>
        <w:jc w:val="center"/>
        <w:textAlignment w:val="baseline"/>
        <w:rPr>
          <w:rFonts w:hint="eastAsia" w:ascii="Times New Roman" w:hAnsi="Times New Roman"/>
          <w:kern w:val="0"/>
          <w:position w:val="-22"/>
          <w:szCs w:val="21"/>
        </w:rPr>
      </w:pPr>
    </w:p>
    <w:p>
      <w:pPr>
        <w:spacing w:line="360" w:lineRule="auto"/>
        <w:ind w:firstLine="480"/>
        <w:rPr>
          <w:rFonts w:ascii="Times New Roman" w:hAnsi="Times New Roman"/>
          <w:szCs w:val="22"/>
        </w:rPr>
      </w:pPr>
      <w:r>
        <w:rPr>
          <w:rFonts w:ascii="Times New Roman" w:hAnsi="Times New Roman"/>
          <w:szCs w:val="22"/>
        </w:rPr>
        <w:t>式中：</w:t>
      </w:r>
      <w:r>
        <w:rPr>
          <w:rFonts w:hint="eastAsia" w:ascii="Times New Roman" w:hAnsi="Times New Roman"/>
          <w:szCs w:val="22"/>
        </w:rPr>
        <w:t xml:space="preserve">  </w:t>
      </w:r>
      <w:r>
        <w:rPr>
          <w:rFonts w:ascii="Times New Roman" w:hAnsi="Times New Roman"/>
          <w:szCs w:val="22"/>
        </w:rPr>
        <w:t>Ai=平时</w:t>
      </w:r>
      <w:r>
        <w:rPr>
          <w:rFonts w:hint="eastAsia" w:ascii="Times New Roman" w:hAnsi="Times New Roman"/>
          <w:szCs w:val="22"/>
        </w:rPr>
        <w:t>考勤</w:t>
      </w:r>
      <w:r>
        <w:rPr>
          <w:rFonts w:ascii="Times New Roman" w:hAnsi="Times New Roman"/>
          <w:szCs w:val="22"/>
        </w:rPr>
        <w:t>成绩占总评成绩的权重×课程目标i在平时成绩中的权重，</w:t>
      </w:r>
    </w:p>
    <w:p>
      <w:pPr>
        <w:spacing w:line="360" w:lineRule="auto"/>
        <w:ind w:firstLine="630" w:firstLineChars="300"/>
        <w:rPr>
          <w:rFonts w:ascii="Times New Roman" w:hAnsi="Times New Roman"/>
          <w:szCs w:val="22"/>
        </w:rPr>
      </w:pPr>
      <w:r>
        <w:rPr>
          <w:rFonts w:ascii="Times New Roman" w:hAnsi="Times New Roman"/>
          <w:szCs w:val="22"/>
        </w:rPr>
        <w:t>Bi=</w:t>
      </w:r>
      <w:r>
        <w:rPr>
          <w:rFonts w:hint="eastAsia" w:ascii="Times New Roman" w:hAnsi="Times New Roman"/>
          <w:szCs w:val="22"/>
        </w:rPr>
        <w:t>平时作业</w:t>
      </w:r>
      <w:r>
        <w:rPr>
          <w:rFonts w:ascii="Times New Roman" w:hAnsi="Times New Roman"/>
          <w:szCs w:val="22"/>
        </w:rPr>
        <w:t>成绩占总评成绩的权重×课程目标i在实</w:t>
      </w:r>
      <w:r>
        <w:rPr>
          <w:rFonts w:hint="eastAsia" w:ascii="Times New Roman" w:hAnsi="Times New Roman"/>
          <w:szCs w:val="22"/>
        </w:rPr>
        <w:t>验</w:t>
      </w:r>
      <w:r>
        <w:rPr>
          <w:rFonts w:ascii="Times New Roman" w:hAnsi="Times New Roman"/>
          <w:szCs w:val="22"/>
        </w:rPr>
        <w:t>成绩中的权重，</w:t>
      </w:r>
    </w:p>
    <w:p>
      <w:pPr>
        <w:spacing w:line="360" w:lineRule="auto"/>
        <w:ind w:firstLine="630" w:firstLineChars="300"/>
        <w:rPr>
          <w:rFonts w:ascii="Times New Roman" w:hAnsi="Times New Roman"/>
          <w:szCs w:val="22"/>
        </w:rPr>
      </w:pPr>
      <w:r>
        <w:rPr>
          <w:rFonts w:ascii="Times New Roman" w:hAnsi="Times New Roman"/>
          <w:szCs w:val="22"/>
        </w:rPr>
        <w:t>Ci=</w:t>
      </w:r>
      <w:r>
        <w:rPr>
          <w:rFonts w:hint="eastAsia" w:ascii="Times New Roman" w:hAnsi="Times New Roman"/>
          <w:szCs w:val="22"/>
        </w:rPr>
        <w:t>期末</w:t>
      </w:r>
      <w:r>
        <w:rPr>
          <w:rFonts w:ascii="Times New Roman" w:hAnsi="Times New Roman"/>
          <w:szCs w:val="22"/>
        </w:rPr>
        <w:t>成绩占总评成绩的权重×课程目标i在</w:t>
      </w:r>
      <w:r>
        <w:rPr>
          <w:rFonts w:hint="eastAsia" w:ascii="Times New Roman" w:hAnsi="Times New Roman"/>
          <w:szCs w:val="22"/>
        </w:rPr>
        <w:t>期末</w:t>
      </w:r>
      <w:r>
        <w:rPr>
          <w:rFonts w:ascii="Times New Roman" w:hAnsi="Times New Roman"/>
          <w:szCs w:val="22"/>
        </w:rPr>
        <w:t>成绩中的权重。</w:t>
      </w:r>
    </w:p>
    <w:p>
      <w:pPr>
        <w:spacing w:line="360" w:lineRule="auto"/>
        <w:rPr>
          <w:rFonts w:hint="eastAsia" w:ascii="Times New Roman" w:hAnsi="Times New Roman"/>
          <w:b/>
          <w:sz w:val="28"/>
          <w:szCs w:val="28"/>
        </w:rPr>
      </w:pPr>
      <w:bookmarkStart w:id="173" w:name="_Toc57384470"/>
      <w:bookmarkStart w:id="174" w:name="_Toc57385484"/>
      <w:bookmarkStart w:id="175" w:name="_Toc57361898"/>
      <w:bookmarkStart w:id="176" w:name="_Toc57361316"/>
      <w:bookmarkStart w:id="177" w:name="_Toc57384863"/>
      <w:bookmarkStart w:id="178" w:name="_Toc57364612"/>
      <w:r>
        <w:rPr>
          <w:rFonts w:hint="eastAsia" w:ascii="Times New Roman" w:hAnsi="Times New Roman"/>
          <w:b/>
          <w:sz w:val="28"/>
          <w:szCs w:val="28"/>
        </w:rPr>
        <w:t>六、有关说明</w:t>
      </w:r>
      <w:bookmarkEnd w:id="173"/>
      <w:bookmarkEnd w:id="174"/>
      <w:bookmarkEnd w:id="175"/>
      <w:bookmarkEnd w:id="176"/>
      <w:bookmarkEnd w:id="177"/>
      <w:bookmarkEnd w:id="178"/>
    </w:p>
    <w:p>
      <w:pPr>
        <w:spacing w:line="360" w:lineRule="auto"/>
        <w:rPr>
          <w:rFonts w:hint="eastAsia" w:ascii="Times New Roman" w:hAnsi="Times New Roman"/>
          <w:b/>
          <w:sz w:val="24"/>
        </w:rPr>
      </w:pPr>
      <w:bookmarkStart w:id="179" w:name="_Toc57385485"/>
      <w:bookmarkStart w:id="180" w:name="_Toc57364613"/>
      <w:bookmarkStart w:id="181" w:name="_Toc57361899"/>
      <w:bookmarkStart w:id="182" w:name="_Toc57384471"/>
      <w:bookmarkStart w:id="183" w:name="_Toc57384864"/>
      <w:bookmarkStart w:id="184" w:name="_Toc57361317"/>
      <w:r>
        <w:rPr>
          <w:rFonts w:hint="eastAsia" w:ascii="Times New Roman" w:hAnsi="Times New Roman"/>
          <w:b/>
          <w:sz w:val="24"/>
        </w:rPr>
        <w:t>1、持续改进</w:t>
      </w:r>
      <w:bookmarkEnd w:id="179"/>
      <w:bookmarkEnd w:id="180"/>
      <w:bookmarkEnd w:id="181"/>
      <w:bookmarkEnd w:id="182"/>
      <w:bookmarkEnd w:id="183"/>
      <w:bookmarkEnd w:id="184"/>
    </w:p>
    <w:p>
      <w:pPr>
        <w:spacing w:line="360" w:lineRule="auto"/>
        <w:ind w:firstLine="480"/>
        <w:rPr>
          <w:rFonts w:ascii="Times New Roman" w:hAnsi="Times New Roman"/>
          <w:szCs w:val="22"/>
        </w:rPr>
      </w:pPr>
      <w:r>
        <w:rPr>
          <w:rFonts w:ascii="Times New Roman" w:hAnsi="Times New Roman"/>
          <w:szCs w:val="22"/>
        </w:rPr>
        <w:t>本课程根据学生作业、课堂讨论、实验环节、平时考核情况和学生、教学督导等</w:t>
      </w:r>
      <w:r>
        <w:rPr>
          <w:rFonts w:hint="eastAsia" w:ascii="Times New Roman" w:hAnsi="Times New Roman"/>
          <w:szCs w:val="22"/>
        </w:rPr>
        <w:t>的</w:t>
      </w:r>
      <w:r>
        <w:rPr>
          <w:rFonts w:ascii="Times New Roman" w:hAnsi="Times New Roman"/>
          <w:szCs w:val="22"/>
        </w:rPr>
        <w:t>反馈，及时对教学中</w:t>
      </w:r>
      <w:r>
        <w:rPr>
          <w:rFonts w:hint="eastAsia" w:ascii="Times New Roman" w:hAnsi="Times New Roman"/>
          <w:szCs w:val="22"/>
        </w:rPr>
        <w:t>的</w:t>
      </w:r>
      <w:r>
        <w:rPr>
          <w:rFonts w:ascii="Times New Roman" w:hAnsi="Times New Roman"/>
          <w:szCs w:val="22"/>
        </w:rPr>
        <w:t>不足之处进行改进，并在下一轮课程教学中</w:t>
      </w:r>
      <w:r>
        <w:rPr>
          <w:rFonts w:hint="eastAsia" w:ascii="Times New Roman" w:hAnsi="Times New Roman"/>
          <w:szCs w:val="22"/>
        </w:rPr>
        <w:t>整改完善</w:t>
      </w:r>
      <w:r>
        <w:rPr>
          <w:rFonts w:ascii="Times New Roman" w:hAnsi="Times New Roman"/>
          <w:szCs w:val="22"/>
        </w:rPr>
        <w:t>，确保相应毕业要求指标点达成。</w:t>
      </w:r>
    </w:p>
    <w:p>
      <w:pPr>
        <w:spacing w:line="360" w:lineRule="auto"/>
        <w:rPr>
          <w:rFonts w:hint="eastAsia" w:ascii="Times New Roman" w:hAnsi="Times New Roman"/>
          <w:b/>
          <w:sz w:val="24"/>
        </w:rPr>
      </w:pPr>
      <w:bookmarkStart w:id="185" w:name="_Toc57384865"/>
      <w:bookmarkStart w:id="186" w:name="_Toc57385486"/>
      <w:bookmarkStart w:id="187" w:name="_Toc57364614"/>
      <w:bookmarkStart w:id="188" w:name="_Toc57361318"/>
      <w:bookmarkStart w:id="189" w:name="_Toc57384472"/>
      <w:bookmarkStart w:id="190" w:name="_Toc57361900"/>
      <w:r>
        <w:rPr>
          <w:rFonts w:hint="eastAsia" w:ascii="Times New Roman" w:hAnsi="Times New Roman"/>
          <w:b/>
          <w:sz w:val="24"/>
        </w:rPr>
        <w:t>2、</w:t>
      </w:r>
      <w:r>
        <w:rPr>
          <w:rFonts w:ascii="Times New Roman" w:hAnsi="Times New Roman"/>
          <w:b/>
          <w:sz w:val="24"/>
        </w:rPr>
        <w:t>参考书目及学习资料</w:t>
      </w:r>
      <w:bookmarkEnd w:id="185"/>
      <w:bookmarkEnd w:id="186"/>
      <w:bookmarkEnd w:id="187"/>
      <w:bookmarkEnd w:id="188"/>
      <w:bookmarkEnd w:id="189"/>
      <w:bookmarkEnd w:id="190"/>
    </w:p>
    <w:p>
      <w:pPr>
        <w:numPr>
          <w:ilvl w:val="0"/>
          <w:numId w:val="2"/>
        </w:numPr>
        <w:spacing w:line="300" w:lineRule="auto"/>
        <w:ind w:firstLine="420" w:firstLineChars="200"/>
        <w:jc w:val="left"/>
        <w:rPr>
          <w:rFonts w:hint="eastAsia" w:ascii="Times New Roman" w:hAnsi="Times New Roman"/>
        </w:rPr>
      </w:pPr>
      <w:r>
        <w:rPr>
          <w:rFonts w:hint="eastAsia" w:ascii="Times New Roman" w:hAnsi="Times New Roman"/>
        </w:rPr>
        <w:t>谭世语等. 化工工艺学. 重庆：重庆大学出版社，2014年</w:t>
      </w:r>
    </w:p>
    <w:p>
      <w:pPr>
        <w:numPr>
          <w:ilvl w:val="0"/>
          <w:numId w:val="2"/>
        </w:numPr>
        <w:spacing w:line="300" w:lineRule="auto"/>
        <w:ind w:firstLine="420" w:firstLineChars="200"/>
        <w:jc w:val="left"/>
        <w:rPr>
          <w:rFonts w:hint="eastAsia" w:ascii="Times New Roman" w:hAnsi="Times New Roman"/>
        </w:rPr>
      </w:pPr>
      <w:r>
        <w:rPr>
          <w:rFonts w:hint="eastAsia" w:ascii="Times New Roman" w:hAnsi="Times New Roman"/>
        </w:rPr>
        <w:t>曾之平、王扶明. 化工工艺学. 北京：化学工业出版社，2010年.</w:t>
      </w:r>
    </w:p>
    <w:p>
      <w:pPr>
        <w:numPr>
          <w:ilvl w:val="0"/>
          <w:numId w:val="2"/>
        </w:numPr>
        <w:spacing w:line="300" w:lineRule="auto"/>
        <w:ind w:firstLine="420" w:firstLineChars="200"/>
        <w:jc w:val="left"/>
        <w:rPr>
          <w:rFonts w:hint="eastAsia" w:ascii="Times New Roman" w:hAnsi="Times New Roman"/>
        </w:rPr>
      </w:pPr>
      <w:r>
        <w:rPr>
          <w:rFonts w:hint="eastAsia" w:ascii="Times New Roman" w:hAnsi="Times New Roman"/>
        </w:rPr>
        <w:t>刘德峥. 精细化工生产工艺学. 北京：化学工业出版社，2004年.</w:t>
      </w:r>
    </w:p>
    <w:p>
      <w:pPr>
        <w:numPr>
          <w:ilvl w:val="0"/>
          <w:numId w:val="2"/>
        </w:numPr>
        <w:spacing w:line="300" w:lineRule="auto"/>
        <w:ind w:firstLine="420" w:firstLineChars="200"/>
        <w:jc w:val="left"/>
        <w:rPr>
          <w:rFonts w:hint="eastAsia" w:ascii="Times New Roman" w:hAnsi="Times New Roman"/>
        </w:rPr>
      </w:pPr>
      <w:r>
        <w:rPr>
          <w:rFonts w:hint="eastAsia" w:ascii="Times New Roman" w:hAnsi="Times New Roman"/>
        </w:rPr>
        <w:t>宋启煌. 精细化工工艺学. 北京：化学工业出版社，2017年.</w:t>
      </w:r>
    </w:p>
    <w:p>
      <w:pPr>
        <w:numPr>
          <w:ilvl w:val="0"/>
          <w:numId w:val="2"/>
        </w:numPr>
        <w:spacing w:line="300" w:lineRule="auto"/>
        <w:ind w:firstLine="420" w:firstLineChars="200"/>
        <w:jc w:val="left"/>
        <w:rPr>
          <w:rFonts w:hint="eastAsia" w:ascii="Times New Roman" w:hAnsi="Times New Roman"/>
        </w:rPr>
      </w:pPr>
      <w:r>
        <w:rPr>
          <w:rFonts w:hint="eastAsia" w:ascii="Times New Roman" w:hAnsi="Times New Roman"/>
        </w:rPr>
        <w:t>潘鸿章. 化学工艺学</w:t>
      </w:r>
      <w:r>
        <w:rPr>
          <w:rFonts w:hint="eastAsia" w:ascii="Times New Roman" w:hAnsi="Times New Roman"/>
        </w:rPr>
        <w:tab/>
      </w:r>
      <w:r>
        <w:rPr>
          <w:rFonts w:hint="eastAsia" w:ascii="Times New Roman" w:hAnsi="Times New Roman"/>
        </w:rPr>
        <w:t>. 北京：高等教育出版社，2010年.</w:t>
      </w:r>
    </w:p>
    <w:p>
      <w:pPr>
        <w:autoSpaceDE w:val="0"/>
        <w:autoSpaceDN w:val="0"/>
        <w:spacing w:line="360" w:lineRule="auto"/>
        <w:ind w:firstLine="480"/>
        <w:jc w:val="left"/>
        <w:rPr>
          <w:rFonts w:hint="eastAsia" w:ascii="Times New Roman" w:hAnsi="Times New Roman"/>
          <w:kern w:val="0"/>
          <w:szCs w:val="21"/>
        </w:rPr>
      </w:pPr>
    </w:p>
    <w:p>
      <w:pPr>
        <w:autoSpaceDE w:val="0"/>
        <w:autoSpaceDN w:val="0"/>
        <w:spacing w:line="360" w:lineRule="auto"/>
        <w:ind w:firstLine="6405" w:firstLineChars="3050"/>
        <w:jc w:val="left"/>
        <w:rPr>
          <w:rFonts w:hint="eastAsia" w:ascii="Times New Roman" w:hAnsi="Times New Roman"/>
          <w:kern w:val="0"/>
          <w:szCs w:val="21"/>
        </w:rPr>
      </w:pPr>
    </w:p>
    <w:p>
      <w:pPr>
        <w:autoSpaceDE w:val="0"/>
        <w:autoSpaceDN w:val="0"/>
        <w:spacing w:line="360" w:lineRule="auto"/>
        <w:ind w:firstLine="6405" w:firstLineChars="3050"/>
        <w:jc w:val="left"/>
        <w:rPr>
          <w:rFonts w:hint="eastAsia" w:ascii="Times New Roman" w:hAnsi="Times New Roman"/>
          <w:kern w:val="0"/>
          <w:szCs w:val="21"/>
        </w:rPr>
      </w:pPr>
    </w:p>
    <w:p>
      <w:pPr>
        <w:autoSpaceDE w:val="0"/>
        <w:autoSpaceDN w:val="0"/>
        <w:spacing w:line="360" w:lineRule="auto"/>
        <w:ind w:firstLine="6405" w:firstLineChars="3050"/>
        <w:jc w:val="left"/>
        <w:rPr>
          <w:rFonts w:hint="eastAsia" w:ascii="Times New Roman" w:hAnsi="Times New Roman"/>
          <w:kern w:val="0"/>
          <w:szCs w:val="21"/>
        </w:rPr>
      </w:pPr>
    </w:p>
    <w:p>
      <w:pPr>
        <w:autoSpaceDE w:val="0"/>
        <w:autoSpaceDN w:val="0"/>
        <w:spacing w:line="360" w:lineRule="auto"/>
        <w:ind w:firstLine="6405" w:firstLineChars="3050"/>
        <w:jc w:val="left"/>
        <w:rPr>
          <w:rFonts w:ascii="Times New Roman" w:hAnsi="Times New Roman"/>
          <w:kern w:val="0"/>
          <w:szCs w:val="21"/>
        </w:rPr>
      </w:pPr>
      <w:r>
        <w:rPr>
          <w:rFonts w:ascii="Times New Roman" w:hAnsi="Times New Roman"/>
          <w:kern w:val="0"/>
          <w:szCs w:val="21"/>
        </w:rPr>
        <w:t>执笔人：</w:t>
      </w:r>
      <w:r>
        <w:rPr>
          <w:rFonts w:hint="eastAsia" w:ascii="Times New Roman" w:hAnsi="Times New Roman"/>
          <w:kern w:val="0"/>
          <w:szCs w:val="21"/>
        </w:rPr>
        <w:t>蒋夫花</w:t>
      </w:r>
      <w:r>
        <w:rPr>
          <w:rFonts w:ascii="Times New Roman" w:hAnsi="Times New Roman"/>
          <w:kern w:val="0"/>
          <w:szCs w:val="21"/>
        </w:rPr>
        <w:t xml:space="preserve"> </w:t>
      </w:r>
    </w:p>
    <w:p>
      <w:pPr>
        <w:autoSpaceDE w:val="0"/>
        <w:autoSpaceDN w:val="0"/>
        <w:spacing w:line="360" w:lineRule="auto"/>
        <w:ind w:firstLine="6405" w:firstLineChars="3050"/>
        <w:jc w:val="left"/>
        <w:rPr>
          <w:rFonts w:hint="eastAsia" w:ascii="Times New Roman" w:hAnsi="Times New Roman"/>
          <w:kern w:val="0"/>
          <w:szCs w:val="21"/>
        </w:rPr>
      </w:pPr>
      <w:r>
        <w:rPr>
          <w:rFonts w:ascii="Times New Roman" w:hAnsi="Times New Roman"/>
          <w:kern w:val="0"/>
          <w:szCs w:val="21"/>
        </w:rPr>
        <w:t>审定人：</w:t>
      </w:r>
      <w:r>
        <w:rPr>
          <w:rFonts w:hint="eastAsia" w:ascii="Times New Roman" w:hAnsi="Times New Roman"/>
          <w:kern w:val="0"/>
          <w:szCs w:val="21"/>
        </w:rPr>
        <w:t>魏雪姣</w:t>
      </w:r>
    </w:p>
    <w:p>
      <w:pPr>
        <w:autoSpaceDE w:val="0"/>
        <w:autoSpaceDN w:val="0"/>
        <w:spacing w:line="360" w:lineRule="auto"/>
        <w:ind w:firstLine="6405" w:firstLineChars="3050"/>
        <w:jc w:val="left"/>
        <w:rPr>
          <w:rFonts w:hint="eastAsia" w:ascii="Times New Roman" w:hAnsi="Times New Roman"/>
          <w:kern w:val="0"/>
          <w:szCs w:val="21"/>
        </w:rPr>
      </w:pPr>
      <w:r>
        <w:rPr>
          <w:rFonts w:hint="eastAsia" w:ascii="Times New Roman" w:hAnsi="Times New Roman"/>
          <w:kern w:val="0"/>
          <w:szCs w:val="21"/>
        </w:rPr>
        <w:t>审批</w:t>
      </w:r>
      <w:r>
        <w:rPr>
          <w:rFonts w:ascii="Times New Roman" w:hAnsi="Times New Roman"/>
          <w:kern w:val="0"/>
          <w:szCs w:val="21"/>
        </w:rPr>
        <w:t>人：</w:t>
      </w:r>
      <w:r>
        <w:rPr>
          <w:rFonts w:hint="eastAsia" w:ascii="Times New Roman" w:hAnsi="Times New Roman"/>
          <w:kern w:val="0"/>
          <w:szCs w:val="21"/>
        </w:rPr>
        <w:t>吴泽颖</w:t>
      </w:r>
    </w:p>
    <w:p>
      <w:pPr>
        <w:autoSpaceDE w:val="0"/>
        <w:autoSpaceDN w:val="0"/>
        <w:spacing w:line="360" w:lineRule="auto"/>
        <w:ind w:firstLine="6090" w:firstLineChars="2900"/>
        <w:jc w:val="left"/>
        <w:rPr>
          <w:rFonts w:hint="eastAsia" w:ascii="Times New Roman" w:hAnsi="Times New Roman"/>
          <w:kern w:val="0"/>
        </w:rPr>
      </w:pPr>
      <w:r>
        <w:rPr>
          <w:rFonts w:hint="eastAsia" w:ascii="Times New Roman" w:hAnsi="Times New Roman" w:cs="宋体"/>
          <w:kern w:val="0"/>
        </w:rPr>
        <w:t>批准时间：</w:t>
      </w:r>
      <w:r>
        <w:rPr>
          <w:rFonts w:ascii="Times New Roman" w:hAnsi="Times New Roman"/>
          <w:kern w:val="0"/>
        </w:rPr>
        <w:t>20</w:t>
      </w:r>
      <w:r>
        <w:rPr>
          <w:rFonts w:hint="eastAsia" w:ascii="Times New Roman" w:hAnsi="Times New Roman"/>
          <w:kern w:val="0"/>
        </w:rPr>
        <w:t>2</w:t>
      </w:r>
      <w:r>
        <w:rPr>
          <w:rFonts w:hint="eastAsia" w:ascii="Times New Roman" w:hAnsi="Times New Roman"/>
          <w:kern w:val="0"/>
          <w:lang w:val="en-US" w:eastAsia="zh-CN"/>
        </w:rPr>
        <w:t>1</w:t>
      </w:r>
      <w:r>
        <w:rPr>
          <w:rFonts w:ascii="Times New Roman" w:hAnsi="Times New Roman"/>
          <w:kern w:val="0"/>
        </w:rPr>
        <w:t>.</w:t>
      </w:r>
      <w:r>
        <w:rPr>
          <w:rFonts w:hint="eastAsia" w:ascii="Times New Roman" w:hAnsi="Times New Roman"/>
          <w:kern w:val="0"/>
        </w:rPr>
        <w:t>9</w:t>
      </w:r>
      <w:r>
        <w:rPr>
          <w:rFonts w:ascii="Times New Roman" w:hAnsi="Times New Roman"/>
          <w:kern w:val="0"/>
        </w:rPr>
        <w:t>.</w:t>
      </w:r>
      <w:r>
        <w:rPr>
          <w:rFonts w:hint="eastAsia" w:ascii="Times New Roman" w:hAnsi="Times New Roman"/>
          <w:kern w:val="0"/>
        </w:rPr>
        <w:t>1</w:t>
      </w:r>
    </w:p>
    <w:p>
      <w:pPr>
        <w:autoSpaceDE w:val="0"/>
        <w:autoSpaceDN w:val="0"/>
        <w:spacing w:line="360" w:lineRule="auto"/>
        <w:ind w:firstLine="6090" w:firstLineChars="2900"/>
        <w:jc w:val="left"/>
        <w:rPr>
          <w:rFonts w:hint="eastAsia" w:ascii="Times New Roman" w:hAnsi="Times New Roman"/>
          <w:kern w:val="0"/>
        </w:rPr>
      </w:pPr>
    </w:p>
    <w:p>
      <w:pPr>
        <w:keepNext/>
        <w:keepLines/>
        <w:widowControl w:val="0"/>
        <w:spacing w:before="260" w:after="260" w:line="416" w:lineRule="auto"/>
        <w:jc w:val="center"/>
        <w:outlineLvl w:val="2"/>
        <w:rPr>
          <w:rFonts w:ascii="Times New Roman" w:hAnsi="Times New Roman" w:eastAsia="宋体" w:cs="Times New Roman"/>
          <w:b/>
          <w:bCs w:val="0"/>
          <w:kern w:val="0"/>
          <w:sz w:val="30"/>
          <w:szCs w:val="32"/>
          <w:lang w:val="en-US" w:eastAsia="zh-CN" w:bidi="ar-SA"/>
        </w:rPr>
      </w:pPr>
      <w:bookmarkStart w:id="191" w:name="_Toc57385487"/>
      <w:bookmarkStart w:id="192" w:name="_Toc57384473"/>
      <w:bookmarkStart w:id="193" w:name="_Toc57386050"/>
      <w:bookmarkStart w:id="194" w:name="_Toc57384866"/>
      <w:bookmarkStart w:id="195" w:name="_Toc57364615"/>
      <w:bookmarkStart w:id="196" w:name="_Toc57621327"/>
      <w:bookmarkStart w:id="197" w:name="_Toc57387669"/>
      <w:bookmarkStart w:id="198" w:name="_Toc57387400"/>
    </w:p>
    <w:p>
      <w:pPr>
        <w:keepNext/>
        <w:keepLines/>
        <w:widowControl w:val="0"/>
        <w:spacing w:before="260" w:after="260" w:line="416" w:lineRule="auto"/>
        <w:jc w:val="center"/>
        <w:outlineLvl w:val="2"/>
        <w:rPr>
          <w:rFonts w:ascii="Times New Roman" w:hAnsi="Times New Roman" w:eastAsia="宋体" w:cs="Times New Roman"/>
          <w:b/>
          <w:bCs w:val="0"/>
          <w:kern w:val="0"/>
          <w:sz w:val="30"/>
          <w:szCs w:val="32"/>
          <w:lang w:val="en-US" w:eastAsia="zh-CN" w:bidi="ar-SA"/>
        </w:rPr>
      </w:pPr>
    </w:p>
    <w:p>
      <w:pPr>
        <w:keepNext/>
        <w:keepLines/>
        <w:widowControl w:val="0"/>
        <w:spacing w:before="260" w:after="260" w:line="416" w:lineRule="auto"/>
        <w:jc w:val="center"/>
        <w:outlineLvl w:val="2"/>
        <w:rPr>
          <w:rFonts w:ascii="Times New Roman" w:hAnsi="Times New Roman" w:eastAsia="宋体" w:cs="Times New Roman"/>
          <w:b/>
          <w:bCs w:val="0"/>
          <w:kern w:val="0"/>
          <w:sz w:val="30"/>
          <w:szCs w:val="32"/>
          <w:lang w:val="en-US" w:eastAsia="zh-CN" w:bidi="ar-SA"/>
        </w:rPr>
      </w:pPr>
    </w:p>
    <w:bookmarkEnd w:id="191"/>
    <w:bookmarkEnd w:id="192"/>
    <w:bookmarkEnd w:id="193"/>
    <w:bookmarkEnd w:id="194"/>
    <w:bookmarkEnd w:id="195"/>
    <w:bookmarkEnd w:id="196"/>
    <w:bookmarkEnd w:id="197"/>
    <w:bookmarkEnd w:id="198"/>
    <w:p>
      <w:pPr>
        <w:jc w:val="center"/>
        <w:rPr>
          <w:sz w:val="28"/>
          <w:szCs w:val="28"/>
        </w:rPr>
      </w:pPr>
      <w:bookmarkStart w:id="199" w:name="_Toc57364616"/>
      <w:bookmarkStart w:id="200" w:name="_Toc57384474"/>
      <w:bookmarkStart w:id="201" w:name="_Toc57385488"/>
      <w:bookmarkStart w:id="202" w:name="_Toc57386051"/>
      <w:bookmarkStart w:id="203" w:name="_Toc57384867"/>
      <w:bookmarkStart w:id="204" w:name="_Toc57361319"/>
      <w:bookmarkStart w:id="205" w:name="_Toc57361901"/>
    </w:p>
    <w:p>
      <w:pPr>
        <w:jc w:val="center"/>
        <w:rPr>
          <w:sz w:val="28"/>
          <w:szCs w:val="28"/>
        </w:rPr>
      </w:pPr>
    </w:p>
    <w:p>
      <w:pPr>
        <w:jc w:val="center"/>
        <w:rPr>
          <w:sz w:val="28"/>
          <w:szCs w:val="28"/>
        </w:rPr>
      </w:pPr>
    </w:p>
    <w:p>
      <w:pPr>
        <w:jc w:val="center"/>
        <w:rPr>
          <w:sz w:val="28"/>
          <w:szCs w:val="28"/>
        </w:rPr>
      </w:pPr>
    </w:p>
    <w:p>
      <w:pPr>
        <w:jc w:val="center"/>
        <w:rPr>
          <w:sz w:val="28"/>
          <w:szCs w:val="28"/>
        </w:rPr>
      </w:pPr>
    </w:p>
    <w:p>
      <w:pPr>
        <w:pStyle w:val="3"/>
        <w:bidi w:val="0"/>
        <w:jc w:val="center"/>
        <w:rPr>
          <w:rFonts w:hint="eastAsia"/>
          <w:lang w:val="en-US" w:eastAsia="zh-CN"/>
        </w:rPr>
      </w:pPr>
      <w:bookmarkStart w:id="206" w:name="_Toc13428"/>
      <w:bookmarkStart w:id="207" w:name="_Toc18688"/>
      <w:r>
        <w:rPr>
          <w:rFonts w:hint="eastAsia"/>
          <w:lang w:val="en-US" w:eastAsia="zh-CN"/>
        </w:rPr>
        <w:t>化工热力学教学大纲</w:t>
      </w:r>
      <w:bookmarkEnd w:id="206"/>
      <w:bookmarkEnd w:id="207"/>
    </w:p>
    <w:p>
      <w:pPr>
        <w:jc w:val="center"/>
        <w:rPr>
          <w:sz w:val="28"/>
          <w:szCs w:val="28"/>
        </w:rPr>
      </w:pPr>
      <w:r>
        <w:rPr>
          <w:sz w:val="28"/>
          <w:szCs w:val="28"/>
        </w:rPr>
        <w:t>（ Chemical Engineering Thermodynamics）</w:t>
      </w:r>
      <w:bookmarkEnd w:id="199"/>
      <w:bookmarkEnd w:id="200"/>
      <w:bookmarkEnd w:id="201"/>
      <w:bookmarkEnd w:id="202"/>
      <w:bookmarkEnd w:id="203"/>
      <w:bookmarkEnd w:id="204"/>
      <w:bookmarkEnd w:id="205"/>
    </w:p>
    <w:p>
      <w:pPr>
        <w:spacing w:line="440" w:lineRule="exact"/>
        <w:jc w:val="center"/>
        <w:rPr>
          <w:sz w:val="24"/>
        </w:rPr>
      </w:pPr>
    </w:p>
    <w:p>
      <w:pPr>
        <w:spacing w:line="360" w:lineRule="auto"/>
        <w:ind w:firstLine="551" w:firstLineChars="196"/>
        <w:rPr>
          <w:rFonts w:hint="eastAsia"/>
          <w:b/>
          <w:sz w:val="28"/>
          <w:szCs w:val="28"/>
        </w:rPr>
      </w:pPr>
      <w:r>
        <w:rPr>
          <w:b/>
          <w:sz w:val="28"/>
          <w:szCs w:val="28"/>
        </w:rPr>
        <w:t>一、课程概况</w:t>
      </w:r>
    </w:p>
    <w:p>
      <w:pPr>
        <w:spacing w:line="360" w:lineRule="auto"/>
        <w:ind w:firstLine="482" w:firstLineChars="200"/>
        <w:rPr>
          <w:b/>
          <w:kern w:val="0"/>
          <w:sz w:val="24"/>
        </w:rPr>
      </w:pPr>
      <w:r>
        <w:rPr>
          <w:b/>
          <w:bCs/>
          <w:kern w:val="0"/>
          <w:sz w:val="24"/>
        </w:rPr>
        <w:t>课程代码</w:t>
      </w:r>
      <w:r>
        <w:rPr>
          <w:b/>
          <w:kern w:val="0"/>
          <w:sz w:val="24"/>
        </w:rPr>
        <w:t>：2501048</w:t>
      </w:r>
    </w:p>
    <w:p>
      <w:pPr>
        <w:spacing w:line="360" w:lineRule="auto"/>
        <w:ind w:firstLine="482" w:firstLineChars="200"/>
        <w:rPr>
          <w:kern w:val="0"/>
          <w:sz w:val="24"/>
        </w:rPr>
      </w:pPr>
      <w:r>
        <w:rPr>
          <w:b/>
          <w:bCs/>
          <w:kern w:val="0"/>
          <w:sz w:val="24"/>
        </w:rPr>
        <w:t>学    分：</w:t>
      </w:r>
      <w:r>
        <w:rPr>
          <w:rFonts w:hint="eastAsia"/>
          <w:kern w:val="0"/>
          <w:sz w:val="24"/>
        </w:rPr>
        <w:t>3</w:t>
      </w:r>
      <w:r>
        <w:rPr>
          <w:kern w:val="0"/>
          <w:sz w:val="24"/>
        </w:rPr>
        <w:t xml:space="preserve"> </w:t>
      </w:r>
    </w:p>
    <w:p>
      <w:pPr>
        <w:spacing w:line="360" w:lineRule="auto"/>
        <w:ind w:firstLine="482" w:firstLineChars="200"/>
        <w:rPr>
          <w:kern w:val="0"/>
          <w:sz w:val="24"/>
        </w:rPr>
      </w:pPr>
      <w:r>
        <w:rPr>
          <w:b/>
          <w:bCs/>
          <w:kern w:val="0"/>
          <w:sz w:val="24"/>
        </w:rPr>
        <w:t>学    时：</w:t>
      </w:r>
      <w:r>
        <w:rPr>
          <w:rFonts w:hint="eastAsia"/>
          <w:bCs/>
          <w:kern w:val="0"/>
          <w:sz w:val="24"/>
        </w:rPr>
        <w:t>48</w:t>
      </w:r>
    </w:p>
    <w:p>
      <w:pPr>
        <w:spacing w:line="360" w:lineRule="auto"/>
        <w:ind w:firstLine="482" w:firstLineChars="200"/>
        <w:rPr>
          <w:bCs/>
          <w:kern w:val="0"/>
          <w:sz w:val="24"/>
        </w:rPr>
      </w:pPr>
      <w:r>
        <w:rPr>
          <w:b/>
          <w:bCs/>
          <w:kern w:val="0"/>
          <w:sz w:val="24"/>
        </w:rPr>
        <w:t>先修课程：</w:t>
      </w:r>
      <w:r>
        <w:rPr>
          <w:sz w:val="24"/>
        </w:rPr>
        <w:t>高等数学、无机化学、有机化学、物理化学和化工原理等。</w:t>
      </w:r>
    </w:p>
    <w:p>
      <w:pPr>
        <w:spacing w:line="360" w:lineRule="auto"/>
        <w:ind w:firstLine="482" w:firstLineChars="200"/>
        <w:rPr>
          <w:kern w:val="0"/>
          <w:sz w:val="24"/>
        </w:rPr>
      </w:pPr>
      <w:r>
        <w:rPr>
          <w:b/>
          <w:bCs/>
          <w:kern w:val="0"/>
          <w:sz w:val="24"/>
        </w:rPr>
        <w:t>适用专业：</w:t>
      </w:r>
      <w:r>
        <w:rPr>
          <w:sz w:val="24"/>
        </w:rPr>
        <w:t>化学工程与工艺专业</w:t>
      </w:r>
      <w:r>
        <w:rPr>
          <w:rFonts w:hint="eastAsia"/>
          <w:sz w:val="24"/>
        </w:rPr>
        <w:t>、</w:t>
      </w:r>
      <w:r>
        <w:rPr>
          <w:sz w:val="24"/>
        </w:rPr>
        <w:t>应用化学</w:t>
      </w:r>
      <w:r>
        <w:rPr>
          <w:kern w:val="0"/>
          <w:sz w:val="24"/>
        </w:rPr>
        <w:t xml:space="preserve">                          </w:t>
      </w:r>
    </w:p>
    <w:p>
      <w:pPr>
        <w:tabs>
          <w:tab w:val="center" w:pos="4152"/>
        </w:tabs>
        <w:spacing w:line="400" w:lineRule="exact"/>
        <w:ind w:firstLine="482" w:firstLineChars="200"/>
        <w:rPr>
          <w:rFonts w:hint="eastAsia"/>
          <w:kern w:val="0"/>
          <w:sz w:val="24"/>
        </w:rPr>
      </w:pPr>
      <w:r>
        <w:rPr>
          <w:rFonts w:hint="eastAsia"/>
          <w:b/>
          <w:bCs/>
          <w:kern w:val="0"/>
          <w:sz w:val="24"/>
        </w:rPr>
        <w:t>建议</w:t>
      </w:r>
      <w:r>
        <w:rPr>
          <w:b/>
          <w:bCs/>
          <w:kern w:val="0"/>
          <w:sz w:val="24"/>
        </w:rPr>
        <w:t>教材：</w:t>
      </w:r>
      <w:r>
        <w:rPr>
          <w:rFonts w:hint="eastAsia"/>
          <w:sz w:val="24"/>
        </w:rPr>
        <w:t>《</w:t>
      </w:r>
      <w:r>
        <w:rPr>
          <w:sz w:val="24"/>
        </w:rPr>
        <w:t>化工热力学（第三版）</w:t>
      </w:r>
      <w:r>
        <w:rPr>
          <w:rFonts w:hint="eastAsia"/>
          <w:sz w:val="24"/>
        </w:rPr>
        <w:t>》</w:t>
      </w:r>
      <w:r>
        <w:rPr>
          <w:sz w:val="24"/>
        </w:rPr>
        <w:t xml:space="preserve"> 陈钟秀</w:t>
      </w:r>
      <w:r>
        <w:rPr>
          <w:rFonts w:hint="eastAsia"/>
          <w:sz w:val="24"/>
        </w:rPr>
        <w:t xml:space="preserve"> </w:t>
      </w:r>
      <w:r>
        <w:rPr>
          <w:sz w:val="24"/>
        </w:rPr>
        <w:t>化学工业出版社</w:t>
      </w:r>
      <w:r>
        <w:rPr>
          <w:rFonts w:hint="eastAsia"/>
          <w:sz w:val="24"/>
        </w:rPr>
        <w:t xml:space="preserve">  2012.8</w:t>
      </w:r>
    </w:p>
    <w:p>
      <w:pPr>
        <w:spacing w:line="360" w:lineRule="auto"/>
        <w:ind w:firstLine="482" w:firstLineChars="200"/>
        <w:rPr>
          <w:rFonts w:hint="eastAsia"/>
          <w:b/>
          <w:bCs/>
          <w:kern w:val="0"/>
          <w:sz w:val="24"/>
        </w:rPr>
      </w:pPr>
      <w:r>
        <w:rPr>
          <w:b/>
          <w:bCs/>
          <w:kern w:val="0"/>
          <w:sz w:val="24"/>
        </w:rPr>
        <w:t>课程归口：</w:t>
      </w:r>
      <w:r>
        <w:rPr>
          <w:rFonts w:hint="eastAsia" w:ascii="宋体" w:hAnsi="宋体"/>
          <w:kern w:val="0"/>
          <w:sz w:val="24"/>
        </w:rPr>
        <w:t>化工</w:t>
      </w:r>
      <w:r>
        <w:rPr>
          <w:kern w:val="0"/>
          <w:sz w:val="24"/>
        </w:rPr>
        <w:t>学院</w:t>
      </w:r>
      <w:r>
        <w:rPr>
          <w:rFonts w:hint="eastAsia"/>
          <w:kern w:val="0"/>
          <w:sz w:val="24"/>
        </w:rPr>
        <w:t>与材料学院</w:t>
      </w:r>
    </w:p>
    <w:p>
      <w:pPr>
        <w:spacing w:line="360" w:lineRule="auto"/>
        <w:ind w:firstLine="472" w:firstLineChars="196"/>
        <w:rPr>
          <w:rFonts w:hint="eastAsia"/>
          <w:sz w:val="24"/>
        </w:rPr>
      </w:pPr>
      <w:r>
        <w:rPr>
          <w:b/>
          <w:bCs/>
          <w:kern w:val="0"/>
          <w:sz w:val="24"/>
        </w:rPr>
        <w:t>课程的性质与任务</w:t>
      </w:r>
      <w:r>
        <w:rPr>
          <w:rFonts w:hint="eastAsia"/>
          <w:b/>
          <w:bCs/>
          <w:kern w:val="0"/>
          <w:sz w:val="24"/>
        </w:rPr>
        <w:t>：</w:t>
      </w:r>
      <w:r>
        <w:rPr>
          <w:rFonts w:hint="eastAsia"/>
          <w:sz w:val="24"/>
        </w:rPr>
        <w:t>化工热力学是</w:t>
      </w:r>
      <w:r>
        <w:rPr>
          <w:rFonts w:hint="eastAsia" w:ascii="宋体" w:hAnsi="宋体"/>
          <w:bCs/>
          <w:kern w:val="0"/>
          <w:sz w:val="24"/>
        </w:rPr>
        <w:t>化学工程与工艺与应用化学</w:t>
      </w:r>
      <w:r>
        <w:rPr>
          <w:rFonts w:hint="eastAsia"/>
          <w:kern w:val="0"/>
          <w:sz w:val="24"/>
        </w:rPr>
        <w:t>专业的</w:t>
      </w:r>
      <w:r>
        <w:rPr>
          <w:rFonts w:hint="eastAsia"/>
          <w:sz w:val="24"/>
        </w:rPr>
        <w:t>的一个重要分支，是化工类专业必修的专业基础课程。它是化工过程研究、开发与设计的理论基础，是一门理论性与应用性均较强的课程。该门课系统地介绍了将热力学原理应用于化学工程技术领域的研究方法。它以热力学第一、第二定律为基础，研究化工过程中各种能量的相互转化及其有效利用，深刻阐述了各种物理和化学变化过程达到平衡的理论极限、条件和状态。</w:t>
      </w:r>
    </w:p>
    <w:p>
      <w:pPr>
        <w:spacing w:line="360" w:lineRule="auto"/>
        <w:ind w:firstLine="470" w:firstLineChars="196"/>
        <w:rPr>
          <w:kern w:val="0"/>
          <w:sz w:val="24"/>
        </w:rPr>
      </w:pPr>
      <w:r>
        <w:rPr>
          <w:rFonts w:hint="eastAsia"/>
          <w:sz w:val="24"/>
        </w:rPr>
        <w:t>设置本课程，能够掌握化工热力学的基本概念、理论和专业知识；能利用化工热力学的原理和模型对化工中涉及到的化学反应平衡原理、相平衡原理等进行分析和研究；能利用化工热力学的方法对化工中涉及的物系的热力学性质和其它化工物性进行关联和推算；并学会利用化工热力学的基本理论对化工中能量进行分析等</w:t>
      </w:r>
      <w:r>
        <w:rPr>
          <w:kern w:val="0"/>
          <w:sz w:val="24"/>
        </w:rPr>
        <w:t>。</w:t>
      </w:r>
    </w:p>
    <w:p>
      <w:pPr>
        <w:spacing w:line="360" w:lineRule="auto"/>
        <w:rPr>
          <w:b/>
          <w:sz w:val="28"/>
          <w:szCs w:val="28"/>
        </w:rPr>
      </w:pPr>
      <w:r>
        <w:rPr>
          <w:b/>
          <w:sz w:val="28"/>
          <w:szCs w:val="28"/>
        </w:rPr>
        <w:t>二、课程目标及对毕业要求观测点的支撑</w:t>
      </w:r>
    </w:p>
    <w:tbl>
      <w:tblPr>
        <w:tblStyle w:val="1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118"/>
        <w:gridCol w:w="2292"/>
        <w:gridCol w:w="3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38" w:type="dxa"/>
            <w:shd w:val="clear" w:color="auto" w:fill="auto"/>
            <w:noWrap/>
            <w:vAlign w:val="center"/>
          </w:tcPr>
          <w:p>
            <w:pPr>
              <w:widowControl/>
              <w:jc w:val="center"/>
              <w:rPr>
                <w:b/>
                <w:bCs/>
                <w:kern w:val="0"/>
                <w:szCs w:val="21"/>
              </w:rPr>
            </w:pPr>
            <w:r>
              <w:rPr>
                <w:b/>
                <w:bCs/>
                <w:kern w:val="0"/>
                <w:szCs w:val="21"/>
              </w:rPr>
              <w:t>序号</w:t>
            </w:r>
          </w:p>
        </w:tc>
        <w:tc>
          <w:tcPr>
            <w:tcW w:w="3118" w:type="dxa"/>
            <w:shd w:val="clear" w:color="auto" w:fill="auto"/>
            <w:noWrap/>
            <w:vAlign w:val="center"/>
          </w:tcPr>
          <w:p>
            <w:pPr>
              <w:widowControl/>
              <w:jc w:val="center"/>
              <w:rPr>
                <w:b/>
                <w:bCs/>
                <w:kern w:val="0"/>
                <w:szCs w:val="21"/>
              </w:rPr>
            </w:pPr>
            <w:r>
              <w:rPr>
                <w:b/>
                <w:bCs/>
                <w:kern w:val="0"/>
                <w:szCs w:val="21"/>
              </w:rPr>
              <w:t>课程目标</w:t>
            </w:r>
          </w:p>
        </w:tc>
        <w:tc>
          <w:tcPr>
            <w:tcW w:w="2292" w:type="dxa"/>
            <w:shd w:val="clear" w:color="auto" w:fill="auto"/>
            <w:noWrap/>
            <w:vAlign w:val="center"/>
          </w:tcPr>
          <w:p>
            <w:pPr>
              <w:widowControl/>
              <w:jc w:val="center"/>
              <w:rPr>
                <w:b/>
                <w:bCs/>
                <w:kern w:val="0"/>
                <w:szCs w:val="21"/>
              </w:rPr>
            </w:pPr>
            <w:r>
              <w:rPr>
                <w:b/>
                <w:bCs/>
                <w:kern w:val="0"/>
                <w:szCs w:val="21"/>
              </w:rPr>
              <w:t>支撑毕业要求观测点</w:t>
            </w:r>
          </w:p>
        </w:tc>
        <w:tc>
          <w:tcPr>
            <w:tcW w:w="3066" w:type="dxa"/>
            <w:shd w:val="clear" w:color="auto" w:fill="auto"/>
            <w:noWrap/>
            <w:vAlign w:val="center"/>
          </w:tcPr>
          <w:p>
            <w:pPr>
              <w:widowControl/>
              <w:jc w:val="center"/>
              <w:rPr>
                <w:b/>
                <w:bCs/>
                <w:kern w:val="0"/>
                <w:szCs w:val="21"/>
              </w:rPr>
            </w:pPr>
            <w:r>
              <w:rPr>
                <w:b/>
                <w:bCs/>
                <w:kern w:val="0"/>
                <w:szCs w:val="21"/>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38" w:type="dxa"/>
            <w:shd w:val="clear" w:color="auto" w:fill="auto"/>
            <w:noWrap/>
            <w:vAlign w:val="center"/>
          </w:tcPr>
          <w:p>
            <w:pPr>
              <w:widowControl/>
              <w:jc w:val="center"/>
              <w:rPr>
                <w:kern w:val="0"/>
                <w:szCs w:val="21"/>
              </w:rPr>
            </w:pPr>
            <w:r>
              <w:rPr>
                <w:kern w:val="0"/>
                <w:szCs w:val="21"/>
              </w:rPr>
              <w:t>1</w:t>
            </w:r>
          </w:p>
        </w:tc>
        <w:tc>
          <w:tcPr>
            <w:tcW w:w="3118" w:type="dxa"/>
            <w:shd w:val="clear" w:color="auto" w:fill="auto"/>
            <w:noWrap/>
            <w:vAlign w:val="center"/>
          </w:tcPr>
          <w:p>
            <w:pPr>
              <w:rPr>
                <w:kern w:val="0"/>
                <w:szCs w:val="21"/>
              </w:rPr>
            </w:pPr>
            <w:r>
              <w:rPr>
                <w:b/>
                <w:kern w:val="0"/>
                <w:szCs w:val="21"/>
              </w:rPr>
              <w:t>目标1：</w:t>
            </w:r>
            <w:r>
              <w:rPr>
                <w:rFonts w:hint="eastAsia"/>
                <w:kern w:val="0"/>
                <w:szCs w:val="21"/>
              </w:rPr>
              <w:t>理解并掌握多组分流体的热力学性质的计算流程以及获取相关数据的方法。</w:t>
            </w:r>
          </w:p>
        </w:tc>
        <w:tc>
          <w:tcPr>
            <w:tcW w:w="2292" w:type="dxa"/>
            <w:shd w:val="clear" w:color="auto" w:fill="auto"/>
            <w:noWrap/>
            <w:vAlign w:val="center"/>
          </w:tcPr>
          <w:p>
            <w:pPr>
              <w:widowControl/>
              <w:rPr>
                <w:kern w:val="0"/>
                <w:szCs w:val="21"/>
              </w:rPr>
            </w:pPr>
            <w:r>
              <w:rPr>
                <w:b/>
                <w:szCs w:val="21"/>
              </w:rPr>
              <w:t>观测点1</w:t>
            </w:r>
            <w:r>
              <w:rPr>
                <w:rFonts w:hint="eastAsia"/>
                <w:b/>
                <w:szCs w:val="21"/>
              </w:rPr>
              <w:t>-</w:t>
            </w:r>
            <w:r>
              <w:rPr>
                <w:rFonts w:hint="eastAsia"/>
                <w:b/>
                <w:szCs w:val="21"/>
                <w:lang w:val="en-US" w:eastAsia="zh-CN"/>
              </w:rPr>
              <w:t>3</w:t>
            </w:r>
            <w:r>
              <w:rPr>
                <w:szCs w:val="21"/>
              </w:rPr>
              <w:t>：</w:t>
            </w:r>
            <w:r>
              <w:rPr>
                <w:rFonts w:hint="eastAsia" w:ascii="宋体" w:hAnsi="宋体" w:cs="宋体"/>
                <w:color w:val="000000"/>
                <w:kern w:val="0"/>
              </w:rPr>
              <w:t>掌握化工热力学多组分流体计算、公式推导等专业知识。</w:t>
            </w:r>
          </w:p>
        </w:tc>
        <w:tc>
          <w:tcPr>
            <w:tcW w:w="3066" w:type="dxa"/>
            <w:shd w:val="clear" w:color="auto" w:fill="auto"/>
            <w:noWrap/>
            <w:vAlign w:val="center"/>
          </w:tcPr>
          <w:p>
            <w:pPr>
              <w:widowControl/>
              <w:rPr>
                <w:kern w:val="0"/>
                <w:szCs w:val="21"/>
              </w:rPr>
            </w:pPr>
            <w:r>
              <w:rPr>
                <w:b/>
                <w:szCs w:val="21"/>
              </w:rPr>
              <w:t>毕业要求1</w:t>
            </w:r>
            <w:r>
              <w:rPr>
                <w:rFonts w:hint="eastAsia"/>
                <w:b/>
                <w:szCs w:val="21"/>
              </w:rPr>
              <w:t xml:space="preserve"> </w:t>
            </w:r>
            <w:r>
              <w:rPr>
                <w:rFonts w:hint="eastAsia"/>
                <w:szCs w:val="21"/>
              </w:rPr>
              <w:t>工程知识：能够将数学、自然科学、工程基础和专业知识用于解决化工热力学工程问题。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38" w:type="dxa"/>
            <w:shd w:val="clear" w:color="auto" w:fill="auto"/>
            <w:noWrap/>
            <w:vAlign w:val="center"/>
          </w:tcPr>
          <w:p>
            <w:pPr>
              <w:widowControl/>
              <w:jc w:val="center"/>
              <w:rPr>
                <w:kern w:val="0"/>
                <w:szCs w:val="21"/>
              </w:rPr>
            </w:pPr>
            <w:r>
              <w:rPr>
                <w:kern w:val="0"/>
                <w:szCs w:val="21"/>
              </w:rPr>
              <w:t>2</w:t>
            </w:r>
          </w:p>
        </w:tc>
        <w:tc>
          <w:tcPr>
            <w:tcW w:w="3118" w:type="dxa"/>
            <w:shd w:val="clear" w:color="auto" w:fill="auto"/>
            <w:noWrap/>
            <w:vAlign w:val="center"/>
          </w:tcPr>
          <w:p>
            <w:pPr>
              <w:widowControl/>
              <w:rPr>
                <w:kern w:val="0"/>
                <w:szCs w:val="21"/>
              </w:rPr>
            </w:pPr>
            <w:r>
              <w:rPr>
                <w:b/>
                <w:kern w:val="0"/>
                <w:szCs w:val="21"/>
              </w:rPr>
              <w:t>目标2：</w:t>
            </w:r>
            <w:r>
              <w:rPr>
                <w:rFonts w:hint="eastAsia"/>
                <w:sz w:val="24"/>
              </w:rPr>
              <w:t>理解并掌握热力学性质和热力学原理的应用方法；获得对化工过程的相平衡和化学平衡问题进行过程条件分析与计算，解决工程实际问题的能力。</w:t>
            </w:r>
          </w:p>
        </w:tc>
        <w:tc>
          <w:tcPr>
            <w:tcW w:w="2292" w:type="dxa"/>
            <w:shd w:val="clear" w:color="auto" w:fill="auto"/>
            <w:noWrap/>
            <w:vAlign w:val="center"/>
          </w:tcPr>
          <w:p>
            <w:pPr>
              <w:widowControl/>
              <w:rPr>
                <w:kern w:val="0"/>
                <w:szCs w:val="21"/>
              </w:rPr>
            </w:pPr>
            <w:r>
              <w:rPr>
                <w:b/>
                <w:color w:val="000000"/>
                <w:kern w:val="0"/>
                <w:szCs w:val="21"/>
              </w:rPr>
              <w:t>观测点</w:t>
            </w:r>
            <w:r>
              <w:rPr>
                <w:b/>
                <w:szCs w:val="21"/>
              </w:rPr>
              <w:t>2</w:t>
            </w:r>
            <w:r>
              <w:rPr>
                <w:rFonts w:hint="eastAsia"/>
                <w:b/>
                <w:szCs w:val="21"/>
              </w:rPr>
              <w:t>-</w:t>
            </w:r>
            <w:r>
              <w:rPr>
                <w:rFonts w:hint="eastAsia"/>
                <w:b/>
                <w:szCs w:val="21"/>
                <w:lang w:val="en-US" w:eastAsia="zh-CN"/>
              </w:rPr>
              <w:t>3</w:t>
            </w:r>
            <w:r>
              <w:rPr>
                <w:szCs w:val="21"/>
              </w:rPr>
              <w:t>：</w:t>
            </w:r>
            <w:r>
              <w:rPr>
                <w:rFonts w:hint="eastAsia" w:ascii="宋体" w:hAnsi="宋体" w:cs="宋体"/>
                <w:color w:val="000000"/>
                <w:kern w:val="0"/>
              </w:rPr>
              <w:t>能运用化工热力学基本原理，分析化工热力学计算过程的影响因素，与实际过程相结合。</w:t>
            </w:r>
          </w:p>
        </w:tc>
        <w:tc>
          <w:tcPr>
            <w:tcW w:w="3066" w:type="dxa"/>
            <w:shd w:val="clear" w:color="auto" w:fill="auto"/>
            <w:noWrap/>
            <w:vAlign w:val="center"/>
          </w:tcPr>
          <w:p>
            <w:pPr>
              <w:widowControl/>
              <w:rPr>
                <w:kern w:val="0"/>
                <w:szCs w:val="21"/>
              </w:rPr>
            </w:pPr>
            <w:r>
              <w:rPr>
                <w:b/>
                <w:color w:val="000000"/>
                <w:kern w:val="0"/>
                <w:szCs w:val="21"/>
              </w:rPr>
              <w:t>毕业要求2</w:t>
            </w:r>
            <w:r>
              <w:rPr>
                <w:rFonts w:hint="eastAsia"/>
                <w:b/>
                <w:color w:val="000000"/>
                <w:kern w:val="0"/>
                <w:szCs w:val="21"/>
              </w:rPr>
              <w:t xml:space="preserve"> </w:t>
            </w:r>
            <w:r>
              <w:rPr>
                <w:rFonts w:hint="eastAsia" w:ascii="宋体" w:hAnsi="宋体" w:cs="宋体"/>
                <w:color w:val="000000"/>
                <w:kern w:val="0"/>
              </w:rPr>
              <w:t>问题分析：能够应用数学、自然科学和物理化学的基本原理，识别、表达、并通过文献研究分析</w:t>
            </w:r>
            <w:r>
              <w:rPr>
                <w:rFonts w:hint="eastAsia"/>
                <w:szCs w:val="21"/>
              </w:rPr>
              <w:t>化工热力学在</w:t>
            </w:r>
            <w:r>
              <w:rPr>
                <w:szCs w:val="21"/>
              </w:rPr>
              <w:t>工艺</w:t>
            </w:r>
            <w:r>
              <w:rPr>
                <w:rFonts w:hint="eastAsia"/>
                <w:szCs w:val="21"/>
              </w:rPr>
              <w:t>领域</w:t>
            </w:r>
            <w:r>
              <w:rPr>
                <w:rFonts w:hint="eastAsia" w:ascii="宋体" w:hAnsi="宋体" w:cs="宋体"/>
                <w:color w:val="000000"/>
                <w:kern w:val="0"/>
              </w:rPr>
              <w:t>复杂工程问题，以获得有效结论。</w:t>
            </w:r>
          </w:p>
        </w:tc>
      </w:tr>
    </w:tbl>
    <w:p>
      <w:pPr>
        <w:spacing w:line="360" w:lineRule="auto"/>
        <w:ind w:firstLine="472" w:firstLineChars="196"/>
        <w:rPr>
          <w:rFonts w:hint="eastAsia"/>
          <w:b/>
          <w:bCs/>
          <w:kern w:val="0"/>
          <w:sz w:val="24"/>
        </w:rPr>
      </w:pPr>
    </w:p>
    <w:p>
      <w:pPr>
        <w:spacing w:line="360" w:lineRule="auto"/>
        <w:rPr>
          <w:b/>
          <w:sz w:val="28"/>
          <w:szCs w:val="28"/>
        </w:rPr>
      </w:pPr>
      <w:r>
        <w:rPr>
          <w:b/>
          <w:sz w:val="28"/>
          <w:szCs w:val="28"/>
        </w:rPr>
        <w:t>三、</w:t>
      </w:r>
      <w:r>
        <w:rPr>
          <w:rFonts w:hint="eastAsia"/>
          <w:b/>
          <w:sz w:val="28"/>
          <w:szCs w:val="28"/>
        </w:rPr>
        <w:t>教学</w:t>
      </w:r>
      <w:r>
        <w:rPr>
          <w:b/>
          <w:sz w:val="28"/>
          <w:szCs w:val="28"/>
        </w:rPr>
        <w:t>内容及要求</w:t>
      </w:r>
    </w:p>
    <w:p>
      <w:pPr>
        <w:spacing w:line="360" w:lineRule="auto"/>
        <w:ind w:firstLine="480" w:firstLineChars="200"/>
        <w:rPr>
          <w:rFonts w:hint="eastAsia"/>
          <w:sz w:val="24"/>
        </w:rPr>
      </w:pPr>
    </w:p>
    <w:tbl>
      <w:tblPr>
        <w:tblStyle w:val="10"/>
        <w:tblW w:w="9060" w:type="dxa"/>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829"/>
        <w:gridCol w:w="1151"/>
        <w:gridCol w:w="2075"/>
        <w:gridCol w:w="851"/>
        <w:gridCol w:w="1417"/>
        <w:gridCol w:w="851"/>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587" w:type="dxa"/>
            <w:shd w:val="clear" w:color="auto" w:fill="FFFFFF"/>
            <w:noWrap w:val="0"/>
            <w:vAlign w:val="center"/>
          </w:tcPr>
          <w:p>
            <w:pPr>
              <w:jc w:val="center"/>
              <w:rPr>
                <w:bCs/>
                <w:szCs w:val="21"/>
              </w:rPr>
            </w:pPr>
            <w:r>
              <w:rPr>
                <w:bCs/>
                <w:szCs w:val="21"/>
              </w:rPr>
              <w:t>序号</w:t>
            </w:r>
          </w:p>
        </w:tc>
        <w:tc>
          <w:tcPr>
            <w:tcW w:w="1980" w:type="dxa"/>
            <w:gridSpan w:val="2"/>
            <w:shd w:val="clear" w:color="auto" w:fill="FFFFFF"/>
            <w:noWrap w:val="0"/>
            <w:vAlign w:val="center"/>
          </w:tcPr>
          <w:p>
            <w:pPr>
              <w:jc w:val="center"/>
              <w:rPr>
                <w:bCs/>
                <w:szCs w:val="21"/>
              </w:rPr>
            </w:pPr>
            <w:r>
              <w:rPr>
                <w:rFonts w:hint="eastAsia"/>
                <w:bCs/>
                <w:szCs w:val="21"/>
              </w:rPr>
              <w:t>教学内容</w:t>
            </w:r>
          </w:p>
        </w:tc>
        <w:tc>
          <w:tcPr>
            <w:tcW w:w="2075" w:type="dxa"/>
            <w:shd w:val="clear" w:color="auto" w:fill="FFFFFF"/>
            <w:noWrap w:val="0"/>
            <w:vAlign w:val="top"/>
          </w:tcPr>
          <w:p>
            <w:pPr>
              <w:spacing w:line="312" w:lineRule="auto"/>
              <w:jc w:val="center"/>
              <w:rPr>
                <w:rFonts w:hint="eastAsia"/>
                <w:bCs/>
                <w:szCs w:val="21"/>
              </w:rPr>
            </w:pPr>
          </w:p>
          <w:p>
            <w:pPr>
              <w:spacing w:line="312" w:lineRule="auto"/>
              <w:jc w:val="center"/>
              <w:rPr>
                <w:color w:val="000000"/>
                <w:szCs w:val="21"/>
              </w:rPr>
            </w:pPr>
            <w:r>
              <w:rPr>
                <w:rFonts w:hint="eastAsia"/>
                <w:bCs/>
                <w:szCs w:val="21"/>
              </w:rPr>
              <w:t>思政元素</w:t>
            </w:r>
          </w:p>
        </w:tc>
        <w:tc>
          <w:tcPr>
            <w:tcW w:w="851" w:type="dxa"/>
            <w:shd w:val="clear" w:color="auto" w:fill="FFFFFF"/>
            <w:noWrap w:val="0"/>
            <w:vAlign w:val="top"/>
          </w:tcPr>
          <w:p>
            <w:pPr>
              <w:spacing w:line="312" w:lineRule="auto"/>
              <w:jc w:val="center"/>
              <w:rPr>
                <w:rFonts w:hint="eastAsia"/>
                <w:color w:val="000000"/>
                <w:szCs w:val="21"/>
              </w:rPr>
            </w:pPr>
            <w:r>
              <w:rPr>
                <w:color w:val="000000"/>
                <w:szCs w:val="21"/>
              </w:rPr>
              <w:t>支撑</w:t>
            </w:r>
            <w:r>
              <w:rPr>
                <w:rFonts w:hint="eastAsia"/>
                <w:color w:val="000000"/>
                <w:szCs w:val="21"/>
              </w:rPr>
              <w:t>的</w:t>
            </w:r>
          </w:p>
          <w:p>
            <w:pPr>
              <w:spacing w:line="312" w:lineRule="auto"/>
              <w:jc w:val="center"/>
              <w:rPr>
                <w:bCs/>
                <w:szCs w:val="21"/>
              </w:rPr>
            </w:pPr>
            <w:r>
              <w:rPr>
                <w:color w:val="000000"/>
                <w:szCs w:val="21"/>
              </w:rPr>
              <w:t>课程目标</w:t>
            </w:r>
          </w:p>
        </w:tc>
        <w:tc>
          <w:tcPr>
            <w:tcW w:w="1417" w:type="dxa"/>
            <w:shd w:val="clear" w:color="auto" w:fill="FFFFFF"/>
            <w:noWrap w:val="0"/>
            <w:vAlign w:val="center"/>
          </w:tcPr>
          <w:p>
            <w:pPr>
              <w:spacing w:line="312" w:lineRule="auto"/>
              <w:jc w:val="center"/>
              <w:rPr>
                <w:bCs/>
                <w:szCs w:val="21"/>
              </w:rPr>
            </w:pPr>
            <w:r>
              <w:rPr>
                <w:color w:val="000000"/>
                <w:szCs w:val="21"/>
              </w:rPr>
              <w:t>支撑</w:t>
            </w:r>
            <w:r>
              <w:rPr>
                <w:rFonts w:hint="eastAsia"/>
                <w:color w:val="000000"/>
                <w:szCs w:val="21"/>
              </w:rPr>
              <w:t>的</w:t>
            </w:r>
            <w:r>
              <w:rPr>
                <w:color w:val="000000"/>
                <w:szCs w:val="21"/>
              </w:rPr>
              <w:t>毕业要求指标点</w:t>
            </w:r>
          </w:p>
        </w:tc>
        <w:tc>
          <w:tcPr>
            <w:tcW w:w="851" w:type="dxa"/>
            <w:shd w:val="clear" w:color="auto" w:fill="FFFFFF"/>
            <w:noWrap w:val="0"/>
            <w:vAlign w:val="center"/>
          </w:tcPr>
          <w:p>
            <w:pPr>
              <w:spacing w:line="312" w:lineRule="auto"/>
              <w:jc w:val="center"/>
              <w:rPr>
                <w:bCs/>
                <w:szCs w:val="21"/>
              </w:rPr>
            </w:pPr>
            <w:r>
              <w:rPr>
                <w:color w:val="000000"/>
                <w:szCs w:val="21"/>
              </w:rPr>
              <w:t>讲</w:t>
            </w:r>
            <w:r>
              <w:rPr>
                <w:rFonts w:hint="eastAsia"/>
                <w:color w:val="000000"/>
                <w:szCs w:val="21"/>
              </w:rPr>
              <w:t>授</w:t>
            </w:r>
            <w:r>
              <w:rPr>
                <w:color w:val="000000"/>
                <w:szCs w:val="21"/>
              </w:rPr>
              <w:t>学时</w:t>
            </w:r>
          </w:p>
        </w:tc>
        <w:tc>
          <w:tcPr>
            <w:tcW w:w="1299" w:type="dxa"/>
            <w:shd w:val="clear" w:color="auto" w:fill="FFFFFF"/>
            <w:noWrap w:val="0"/>
            <w:vAlign w:val="center"/>
          </w:tcPr>
          <w:p>
            <w:pPr>
              <w:spacing w:line="312" w:lineRule="auto"/>
              <w:jc w:val="center"/>
              <w:rPr>
                <w:bCs/>
                <w:szCs w:val="21"/>
              </w:rPr>
            </w:pPr>
            <w:r>
              <w:rPr>
                <w:color w:val="000000"/>
                <w:szCs w:val="21"/>
              </w:rPr>
              <w:t>实验学时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587" w:type="dxa"/>
            <w:noWrap w:val="0"/>
            <w:vAlign w:val="center"/>
          </w:tcPr>
          <w:p>
            <w:pPr>
              <w:rPr>
                <w:szCs w:val="21"/>
              </w:rPr>
            </w:pPr>
            <w:r>
              <w:rPr>
                <w:szCs w:val="21"/>
              </w:rPr>
              <w:t>1</w:t>
            </w:r>
          </w:p>
        </w:tc>
        <w:tc>
          <w:tcPr>
            <w:tcW w:w="1980" w:type="dxa"/>
            <w:gridSpan w:val="2"/>
            <w:noWrap w:val="0"/>
            <w:vAlign w:val="top"/>
          </w:tcPr>
          <w:p>
            <w:pPr>
              <w:rPr>
                <w:szCs w:val="21"/>
              </w:rPr>
            </w:pPr>
            <w:r>
              <w:rPr>
                <w:szCs w:val="21"/>
              </w:rPr>
              <w:t>绪论</w:t>
            </w:r>
          </w:p>
        </w:tc>
        <w:tc>
          <w:tcPr>
            <w:tcW w:w="2075" w:type="dxa"/>
            <w:noWrap w:val="0"/>
            <w:vAlign w:val="center"/>
          </w:tcPr>
          <w:p>
            <w:pPr>
              <w:spacing w:line="312" w:lineRule="auto"/>
              <w:jc w:val="center"/>
              <w:rPr>
                <w:color w:val="000000"/>
                <w:szCs w:val="21"/>
              </w:rPr>
            </w:pPr>
            <w:r>
              <w:rPr>
                <w:rFonts w:hint="eastAsia"/>
                <w:kern w:val="0"/>
                <w:szCs w:val="21"/>
              </w:rPr>
              <w:t>立足于现有科技水平与成果，培养全局观念与理论联系实际的科学观。</w:t>
            </w:r>
          </w:p>
        </w:tc>
        <w:tc>
          <w:tcPr>
            <w:tcW w:w="851" w:type="dxa"/>
            <w:noWrap w:val="0"/>
            <w:vAlign w:val="center"/>
          </w:tcPr>
          <w:p>
            <w:pPr>
              <w:spacing w:line="312" w:lineRule="auto"/>
              <w:jc w:val="center"/>
              <w:rPr>
                <w:szCs w:val="21"/>
              </w:rPr>
            </w:pPr>
            <w:r>
              <w:rPr>
                <w:color w:val="000000"/>
                <w:szCs w:val="21"/>
              </w:rPr>
              <w:t>目标1</w:t>
            </w:r>
          </w:p>
        </w:tc>
        <w:tc>
          <w:tcPr>
            <w:tcW w:w="1417" w:type="dxa"/>
            <w:noWrap w:val="0"/>
            <w:vAlign w:val="center"/>
          </w:tcPr>
          <w:p>
            <w:pPr>
              <w:spacing w:line="312" w:lineRule="auto"/>
              <w:jc w:val="center"/>
              <w:rPr>
                <w:szCs w:val="21"/>
              </w:rPr>
            </w:pPr>
            <w:r>
              <w:rPr>
                <w:color w:val="000000"/>
                <w:szCs w:val="21"/>
              </w:rPr>
              <w:t>1-3</w:t>
            </w:r>
          </w:p>
        </w:tc>
        <w:tc>
          <w:tcPr>
            <w:tcW w:w="851" w:type="dxa"/>
            <w:noWrap w:val="0"/>
            <w:vAlign w:val="center"/>
          </w:tcPr>
          <w:p>
            <w:pPr>
              <w:spacing w:line="312" w:lineRule="auto"/>
              <w:jc w:val="center"/>
              <w:rPr>
                <w:color w:val="000000"/>
                <w:szCs w:val="21"/>
              </w:rPr>
            </w:pPr>
            <w:r>
              <w:rPr>
                <w:color w:val="000000"/>
                <w:szCs w:val="21"/>
              </w:rPr>
              <w:t>2</w:t>
            </w:r>
          </w:p>
        </w:tc>
        <w:tc>
          <w:tcPr>
            <w:tcW w:w="1299" w:type="dxa"/>
            <w:noWrap w:val="0"/>
            <w:vAlign w:val="center"/>
          </w:tcPr>
          <w:p>
            <w:pPr>
              <w:spacing w:line="312" w:lineRule="auto"/>
              <w:jc w:val="center"/>
              <w:rPr>
                <w:szCs w:val="21"/>
              </w:rPr>
            </w:pPr>
            <w:r>
              <w:rPr>
                <w:rFonts w:hint="eastAsia"/>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587" w:type="dxa"/>
            <w:noWrap w:val="0"/>
            <w:vAlign w:val="center"/>
          </w:tcPr>
          <w:p>
            <w:pPr>
              <w:rPr>
                <w:szCs w:val="21"/>
              </w:rPr>
            </w:pPr>
            <w:r>
              <w:rPr>
                <w:szCs w:val="21"/>
              </w:rPr>
              <w:t>2</w:t>
            </w:r>
          </w:p>
        </w:tc>
        <w:tc>
          <w:tcPr>
            <w:tcW w:w="1980" w:type="dxa"/>
            <w:gridSpan w:val="2"/>
            <w:noWrap w:val="0"/>
            <w:vAlign w:val="top"/>
          </w:tcPr>
          <w:p>
            <w:pPr>
              <w:rPr>
                <w:szCs w:val="21"/>
              </w:rPr>
            </w:pPr>
            <w:r>
              <w:rPr>
                <w:szCs w:val="21"/>
              </w:rPr>
              <w:t>流体的P-V-T关系</w:t>
            </w:r>
          </w:p>
        </w:tc>
        <w:tc>
          <w:tcPr>
            <w:tcW w:w="2075" w:type="dxa"/>
            <w:noWrap w:val="0"/>
            <w:vAlign w:val="top"/>
          </w:tcPr>
          <w:p>
            <w:pPr>
              <w:spacing w:line="312" w:lineRule="auto"/>
              <w:jc w:val="center"/>
              <w:rPr>
                <w:color w:val="000000"/>
                <w:szCs w:val="21"/>
              </w:rPr>
            </w:pPr>
            <w:r>
              <w:rPr>
                <w:rFonts w:hint="eastAsia"/>
                <w:szCs w:val="21"/>
              </w:rPr>
              <w:t>创新是引领发展的第一动力，坚持改进创新的基本原则，培养学生创新精神。</w:t>
            </w:r>
          </w:p>
        </w:tc>
        <w:tc>
          <w:tcPr>
            <w:tcW w:w="851" w:type="dxa"/>
            <w:noWrap w:val="0"/>
            <w:vAlign w:val="center"/>
          </w:tcPr>
          <w:p>
            <w:pPr>
              <w:spacing w:line="312" w:lineRule="auto"/>
              <w:jc w:val="center"/>
              <w:rPr>
                <w:szCs w:val="21"/>
              </w:rPr>
            </w:pPr>
            <w:r>
              <w:rPr>
                <w:color w:val="000000"/>
                <w:szCs w:val="21"/>
              </w:rPr>
              <w:t>目标1</w:t>
            </w:r>
          </w:p>
        </w:tc>
        <w:tc>
          <w:tcPr>
            <w:tcW w:w="1417" w:type="dxa"/>
            <w:noWrap w:val="0"/>
            <w:vAlign w:val="center"/>
          </w:tcPr>
          <w:p>
            <w:pPr>
              <w:spacing w:line="312" w:lineRule="auto"/>
              <w:jc w:val="center"/>
              <w:rPr>
                <w:rFonts w:hint="eastAsia"/>
                <w:szCs w:val="21"/>
              </w:rPr>
            </w:pPr>
            <w:r>
              <w:rPr>
                <w:color w:val="000000"/>
                <w:szCs w:val="21"/>
              </w:rPr>
              <w:t>1-3</w:t>
            </w:r>
          </w:p>
        </w:tc>
        <w:tc>
          <w:tcPr>
            <w:tcW w:w="851" w:type="dxa"/>
            <w:noWrap w:val="0"/>
            <w:vAlign w:val="center"/>
          </w:tcPr>
          <w:p>
            <w:pPr>
              <w:spacing w:line="312" w:lineRule="auto"/>
              <w:jc w:val="center"/>
              <w:rPr>
                <w:color w:val="000000"/>
                <w:szCs w:val="21"/>
              </w:rPr>
            </w:pPr>
            <w:r>
              <w:rPr>
                <w:rFonts w:hint="eastAsia"/>
                <w:color w:val="000000"/>
                <w:szCs w:val="21"/>
              </w:rPr>
              <w:t>6</w:t>
            </w:r>
          </w:p>
        </w:tc>
        <w:tc>
          <w:tcPr>
            <w:tcW w:w="1299" w:type="dxa"/>
            <w:noWrap w:val="0"/>
            <w:vAlign w:val="center"/>
          </w:tcPr>
          <w:p>
            <w:pPr>
              <w:spacing w:line="312" w:lineRule="auto"/>
              <w:jc w:val="center"/>
              <w:rPr>
                <w:szCs w:val="21"/>
              </w:rPr>
            </w:pPr>
            <w:r>
              <w:rPr>
                <w:rFonts w:hint="eastAsia"/>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587" w:type="dxa"/>
            <w:noWrap w:val="0"/>
            <w:vAlign w:val="center"/>
          </w:tcPr>
          <w:p>
            <w:pPr>
              <w:rPr>
                <w:szCs w:val="21"/>
              </w:rPr>
            </w:pPr>
            <w:r>
              <w:rPr>
                <w:szCs w:val="21"/>
              </w:rPr>
              <w:t>3</w:t>
            </w:r>
          </w:p>
        </w:tc>
        <w:tc>
          <w:tcPr>
            <w:tcW w:w="1980" w:type="dxa"/>
            <w:gridSpan w:val="2"/>
            <w:noWrap w:val="0"/>
            <w:vAlign w:val="top"/>
          </w:tcPr>
          <w:p>
            <w:pPr>
              <w:rPr>
                <w:szCs w:val="21"/>
              </w:rPr>
            </w:pPr>
            <w:r>
              <w:rPr>
                <w:szCs w:val="21"/>
              </w:rPr>
              <w:t>纯流体的热力学性质</w:t>
            </w:r>
          </w:p>
        </w:tc>
        <w:tc>
          <w:tcPr>
            <w:tcW w:w="2075" w:type="dxa"/>
            <w:noWrap w:val="0"/>
            <w:vAlign w:val="top"/>
          </w:tcPr>
          <w:p>
            <w:pPr>
              <w:spacing w:line="312" w:lineRule="auto"/>
              <w:jc w:val="center"/>
              <w:rPr>
                <w:color w:val="000000"/>
                <w:szCs w:val="21"/>
              </w:rPr>
            </w:pPr>
            <w:r>
              <w:rPr>
                <w:rFonts w:hint="eastAsia"/>
                <w:szCs w:val="21"/>
              </w:rPr>
              <w:t>创新是引领发展的第一动力，坚持改进创新的基本原则，培养学生创新精神。</w:t>
            </w:r>
          </w:p>
        </w:tc>
        <w:tc>
          <w:tcPr>
            <w:tcW w:w="851" w:type="dxa"/>
            <w:noWrap w:val="0"/>
            <w:vAlign w:val="center"/>
          </w:tcPr>
          <w:p>
            <w:pPr>
              <w:spacing w:line="312" w:lineRule="auto"/>
              <w:jc w:val="center"/>
              <w:rPr>
                <w:rFonts w:hint="eastAsia"/>
                <w:szCs w:val="21"/>
              </w:rPr>
            </w:pPr>
            <w:r>
              <w:rPr>
                <w:color w:val="000000"/>
                <w:szCs w:val="21"/>
              </w:rPr>
              <w:t>目标</w:t>
            </w:r>
            <w:r>
              <w:rPr>
                <w:rFonts w:hint="eastAsia"/>
                <w:color w:val="000000"/>
                <w:szCs w:val="21"/>
              </w:rPr>
              <w:t>1</w:t>
            </w:r>
          </w:p>
        </w:tc>
        <w:tc>
          <w:tcPr>
            <w:tcW w:w="1417" w:type="dxa"/>
            <w:noWrap w:val="0"/>
            <w:vAlign w:val="center"/>
          </w:tcPr>
          <w:p>
            <w:pPr>
              <w:spacing w:line="312" w:lineRule="auto"/>
              <w:jc w:val="center"/>
              <w:rPr>
                <w:rFonts w:hint="eastAsia"/>
                <w:szCs w:val="21"/>
              </w:rPr>
            </w:pPr>
            <w:r>
              <w:rPr>
                <w:color w:val="000000"/>
                <w:szCs w:val="21"/>
              </w:rPr>
              <w:t>1-3</w:t>
            </w:r>
          </w:p>
        </w:tc>
        <w:tc>
          <w:tcPr>
            <w:tcW w:w="851" w:type="dxa"/>
            <w:noWrap w:val="0"/>
            <w:vAlign w:val="center"/>
          </w:tcPr>
          <w:p>
            <w:pPr>
              <w:spacing w:line="312" w:lineRule="auto"/>
              <w:jc w:val="center"/>
              <w:rPr>
                <w:color w:val="000000"/>
                <w:szCs w:val="21"/>
              </w:rPr>
            </w:pPr>
            <w:r>
              <w:rPr>
                <w:rFonts w:hint="eastAsia"/>
                <w:color w:val="000000"/>
                <w:szCs w:val="21"/>
              </w:rPr>
              <w:t>6</w:t>
            </w:r>
          </w:p>
        </w:tc>
        <w:tc>
          <w:tcPr>
            <w:tcW w:w="1299" w:type="dxa"/>
            <w:noWrap w:val="0"/>
            <w:vAlign w:val="center"/>
          </w:tcPr>
          <w:p>
            <w:pPr>
              <w:spacing w:line="312" w:lineRule="auto"/>
              <w:jc w:val="center"/>
              <w:rPr>
                <w:rFonts w:hint="eastAsia"/>
                <w:szCs w:val="21"/>
              </w:rPr>
            </w:pPr>
            <w:r>
              <w:rPr>
                <w:rFonts w:hint="eastAsia"/>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587" w:type="dxa"/>
            <w:noWrap w:val="0"/>
            <w:vAlign w:val="center"/>
          </w:tcPr>
          <w:p>
            <w:pPr>
              <w:rPr>
                <w:szCs w:val="21"/>
              </w:rPr>
            </w:pPr>
            <w:r>
              <w:rPr>
                <w:szCs w:val="21"/>
              </w:rPr>
              <w:t>4</w:t>
            </w:r>
          </w:p>
        </w:tc>
        <w:tc>
          <w:tcPr>
            <w:tcW w:w="1980" w:type="dxa"/>
            <w:gridSpan w:val="2"/>
            <w:noWrap w:val="0"/>
            <w:vAlign w:val="top"/>
          </w:tcPr>
          <w:p>
            <w:pPr>
              <w:rPr>
                <w:szCs w:val="21"/>
              </w:rPr>
            </w:pPr>
            <w:r>
              <w:rPr>
                <w:szCs w:val="21"/>
              </w:rPr>
              <w:t>流体混合物的热力学性质</w:t>
            </w:r>
          </w:p>
        </w:tc>
        <w:tc>
          <w:tcPr>
            <w:tcW w:w="2075" w:type="dxa"/>
            <w:noWrap w:val="0"/>
            <w:vAlign w:val="top"/>
          </w:tcPr>
          <w:p>
            <w:pPr>
              <w:spacing w:line="312" w:lineRule="auto"/>
              <w:jc w:val="center"/>
              <w:rPr>
                <w:color w:val="000000"/>
                <w:szCs w:val="21"/>
              </w:rPr>
            </w:pPr>
            <w:r>
              <w:rPr>
                <w:rFonts w:hint="eastAsia"/>
                <w:szCs w:val="21"/>
              </w:rPr>
              <w:t>创新是引领发展的第一动力，坚持改进创新的基本原则，培养学生创新精神。</w:t>
            </w:r>
          </w:p>
        </w:tc>
        <w:tc>
          <w:tcPr>
            <w:tcW w:w="851" w:type="dxa"/>
            <w:noWrap w:val="0"/>
            <w:vAlign w:val="center"/>
          </w:tcPr>
          <w:p>
            <w:pPr>
              <w:spacing w:line="312" w:lineRule="auto"/>
              <w:jc w:val="center"/>
              <w:rPr>
                <w:rFonts w:hint="eastAsia"/>
                <w:szCs w:val="21"/>
              </w:rPr>
            </w:pPr>
            <w:r>
              <w:rPr>
                <w:color w:val="000000"/>
                <w:szCs w:val="21"/>
              </w:rPr>
              <w:t>目标</w:t>
            </w:r>
            <w:r>
              <w:rPr>
                <w:rFonts w:hint="eastAsia"/>
                <w:color w:val="000000"/>
                <w:szCs w:val="21"/>
              </w:rPr>
              <w:t>1、2</w:t>
            </w:r>
          </w:p>
        </w:tc>
        <w:tc>
          <w:tcPr>
            <w:tcW w:w="1417" w:type="dxa"/>
            <w:noWrap w:val="0"/>
            <w:vAlign w:val="center"/>
          </w:tcPr>
          <w:p>
            <w:pPr>
              <w:spacing w:line="312" w:lineRule="auto"/>
              <w:jc w:val="center"/>
              <w:rPr>
                <w:szCs w:val="21"/>
              </w:rPr>
            </w:pPr>
            <w:r>
              <w:rPr>
                <w:color w:val="000000"/>
                <w:szCs w:val="21"/>
              </w:rPr>
              <w:t>1-3</w:t>
            </w:r>
          </w:p>
        </w:tc>
        <w:tc>
          <w:tcPr>
            <w:tcW w:w="851" w:type="dxa"/>
            <w:noWrap w:val="0"/>
            <w:vAlign w:val="center"/>
          </w:tcPr>
          <w:p>
            <w:pPr>
              <w:spacing w:line="312" w:lineRule="auto"/>
              <w:jc w:val="center"/>
              <w:rPr>
                <w:color w:val="000000"/>
                <w:szCs w:val="21"/>
              </w:rPr>
            </w:pPr>
            <w:r>
              <w:rPr>
                <w:rFonts w:hint="eastAsia"/>
                <w:color w:val="000000"/>
                <w:szCs w:val="21"/>
              </w:rPr>
              <w:t>6</w:t>
            </w:r>
          </w:p>
        </w:tc>
        <w:tc>
          <w:tcPr>
            <w:tcW w:w="1299" w:type="dxa"/>
            <w:noWrap w:val="0"/>
            <w:vAlign w:val="center"/>
          </w:tcPr>
          <w:p>
            <w:pPr>
              <w:spacing w:line="312" w:lineRule="auto"/>
              <w:jc w:val="center"/>
              <w:rPr>
                <w:szCs w:val="21"/>
              </w:rPr>
            </w:pPr>
            <w:r>
              <w:rPr>
                <w:rFonts w:hint="eastAsia"/>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587" w:type="dxa"/>
            <w:noWrap w:val="0"/>
            <w:vAlign w:val="center"/>
          </w:tcPr>
          <w:p>
            <w:pPr>
              <w:rPr>
                <w:szCs w:val="21"/>
              </w:rPr>
            </w:pPr>
            <w:r>
              <w:rPr>
                <w:szCs w:val="21"/>
              </w:rPr>
              <w:t>5</w:t>
            </w:r>
          </w:p>
        </w:tc>
        <w:tc>
          <w:tcPr>
            <w:tcW w:w="1980" w:type="dxa"/>
            <w:gridSpan w:val="2"/>
            <w:noWrap w:val="0"/>
            <w:vAlign w:val="top"/>
          </w:tcPr>
          <w:p>
            <w:pPr>
              <w:rPr>
                <w:szCs w:val="21"/>
              </w:rPr>
            </w:pPr>
            <w:r>
              <w:rPr>
                <w:szCs w:val="21"/>
              </w:rPr>
              <w:t>相平衡</w:t>
            </w:r>
          </w:p>
        </w:tc>
        <w:tc>
          <w:tcPr>
            <w:tcW w:w="2075" w:type="dxa"/>
            <w:noWrap w:val="0"/>
            <w:vAlign w:val="top"/>
          </w:tcPr>
          <w:p>
            <w:pPr>
              <w:spacing w:line="312" w:lineRule="auto"/>
              <w:jc w:val="center"/>
              <w:rPr>
                <w:color w:val="000000"/>
                <w:szCs w:val="21"/>
              </w:rPr>
            </w:pPr>
            <w:r>
              <w:rPr>
                <w:rFonts w:hint="eastAsia"/>
                <w:szCs w:val="21"/>
              </w:rPr>
              <w:t>创新是引领发展的第一动力，坚持改进创新的基本原则，培养学生创新精神。</w:t>
            </w:r>
          </w:p>
        </w:tc>
        <w:tc>
          <w:tcPr>
            <w:tcW w:w="851" w:type="dxa"/>
            <w:noWrap w:val="0"/>
            <w:vAlign w:val="center"/>
          </w:tcPr>
          <w:p>
            <w:pPr>
              <w:spacing w:line="312" w:lineRule="auto"/>
              <w:jc w:val="center"/>
              <w:rPr>
                <w:rFonts w:hint="eastAsia"/>
                <w:szCs w:val="21"/>
              </w:rPr>
            </w:pPr>
            <w:r>
              <w:rPr>
                <w:color w:val="000000"/>
                <w:szCs w:val="21"/>
              </w:rPr>
              <w:t>目标</w:t>
            </w:r>
            <w:r>
              <w:rPr>
                <w:rFonts w:hint="eastAsia"/>
                <w:color w:val="000000"/>
                <w:szCs w:val="21"/>
              </w:rPr>
              <w:t>1、2</w:t>
            </w:r>
          </w:p>
        </w:tc>
        <w:tc>
          <w:tcPr>
            <w:tcW w:w="1417" w:type="dxa"/>
            <w:noWrap w:val="0"/>
            <w:vAlign w:val="center"/>
          </w:tcPr>
          <w:p>
            <w:pPr>
              <w:spacing w:line="312" w:lineRule="auto"/>
              <w:jc w:val="center"/>
              <w:rPr>
                <w:szCs w:val="21"/>
              </w:rPr>
            </w:pPr>
            <w:r>
              <w:rPr>
                <w:color w:val="000000"/>
                <w:szCs w:val="21"/>
              </w:rPr>
              <w:t>1-3</w:t>
            </w:r>
          </w:p>
        </w:tc>
        <w:tc>
          <w:tcPr>
            <w:tcW w:w="851" w:type="dxa"/>
            <w:noWrap w:val="0"/>
            <w:vAlign w:val="center"/>
          </w:tcPr>
          <w:p>
            <w:pPr>
              <w:spacing w:line="312" w:lineRule="auto"/>
              <w:jc w:val="center"/>
              <w:rPr>
                <w:color w:val="000000"/>
                <w:szCs w:val="21"/>
              </w:rPr>
            </w:pPr>
            <w:r>
              <w:rPr>
                <w:rFonts w:hint="eastAsia"/>
                <w:color w:val="000000"/>
                <w:szCs w:val="21"/>
              </w:rPr>
              <w:t>6</w:t>
            </w:r>
          </w:p>
        </w:tc>
        <w:tc>
          <w:tcPr>
            <w:tcW w:w="1299" w:type="dxa"/>
            <w:noWrap w:val="0"/>
            <w:vAlign w:val="center"/>
          </w:tcPr>
          <w:p>
            <w:pPr>
              <w:spacing w:line="312" w:lineRule="auto"/>
              <w:jc w:val="center"/>
              <w:rPr>
                <w:szCs w:val="21"/>
              </w:rPr>
            </w:pPr>
            <w:r>
              <w:rPr>
                <w:rFonts w:hint="eastAsia"/>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587" w:type="dxa"/>
            <w:noWrap w:val="0"/>
            <w:vAlign w:val="center"/>
          </w:tcPr>
          <w:p>
            <w:pPr>
              <w:rPr>
                <w:szCs w:val="21"/>
              </w:rPr>
            </w:pPr>
            <w:r>
              <w:rPr>
                <w:szCs w:val="21"/>
              </w:rPr>
              <w:t>6</w:t>
            </w:r>
          </w:p>
        </w:tc>
        <w:tc>
          <w:tcPr>
            <w:tcW w:w="1980" w:type="dxa"/>
            <w:gridSpan w:val="2"/>
            <w:noWrap w:val="0"/>
            <w:vAlign w:val="top"/>
          </w:tcPr>
          <w:p>
            <w:pPr>
              <w:rPr>
                <w:szCs w:val="21"/>
              </w:rPr>
            </w:pPr>
            <w:r>
              <w:rPr>
                <w:szCs w:val="21"/>
              </w:rPr>
              <w:t>化工过程的能量分析</w:t>
            </w:r>
          </w:p>
        </w:tc>
        <w:tc>
          <w:tcPr>
            <w:tcW w:w="2075" w:type="dxa"/>
            <w:noWrap w:val="0"/>
            <w:vAlign w:val="top"/>
          </w:tcPr>
          <w:p>
            <w:pPr>
              <w:spacing w:line="312" w:lineRule="auto"/>
              <w:jc w:val="center"/>
              <w:rPr>
                <w:color w:val="000000"/>
                <w:szCs w:val="21"/>
              </w:rPr>
            </w:pPr>
            <w:r>
              <w:rPr>
                <w:rFonts w:hint="eastAsia"/>
                <w:szCs w:val="21"/>
              </w:rPr>
              <w:t>创新是引领发展的第一动力，坚持改进创新的基本原则，培养学生创新精神。</w:t>
            </w:r>
          </w:p>
        </w:tc>
        <w:tc>
          <w:tcPr>
            <w:tcW w:w="851" w:type="dxa"/>
            <w:noWrap w:val="0"/>
            <w:vAlign w:val="center"/>
          </w:tcPr>
          <w:p>
            <w:pPr>
              <w:spacing w:line="312" w:lineRule="auto"/>
              <w:jc w:val="center"/>
              <w:rPr>
                <w:rFonts w:hint="eastAsia"/>
                <w:szCs w:val="21"/>
              </w:rPr>
            </w:pPr>
            <w:r>
              <w:rPr>
                <w:color w:val="000000"/>
                <w:szCs w:val="21"/>
              </w:rPr>
              <w:t>目</w:t>
            </w:r>
            <w:r>
              <w:rPr>
                <w:rFonts w:hint="eastAsia"/>
                <w:color w:val="000000"/>
                <w:szCs w:val="21"/>
              </w:rPr>
              <w:t>1、2</w:t>
            </w:r>
          </w:p>
        </w:tc>
        <w:tc>
          <w:tcPr>
            <w:tcW w:w="1417" w:type="dxa"/>
            <w:noWrap w:val="0"/>
            <w:vAlign w:val="center"/>
          </w:tcPr>
          <w:p>
            <w:pPr>
              <w:spacing w:line="312" w:lineRule="auto"/>
              <w:jc w:val="center"/>
              <w:rPr>
                <w:szCs w:val="21"/>
              </w:rPr>
            </w:pPr>
            <w:r>
              <w:rPr>
                <w:rFonts w:hint="eastAsia"/>
                <w:color w:val="000000"/>
                <w:szCs w:val="21"/>
              </w:rPr>
              <w:t>2-3</w:t>
            </w:r>
          </w:p>
        </w:tc>
        <w:tc>
          <w:tcPr>
            <w:tcW w:w="851" w:type="dxa"/>
            <w:noWrap w:val="0"/>
            <w:vAlign w:val="center"/>
          </w:tcPr>
          <w:p>
            <w:pPr>
              <w:spacing w:line="312" w:lineRule="auto"/>
              <w:jc w:val="center"/>
              <w:rPr>
                <w:color w:val="000000"/>
                <w:szCs w:val="21"/>
              </w:rPr>
            </w:pPr>
            <w:r>
              <w:rPr>
                <w:color w:val="000000"/>
                <w:szCs w:val="21"/>
              </w:rPr>
              <w:t>8</w:t>
            </w:r>
          </w:p>
        </w:tc>
        <w:tc>
          <w:tcPr>
            <w:tcW w:w="1299" w:type="dxa"/>
            <w:noWrap w:val="0"/>
            <w:vAlign w:val="center"/>
          </w:tcPr>
          <w:p>
            <w:pPr>
              <w:spacing w:line="312" w:lineRule="auto"/>
              <w:jc w:val="center"/>
              <w:rPr>
                <w:szCs w:val="21"/>
              </w:rPr>
            </w:pPr>
            <w:r>
              <w:rPr>
                <w:rFonts w:hint="eastAsia"/>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587" w:type="dxa"/>
            <w:noWrap w:val="0"/>
            <w:vAlign w:val="center"/>
          </w:tcPr>
          <w:p>
            <w:pPr>
              <w:rPr>
                <w:szCs w:val="21"/>
              </w:rPr>
            </w:pPr>
            <w:r>
              <w:rPr>
                <w:szCs w:val="21"/>
              </w:rPr>
              <w:t>7</w:t>
            </w:r>
          </w:p>
        </w:tc>
        <w:tc>
          <w:tcPr>
            <w:tcW w:w="1980" w:type="dxa"/>
            <w:gridSpan w:val="2"/>
            <w:noWrap w:val="0"/>
            <w:vAlign w:val="top"/>
          </w:tcPr>
          <w:p>
            <w:pPr>
              <w:rPr>
                <w:szCs w:val="21"/>
              </w:rPr>
            </w:pPr>
            <w:r>
              <w:rPr>
                <w:szCs w:val="21"/>
              </w:rPr>
              <w:t>蒸汽动力循环与制冷循环</w:t>
            </w:r>
          </w:p>
        </w:tc>
        <w:tc>
          <w:tcPr>
            <w:tcW w:w="2075" w:type="dxa"/>
            <w:noWrap w:val="0"/>
            <w:vAlign w:val="top"/>
          </w:tcPr>
          <w:p>
            <w:pPr>
              <w:spacing w:line="312" w:lineRule="auto"/>
              <w:jc w:val="center"/>
              <w:rPr>
                <w:color w:val="000000"/>
                <w:szCs w:val="21"/>
              </w:rPr>
            </w:pPr>
            <w:r>
              <w:rPr>
                <w:rFonts w:hint="eastAsia"/>
                <w:szCs w:val="21"/>
              </w:rPr>
              <w:t>创新是引领发展的第一动力，坚持改进创新的基本原则，培养学生创新精神。</w:t>
            </w:r>
          </w:p>
        </w:tc>
        <w:tc>
          <w:tcPr>
            <w:tcW w:w="851" w:type="dxa"/>
            <w:noWrap w:val="0"/>
            <w:vAlign w:val="top"/>
          </w:tcPr>
          <w:p>
            <w:pPr>
              <w:spacing w:line="312" w:lineRule="auto"/>
              <w:jc w:val="center"/>
              <w:rPr>
                <w:rFonts w:hint="eastAsia"/>
                <w:szCs w:val="21"/>
              </w:rPr>
            </w:pPr>
            <w:r>
              <w:rPr>
                <w:color w:val="000000"/>
                <w:szCs w:val="21"/>
              </w:rPr>
              <w:t>目标</w:t>
            </w:r>
            <w:r>
              <w:rPr>
                <w:rFonts w:hint="eastAsia"/>
                <w:color w:val="000000"/>
                <w:szCs w:val="21"/>
              </w:rPr>
              <w:t>1、2</w:t>
            </w:r>
          </w:p>
        </w:tc>
        <w:tc>
          <w:tcPr>
            <w:tcW w:w="1417" w:type="dxa"/>
            <w:noWrap w:val="0"/>
            <w:vAlign w:val="center"/>
          </w:tcPr>
          <w:p>
            <w:pPr>
              <w:spacing w:line="312" w:lineRule="auto"/>
              <w:jc w:val="center"/>
              <w:rPr>
                <w:rFonts w:hint="eastAsia"/>
                <w:szCs w:val="21"/>
              </w:rPr>
            </w:pPr>
            <w:r>
              <w:rPr>
                <w:rFonts w:hint="eastAsia"/>
                <w:color w:val="000000"/>
                <w:szCs w:val="21"/>
              </w:rPr>
              <w:t>2-3</w:t>
            </w:r>
          </w:p>
        </w:tc>
        <w:tc>
          <w:tcPr>
            <w:tcW w:w="851" w:type="dxa"/>
            <w:noWrap w:val="0"/>
            <w:vAlign w:val="center"/>
          </w:tcPr>
          <w:p>
            <w:pPr>
              <w:spacing w:line="312" w:lineRule="auto"/>
              <w:jc w:val="center"/>
              <w:rPr>
                <w:color w:val="000000"/>
                <w:szCs w:val="21"/>
              </w:rPr>
            </w:pPr>
            <w:r>
              <w:rPr>
                <w:rFonts w:hint="eastAsia"/>
                <w:color w:val="000000"/>
                <w:szCs w:val="21"/>
              </w:rPr>
              <w:t>8</w:t>
            </w:r>
          </w:p>
        </w:tc>
        <w:tc>
          <w:tcPr>
            <w:tcW w:w="1299" w:type="dxa"/>
            <w:noWrap w:val="0"/>
            <w:vAlign w:val="center"/>
          </w:tcPr>
          <w:p>
            <w:pPr>
              <w:spacing w:line="312" w:lineRule="auto"/>
              <w:jc w:val="center"/>
              <w:rPr>
                <w:rFonts w:hint="eastAsia"/>
                <w:szCs w:val="21"/>
              </w:rPr>
            </w:pPr>
            <w:r>
              <w:rPr>
                <w:rFonts w:hint="eastAsia"/>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587" w:type="dxa"/>
            <w:noWrap w:val="0"/>
            <w:vAlign w:val="center"/>
          </w:tcPr>
          <w:p>
            <w:pPr>
              <w:rPr>
                <w:szCs w:val="21"/>
              </w:rPr>
            </w:pPr>
            <w:r>
              <w:rPr>
                <w:szCs w:val="21"/>
              </w:rPr>
              <w:t>8</w:t>
            </w:r>
          </w:p>
        </w:tc>
        <w:tc>
          <w:tcPr>
            <w:tcW w:w="1980" w:type="dxa"/>
            <w:gridSpan w:val="2"/>
            <w:noWrap w:val="0"/>
            <w:vAlign w:val="top"/>
          </w:tcPr>
          <w:p>
            <w:pPr>
              <w:rPr>
                <w:szCs w:val="21"/>
              </w:rPr>
            </w:pPr>
            <w:r>
              <w:rPr>
                <w:szCs w:val="21"/>
              </w:rPr>
              <w:t>化学反应平衡</w:t>
            </w:r>
          </w:p>
        </w:tc>
        <w:tc>
          <w:tcPr>
            <w:tcW w:w="2075" w:type="dxa"/>
            <w:noWrap w:val="0"/>
            <w:vAlign w:val="top"/>
          </w:tcPr>
          <w:p>
            <w:pPr>
              <w:spacing w:line="312" w:lineRule="auto"/>
              <w:jc w:val="center"/>
              <w:rPr>
                <w:color w:val="000000"/>
                <w:szCs w:val="21"/>
              </w:rPr>
            </w:pPr>
            <w:r>
              <w:rPr>
                <w:rFonts w:hint="eastAsia"/>
                <w:szCs w:val="21"/>
              </w:rPr>
              <w:t>创新是引领发展的第一动力，坚持改进创新的基本原则，培养学生创新精神。</w:t>
            </w:r>
          </w:p>
        </w:tc>
        <w:tc>
          <w:tcPr>
            <w:tcW w:w="851" w:type="dxa"/>
            <w:noWrap w:val="0"/>
            <w:vAlign w:val="center"/>
          </w:tcPr>
          <w:p>
            <w:pPr>
              <w:spacing w:line="312" w:lineRule="auto"/>
              <w:jc w:val="center"/>
              <w:rPr>
                <w:rFonts w:hint="eastAsia"/>
                <w:szCs w:val="21"/>
              </w:rPr>
            </w:pPr>
            <w:r>
              <w:rPr>
                <w:color w:val="000000"/>
                <w:szCs w:val="21"/>
              </w:rPr>
              <w:t>目标</w:t>
            </w:r>
            <w:r>
              <w:rPr>
                <w:rFonts w:hint="eastAsia"/>
                <w:color w:val="000000"/>
                <w:szCs w:val="21"/>
              </w:rPr>
              <w:t>1、2</w:t>
            </w:r>
          </w:p>
        </w:tc>
        <w:tc>
          <w:tcPr>
            <w:tcW w:w="1417" w:type="dxa"/>
            <w:noWrap w:val="0"/>
            <w:vAlign w:val="center"/>
          </w:tcPr>
          <w:p>
            <w:pPr>
              <w:spacing w:line="312" w:lineRule="auto"/>
              <w:jc w:val="center"/>
              <w:rPr>
                <w:szCs w:val="21"/>
              </w:rPr>
            </w:pPr>
            <w:r>
              <w:rPr>
                <w:color w:val="000000"/>
                <w:szCs w:val="21"/>
              </w:rPr>
              <w:t>1-3、</w:t>
            </w:r>
            <w:r>
              <w:rPr>
                <w:rFonts w:hint="eastAsia"/>
                <w:color w:val="000000"/>
                <w:szCs w:val="21"/>
              </w:rPr>
              <w:t>2</w:t>
            </w:r>
            <w:r>
              <w:rPr>
                <w:color w:val="000000"/>
                <w:szCs w:val="21"/>
              </w:rPr>
              <w:t>-</w:t>
            </w:r>
            <w:r>
              <w:rPr>
                <w:rFonts w:hint="eastAsia"/>
                <w:color w:val="000000"/>
                <w:szCs w:val="21"/>
              </w:rPr>
              <w:t>3</w:t>
            </w:r>
          </w:p>
        </w:tc>
        <w:tc>
          <w:tcPr>
            <w:tcW w:w="851" w:type="dxa"/>
            <w:noWrap w:val="0"/>
            <w:vAlign w:val="center"/>
          </w:tcPr>
          <w:p>
            <w:pPr>
              <w:spacing w:line="312" w:lineRule="auto"/>
              <w:jc w:val="center"/>
              <w:rPr>
                <w:color w:val="000000"/>
                <w:szCs w:val="21"/>
              </w:rPr>
            </w:pPr>
            <w:r>
              <w:rPr>
                <w:rFonts w:hint="eastAsia"/>
                <w:color w:val="000000"/>
                <w:szCs w:val="21"/>
              </w:rPr>
              <w:t>6</w:t>
            </w:r>
          </w:p>
        </w:tc>
        <w:tc>
          <w:tcPr>
            <w:tcW w:w="1299" w:type="dxa"/>
            <w:noWrap w:val="0"/>
            <w:vAlign w:val="center"/>
          </w:tcPr>
          <w:p>
            <w:pPr>
              <w:spacing w:line="312" w:lineRule="auto"/>
              <w:jc w:val="center"/>
              <w:rPr>
                <w:rFonts w:hint="eastAsia"/>
                <w:szCs w:val="21"/>
              </w:rPr>
            </w:pPr>
            <w:r>
              <w:rPr>
                <w:rFonts w:hint="eastAsia"/>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416" w:type="dxa"/>
            <w:gridSpan w:val="2"/>
            <w:noWrap w:val="0"/>
            <w:vAlign w:val="top"/>
          </w:tcPr>
          <w:p>
            <w:pPr>
              <w:jc w:val="center"/>
              <w:rPr>
                <w:bCs/>
                <w:szCs w:val="21"/>
              </w:rPr>
            </w:pPr>
          </w:p>
        </w:tc>
        <w:tc>
          <w:tcPr>
            <w:tcW w:w="5494" w:type="dxa"/>
            <w:gridSpan w:val="4"/>
            <w:noWrap w:val="0"/>
            <w:vAlign w:val="center"/>
          </w:tcPr>
          <w:p>
            <w:pPr>
              <w:jc w:val="center"/>
              <w:rPr>
                <w:szCs w:val="21"/>
              </w:rPr>
            </w:pPr>
            <w:r>
              <w:rPr>
                <w:bCs/>
                <w:szCs w:val="21"/>
              </w:rPr>
              <w:t>合    计</w:t>
            </w:r>
          </w:p>
        </w:tc>
        <w:tc>
          <w:tcPr>
            <w:tcW w:w="851" w:type="dxa"/>
            <w:noWrap w:val="0"/>
            <w:vAlign w:val="center"/>
          </w:tcPr>
          <w:p>
            <w:pPr>
              <w:spacing w:line="312" w:lineRule="auto"/>
              <w:jc w:val="center"/>
              <w:rPr>
                <w:color w:val="000000"/>
                <w:szCs w:val="21"/>
              </w:rPr>
            </w:pPr>
            <w:r>
              <w:rPr>
                <w:rFonts w:hint="eastAsia"/>
                <w:color w:val="000000"/>
                <w:szCs w:val="21"/>
              </w:rPr>
              <w:t>48</w:t>
            </w:r>
          </w:p>
        </w:tc>
        <w:tc>
          <w:tcPr>
            <w:tcW w:w="1299" w:type="dxa"/>
            <w:noWrap w:val="0"/>
            <w:vAlign w:val="center"/>
          </w:tcPr>
          <w:p>
            <w:pPr>
              <w:jc w:val="center"/>
              <w:rPr>
                <w:rFonts w:hint="eastAsia"/>
                <w:szCs w:val="21"/>
              </w:rPr>
            </w:pPr>
            <w:r>
              <w:rPr>
                <w:rFonts w:hint="eastAsia"/>
                <w:szCs w:val="21"/>
              </w:rPr>
              <w:t>0</w:t>
            </w:r>
          </w:p>
        </w:tc>
      </w:tr>
    </w:tbl>
    <w:p>
      <w:pPr>
        <w:spacing w:line="360" w:lineRule="auto"/>
        <w:ind w:firstLine="562" w:firstLineChars="200"/>
        <w:rPr>
          <w:b/>
          <w:sz w:val="28"/>
          <w:szCs w:val="28"/>
        </w:rPr>
      </w:pPr>
      <w:r>
        <w:rPr>
          <w:rFonts w:hint="eastAsia"/>
          <w:b/>
          <w:sz w:val="28"/>
          <w:szCs w:val="28"/>
        </w:rPr>
        <w:t>四</w:t>
      </w:r>
      <w:r>
        <w:rPr>
          <w:b/>
          <w:sz w:val="28"/>
          <w:szCs w:val="28"/>
        </w:rPr>
        <w:t>、</w:t>
      </w:r>
      <w:r>
        <w:rPr>
          <w:rFonts w:hint="eastAsia"/>
          <w:b/>
          <w:sz w:val="28"/>
          <w:szCs w:val="28"/>
        </w:rPr>
        <w:t>课程实施</w:t>
      </w:r>
    </w:p>
    <w:p>
      <w:pPr>
        <w:spacing w:line="360" w:lineRule="auto"/>
        <w:ind w:firstLine="482" w:firstLineChars="200"/>
        <w:rPr>
          <w:b/>
          <w:sz w:val="24"/>
        </w:rPr>
      </w:pPr>
      <w:r>
        <w:rPr>
          <w:rFonts w:hint="eastAsia"/>
          <w:b/>
          <w:sz w:val="24"/>
        </w:rPr>
        <w:t>（一）教学方法与教学手段</w:t>
      </w:r>
    </w:p>
    <w:p>
      <w:pPr>
        <w:adjustRightInd w:val="0"/>
        <w:snapToGrid w:val="0"/>
        <w:spacing w:line="400" w:lineRule="exact"/>
        <w:ind w:firstLine="480" w:firstLineChars="200"/>
        <w:rPr>
          <w:sz w:val="24"/>
        </w:rPr>
      </w:pPr>
      <w:r>
        <w:rPr>
          <w:rFonts w:hint="eastAsia"/>
          <w:sz w:val="24"/>
        </w:rPr>
        <w:t>1.</w:t>
      </w:r>
      <w:r>
        <w:rPr>
          <w:sz w:val="24"/>
        </w:rPr>
        <w:t xml:space="preserve"> 本课程教学主要采用的方法有：（1）“以语言传递信息的讲授法”，（2）“重视直接感知的演示法”，（3）“加强实际训练的作业法”，（4）“培养综合素质的探究法”。</w:t>
      </w:r>
    </w:p>
    <w:p>
      <w:pPr>
        <w:spacing w:line="400" w:lineRule="exact"/>
        <w:ind w:firstLine="480" w:firstLineChars="200"/>
        <w:rPr>
          <w:sz w:val="24"/>
        </w:rPr>
      </w:pPr>
      <w:r>
        <w:rPr>
          <w:rFonts w:hint="eastAsia"/>
          <w:sz w:val="24"/>
        </w:rPr>
        <w:t>2.</w:t>
      </w:r>
      <w:r>
        <w:rPr>
          <w:sz w:val="24"/>
        </w:rPr>
        <w:t xml:space="preserve"> 本课程的课堂讲授部分应充分体现化工专业理论和实践的要求，讲解做到清晰、透彻、实用。</w:t>
      </w:r>
    </w:p>
    <w:p>
      <w:pPr>
        <w:spacing w:line="400" w:lineRule="exact"/>
        <w:ind w:firstLine="480" w:firstLineChars="200"/>
        <w:rPr>
          <w:sz w:val="24"/>
        </w:rPr>
      </w:pPr>
      <w:r>
        <w:rPr>
          <w:rFonts w:hint="eastAsia"/>
          <w:sz w:val="24"/>
        </w:rPr>
        <w:t>3.</w:t>
      </w:r>
      <w:r>
        <w:rPr>
          <w:sz w:val="24"/>
        </w:rPr>
        <w:t xml:space="preserve"> 安排自主性的学习内容，要求学生利用曾经学习过的化学有关知识来理解本门课程的有关内容，从而提高学生分析和解决问题的能力。</w:t>
      </w:r>
    </w:p>
    <w:p>
      <w:pPr>
        <w:spacing w:line="400" w:lineRule="exact"/>
        <w:ind w:firstLine="480" w:firstLineChars="200"/>
        <w:rPr>
          <w:sz w:val="24"/>
        </w:rPr>
      </w:pPr>
      <w:r>
        <w:rPr>
          <w:rFonts w:hint="eastAsia"/>
          <w:sz w:val="24"/>
        </w:rPr>
        <w:t>4.</w:t>
      </w:r>
      <w:r>
        <w:rPr>
          <w:sz w:val="24"/>
        </w:rPr>
        <w:t xml:space="preserve"> 在教学方法和手段等方面，充分利用多媒体、投影、教学录像等辅助教学手段，以提高本门课程的课堂教学效率。</w:t>
      </w:r>
    </w:p>
    <w:p>
      <w:pPr>
        <w:spacing w:line="360" w:lineRule="auto"/>
        <w:ind w:firstLine="482" w:firstLineChars="200"/>
        <w:rPr>
          <w:b/>
          <w:sz w:val="24"/>
        </w:rPr>
      </w:pPr>
      <w:r>
        <w:rPr>
          <w:rFonts w:hint="eastAsia"/>
          <w:b/>
          <w:sz w:val="24"/>
        </w:rPr>
        <w:t>（二）课程实施与保障</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
        <w:gridCol w:w="1701"/>
        <w:gridCol w:w="6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3" w:type="dxa"/>
            <w:gridSpan w:val="2"/>
            <w:tcBorders>
              <w:top w:val="single" w:color="auto" w:sz="8" w:space="0"/>
              <w:left w:val="single" w:color="auto" w:sz="8" w:space="0"/>
              <w:right w:val="single" w:color="auto" w:sz="8" w:space="0"/>
            </w:tcBorders>
            <w:noWrap w:val="0"/>
            <w:tcMar>
              <w:left w:w="28" w:type="dxa"/>
              <w:right w:w="28" w:type="dxa"/>
            </w:tcMar>
            <w:vAlign w:val="center"/>
          </w:tcPr>
          <w:p>
            <w:pPr>
              <w:spacing w:line="276" w:lineRule="auto"/>
              <w:jc w:val="center"/>
              <w:rPr>
                <w:szCs w:val="21"/>
              </w:rPr>
            </w:pPr>
            <w:r>
              <w:rPr>
                <w:bCs/>
                <w:szCs w:val="21"/>
              </w:rPr>
              <w:t>主要教学环节</w:t>
            </w:r>
          </w:p>
        </w:tc>
        <w:tc>
          <w:tcPr>
            <w:tcW w:w="6817" w:type="dxa"/>
            <w:tcBorders>
              <w:top w:val="single" w:color="auto" w:sz="8" w:space="0"/>
              <w:left w:val="single" w:color="auto" w:sz="8" w:space="0"/>
              <w:right w:val="single" w:color="auto" w:sz="8" w:space="0"/>
            </w:tcBorders>
            <w:noWrap w:val="0"/>
            <w:vAlign w:val="center"/>
          </w:tcPr>
          <w:p>
            <w:pPr>
              <w:spacing w:line="276" w:lineRule="auto"/>
              <w:jc w:val="center"/>
              <w:rPr>
                <w:szCs w:val="21"/>
              </w:rPr>
            </w:pPr>
            <w:r>
              <w:rPr>
                <w:bCs/>
                <w:szCs w:val="21"/>
              </w:rPr>
              <w:t>质量</w:t>
            </w:r>
            <w:r>
              <w:rPr>
                <w:rFonts w:hint="eastAsia"/>
                <w:bCs/>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6" w:hRule="atLeast"/>
          <w:jc w:val="center"/>
        </w:trPr>
        <w:tc>
          <w:tcPr>
            <w:tcW w:w="582" w:type="dxa"/>
            <w:tcBorders>
              <w:left w:val="single" w:color="auto" w:sz="8" w:space="0"/>
            </w:tcBorders>
            <w:noWrap w:val="0"/>
            <w:vAlign w:val="center"/>
          </w:tcPr>
          <w:p>
            <w:pPr>
              <w:spacing w:line="276" w:lineRule="auto"/>
              <w:jc w:val="center"/>
              <w:rPr>
                <w:szCs w:val="21"/>
              </w:rPr>
            </w:pPr>
            <w:r>
              <w:rPr>
                <w:szCs w:val="21"/>
              </w:rPr>
              <w:t>1</w:t>
            </w:r>
          </w:p>
        </w:tc>
        <w:tc>
          <w:tcPr>
            <w:tcW w:w="1701" w:type="dxa"/>
            <w:noWrap w:val="0"/>
            <w:tcMar>
              <w:left w:w="28" w:type="dxa"/>
              <w:right w:w="28" w:type="dxa"/>
            </w:tcMar>
            <w:vAlign w:val="center"/>
          </w:tcPr>
          <w:p>
            <w:pPr>
              <w:spacing w:line="276" w:lineRule="auto"/>
              <w:jc w:val="center"/>
              <w:rPr>
                <w:szCs w:val="21"/>
              </w:rPr>
            </w:pPr>
            <w:r>
              <w:rPr>
                <w:szCs w:val="21"/>
              </w:rPr>
              <w:t>备课</w:t>
            </w:r>
          </w:p>
        </w:tc>
        <w:tc>
          <w:tcPr>
            <w:tcW w:w="6817" w:type="dxa"/>
            <w:tcBorders>
              <w:right w:val="single" w:color="auto" w:sz="8" w:space="0"/>
            </w:tcBorders>
            <w:noWrap w:val="0"/>
            <w:vAlign w:val="center"/>
          </w:tcPr>
          <w:p>
            <w:pPr>
              <w:spacing w:line="276" w:lineRule="auto"/>
              <w:rPr>
                <w:szCs w:val="21"/>
              </w:rPr>
            </w:pPr>
            <w:r>
              <w:rPr>
                <w:szCs w:val="21"/>
              </w:rPr>
              <w:t>（1）掌握本课程教学大纲内容，严格按照教学大纲要求进行课程教学内容的组织。</w:t>
            </w:r>
          </w:p>
          <w:p>
            <w:pPr>
              <w:spacing w:line="276" w:lineRule="auto"/>
              <w:rPr>
                <w:szCs w:val="21"/>
              </w:rPr>
            </w:pPr>
            <w:r>
              <w:rPr>
                <w:szCs w:val="21"/>
              </w:rPr>
              <w:t>（2）熟悉教材各章节，借助专业书籍资料，并依据教学大纲编写授课计划，编写每次授课的教案。教案内容包括章节标题、教学目的、教法设计、课堂类型、时间分配、授课内容、课后作业、教学效果分析等方面。</w:t>
            </w:r>
          </w:p>
          <w:p>
            <w:pPr>
              <w:spacing w:line="276" w:lineRule="auto"/>
              <w:rPr>
                <w:szCs w:val="21"/>
              </w:rPr>
            </w:pPr>
            <w:r>
              <w:rPr>
                <w:szCs w:val="21"/>
              </w:rPr>
              <w:t>（3）</w:t>
            </w:r>
            <w:r>
              <w:rPr>
                <w:rFonts w:hint="eastAsia"/>
                <w:szCs w:val="21"/>
              </w:rPr>
              <w:t>根据</w:t>
            </w:r>
            <w:r>
              <w:rPr>
                <w:szCs w:val="21"/>
              </w:rPr>
              <w:t>各部分</w:t>
            </w:r>
            <w:r>
              <w:rPr>
                <w:rFonts w:hint="eastAsia"/>
                <w:szCs w:val="21"/>
              </w:rPr>
              <w:t>教学</w:t>
            </w:r>
            <w:r>
              <w:rPr>
                <w:szCs w:val="21"/>
              </w:rPr>
              <w:t>内容</w:t>
            </w:r>
            <w:r>
              <w:rPr>
                <w:rFonts w:hint="eastAsia"/>
                <w:szCs w:val="21"/>
              </w:rPr>
              <w:t>，</w:t>
            </w:r>
            <w:r>
              <w:rPr>
                <w:szCs w:val="21"/>
              </w:rPr>
              <w:t>构思授课思路、技巧</w:t>
            </w:r>
            <w:r>
              <w:rPr>
                <w:rFonts w:hint="eastAsia"/>
                <w:szCs w:val="21"/>
              </w:rPr>
              <w:t>，选择合适的</w:t>
            </w:r>
            <w:r>
              <w:rPr>
                <w:szCs w:val="21"/>
              </w:rPr>
              <w:t>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tcBorders>
              <w:left w:val="single" w:color="auto" w:sz="8" w:space="0"/>
            </w:tcBorders>
            <w:noWrap w:val="0"/>
            <w:vAlign w:val="center"/>
          </w:tcPr>
          <w:p>
            <w:pPr>
              <w:spacing w:line="276" w:lineRule="auto"/>
              <w:jc w:val="center"/>
              <w:rPr>
                <w:szCs w:val="21"/>
              </w:rPr>
            </w:pPr>
            <w:r>
              <w:rPr>
                <w:szCs w:val="21"/>
              </w:rPr>
              <w:t>2</w:t>
            </w:r>
          </w:p>
        </w:tc>
        <w:tc>
          <w:tcPr>
            <w:tcW w:w="1701" w:type="dxa"/>
            <w:noWrap w:val="0"/>
            <w:tcMar>
              <w:left w:w="28" w:type="dxa"/>
              <w:right w:w="28" w:type="dxa"/>
            </w:tcMar>
            <w:vAlign w:val="center"/>
          </w:tcPr>
          <w:p>
            <w:pPr>
              <w:spacing w:line="276" w:lineRule="auto"/>
              <w:jc w:val="center"/>
              <w:rPr>
                <w:szCs w:val="21"/>
              </w:rPr>
            </w:pPr>
            <w:r>
              <w:rPr>
                <w:szCs w:val="21"/>
              </w:rPr>
              <w:t>讲授</w:t>
            </w:r>
          </w:p>
        </w:tc>
        <w:tc>
          <w:tcPr>
            <w:tcW w:w="6817" w:type="dxa"/>
            <w:tcBorders>
              <w:right w:val="single" w:color="auto" w:sz="8" w:space="0"/>
            </w:tcBorders>
            <w:noWrap w:val="0"/>
            <w:vAlign w:val="center"/>
          </w:tcPr>
          <w:p>
            <w:pPr>
              <w:spacing w:line="276" w:lineRule="auto"/>
              <w:rPr>
                <w:szCs w:val="21"/>
              </w:rPr>
            </w:pPr>
            <w:r>
              <w:rPr>
                <w:rFonts w:hint="eastAsia"/>
                <w:szCs w:val="21"/>
              </w:rPr>
              <w:t>（1）</w:t>
            </w:r>
            <w:r>
              <w:rPr>
                <w:szCs w:val="21"/>
              </w:rPr>
              <w:t>要点准确</w:t>
            </w:r>
            <w:r>
              <w:rPr>
                <w:rFonts w:hint="eastAsia"/>
                <w:szCs w:val="21"/>
              </w:rPr>
              <w:t>、</w:t>
            </w:r>
            <w:r>
              <w:rPr>
                <w:szCs w:val="21"/>
              </w:rPr>
              <w:t>推理正确</w:t>
            </w:r>
            <w:r>
              <w:rPr>
                <w:rFonts w:hint="eastAsia"/>
                <w:szCs w:val="21"/>
              </w:rPr>
              <w:t>、</w:t>
            </w:r>
            <w:r>
              <w:rPr>
                <w:szCs w:val="21"/>
              </w:rPr>
              <w:t>条理清晰</w:t>
            </w:r>
            <w:r>
              <w:rPr>
                <w:rFonts w:hint="eastAsia"/>
                <w:szCs w:val="21"/>
              </w:rPr>
              <w:t>、</w:t>
            </w:r>
            <w:r>
              <w:rPr>
                <w:szCs w:val="21"/>
              </w:rPr>
              <w:t>重点突出，</w:t>
            </w:r>
            <w:r>
              <w:rPr>
                <w:rFonts w:hint="eastAsia"/>
                <w:szCs w:val="21"/>
              </w:rPr>
              <w:t>能够</w:t>
            </w:r>
            <w:r>
              <w:rPr>
                <w:szCs w:val="21"/>
              </w:rPr>
              <w:t>理论联系实际，熟练地解答和讲解例题。</w:t>
            </w:r>
          </w:p>
          <w:p>
            <w:pPr>
              <w:spacing w:line="276" w:lineRule="auto"/>
              <w:rPr>
                <w:szCs w:val="21"/>
              </w:rPr>
            </w:pPr>
            <w:r>
              <w:rPr>
                <w:rFonts w:hint="eastAsia"/>
                <w:szCs w:val="21"/>
              </w:rPr>
              <w:t>（2）</w:t>
            </w:r>
            <w:r>
              <w:rPr>
                <w:szCs w:val="21"/>
              </w:rPr>
              <w:t>采用多种教学方式（如启发式教学、案例分析教学、讨论式教学、多媒体示范教学等），注重培养学生发现、分析和解决问题的能力。</w:t>
            </w:r>
          </w:p>
          <w:p>
            <w:pPr>
              <w:spacing w:line="276" w:lineRule="auto"/>
              <w:rPr>
                <w:szCs w:val="21"/>
              </w:rPr>
            </w:pPr>
            <w:r>
              <w:rPr>
                <w:rFonts w:hint="eastAsia"/>
                <w:szCs w:val="21"/>
              </w:rPr>
              <w:t>（3）能够采用现代信息技术辅助</w:t>
            </w:r>
            <w:r>
              <w:rPr>
                <w:szCs w:val="21"/>
              </w:rPr>
              <w:t>教学。</w:t>
            </w:r>
          </w:p>
          <w:p>
            <w:pPr>
              <w:spacing w:line="276" w:lineRule="auto"/>
              <w:rPr>
                <w:szCs w:val="21"/>
              </w:rPr>
            </w:pPr>
            <w:r>
              <w:rPr>
                <w:rFonts w:hint="eastAsia"/>
                <w:szCs w:val="21"/>
              </w:rPr>
              <w:t>（4）</w:t>
            </w:r>
            <w:r>
              <w:rPr>
                <w:szCs w:val="21"/>
              </w:rPr>
              <w:t>表达方式</w:t>
            </w:r>
            <w:r>
              <w:rPr>
                <w:rFonts w:hint="eastAsia"/>
                <w:szCs w:val="21"/>
              </w:rPr>
              <w:t>应能</w:t>
            </w:r>
            <w:r>
              <w:rPr>
                <w:szCs w:val="21"/>
              </w:rPr>
              <w:t>便于学生理解、接受，力求形象生动，使学生在掌握知识的过程中，保持较为浓厚的</w:t>
            </w:r>
            <w:r>
              <w:rPr>
                <w:rFonts w:hint="eastAsia"/>
                <w:szCs w:val="21"/>
              </w:rPr>
              <w:t>学习</w:t>
            </w:r>
            <w:r>
              <w:rPr>
                <w:szCs w:val="21"/>
              </w:rPr>
              <w:t>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jc w:val="center"/>
        </w:trPr>
        <w:tc>
          <w:tcPr>
            <w:tcW w:w="582" w:type="dxa"/>
            <w:tcBorders>
              <w:left w:val="single" w:color="auto" w:sz="8" w:space="0"/>
            </w:tcBorders>
            <w:noWrap w:val="0"/>
            <w:vAlign w:val="center"/>
          </w:tcPr>
          <w:p>
            <w:pPr>
              <w:spacing w:line="276" w:lineRule="auto"/>
              <w:jc w:val="center"/>
              <w:rPr>
                <w:szCs w:val="21"/>
              </w:rPr>
            </w:pPr>
            <w:r>
              <w:rPr>
                <w:szCs w:val="21"/>
              </w:rPr>
              <w:t>3</w:t>
            </w:r>
          </w:p>
        </w:tc>
        <w:tc>
          <w:tcPr>
            <w:tcW w:w="1701" w:type="dxa"/>
            <w:noWrap w:val="0"/>
            <w:tcMar>
              <w:left w:w="28" w:type="dxa"/>
              <w:right w:w="28" w:type="dxa"/>
            </w:tcMar>
            <w:vAlign w:val="center"/>
          </w:tcPr>
          <w:p>
            <w:pPr>
              <w:spacing w:line="276" w:lineRule="auto"/>
              <w:jc w:val="center"/>
              <w:rPr>
                <w:szCs w:val="21"/>
              </w:rPr>
            </w:pPr>
            <w:r>
              <w:rPr>
                <w:szCs w:val="21"/>
              </w:rPr>
              <w:t>作业布置与批改</w:t>
            </w:r>
          </w:p>
        </w:tc>
        <w:tc>
          <w:tcPr>
            <w:tcW w:w="6817" w:type="dxa"/>
            <w:tcBorders>
              <w:right w:val="single" w:color="auto" w:sz="8" w:space="0"/>
            </w:tcBorders>
            <w:noWrap w:val="0"/>
            <w:vAlign w:val="center"/>
          </w:tcPr>
          <w:p>
            <w:pPr>
              <w:spacing w:line="276" w:lineRule="auto"/>
              <w:rPr>
                <w:szCs w:val="21"/>
              </w:rPr>
            </w:pPr>
            <w:r>
              <w:rPr>
                <w:szCs w:val="21"/>
              </w:rPr>
              <w:t>学生必须完成</w:t>
            </w:r>
            <w:r>
              <w:rPr>
                <w:rFonts w:hint="eastAsia"/>
                <w:szCs w:val="21"/>
              </w:rPr>
              <w:t>规定</w:t>
            </w:r>
            <w:r>
              <w:rPr>
                <w:szCs w:val="21"/>
              </w:rPr>
              <w:t>数量的作业</w:t>
            </w:r>
            <w:r>
              <w:rPr>
                <w:rFonts w:hint="eastAsia"/>
                <w:szCs w:val="21"/>
              </w:rPr>
              <w:t>，</w:t>
            </w:r>
            <w:r>
              <w:rPr>
                <w:szCs w:val="21"/>
              </w:rPr>
              <w:t>作业必须达到以下基本要求：</w:t>
            </w:r>
          </w:p>
          <w:p>
            <w:pPr>
              <w:spacing w:line="276" w:lineRule="auto"/>
              <w:rPr>
                <w:szCs w:val="21"/>
              </w:rPr>
            </w:pPr>
            <w:r>
              <w:rPr>
                <w:rFonts w:hint="eastAsia"/>
                <w:szCs w:val="21"/>
              </w:rPr>
              <w:t>（1）</w:t>
            </w:r>
            <w:r>
              <w:rPr>
                <w:szCs w:val="21"/>
              </w:rPr>
              <w:t>按时按量完成作业，不缺交，不抄袭</w:t>
            </w:r>
            <w:r>
              <w:rPr>
                <w:rFonts w:hint="eastAsia"/>
                <w:szCs w:val="21"/>
              </w:rPr>
              <w:t>。</w:t>
            </w:r>
          </w:p>
          <w:p>
            <w:pPr>
              <w:spacing w:line="276" w:lineRule="auto"/>
              <w:rPr>
                <w:szCs w:val="21"/>
              </w:rPr>
            </w:pPr>
            <w:r>
              <w:rPr>
                <w:rFonts w:hint="eastAsia"/>
                <w:szCs w:val="21"/>
              </w:rPr>
              <w:t>（2）书写</w:t>
            </w:r>
            <w:r>
              <w:rPr>
                <w:szCs w:val="21"/>
              </w:rPr>
              <w:t>规范</w:t>
            </w:r>
            <w:r>
              <w:rPr>
                <w:rFonts w:hint="eastAsia"/>
                <w:szCs w:val="21"/>
              </w:rPr>
              <w:t>、</w:t>
            </w:r>
            <w:r>
              <w:rPr>
                <w:szCs w:val="21"/>
              </w:rPr>
              <w:t>清晰</w:t>
            </w:r>
            <w:r>
              <w:rPr>
                <w:rFonts w:hint="eastAsia"/>
                <w:szCs w:val="21"/>
              </w:rPr>
              <w:t>。</w:t>
            </w:r>
          </w:p>
          <w:p>
            <w:pPr>
              <w:spacing w:line="276" w:lineRule="auto"/>
              <w:rPr>
                <w:szCs w:val="21"/>
              </w:rPr>
            </w:pPr>
            <w:r>
              <w:rPr>
                <w:rFonts w:hint="eastAsia"/>
                <w:szCs w:val="21"/>
              </w:rPr>
              <w:t>（3）</w:t>
            </w:r>
            <w:r>
              <w:rPr>
                <w:szCs w:val="21"/>
              </w:rPr>
              <w:t>解题方法和步骤正确。</w:t>
            </w:r>
          </w:p>
          <w:p>
            <w:pPr>
              <w:spacing w:line="276" w:lineRule="auto"/>
              <w:rPr>
                <w:szCs w:val="21"/>
              </w:rPr>
            </w:pPr>
            <w:r>
              <w:rPr>
                <w:szCs w:val="21"/>
              </w:rPr>
              <w:t>教师批改</w:t>
            </w:r>
            <w:r>
              <w:rPr>
                <w:rFonts w:hint="eastAsia"/>
                <w:szCs w:val="21"/>
              </w:rPr>
              <w:t>和</w:t>
            </w:r>
            <w:r>
              <w:rPr>
                <w:szCs w:val="21"/>
              </w:rPr>
              <w:t>讲评作业要求如下：</w:t>
            </w:r>
          </w:p>
          <w:p>
            <w:pPr>
              <w:spacing w:line="276" w:lineRule="auto"/>
              <w:rPr>
                <w:szCs w:val="21"/>
              </w:rPr>
            </w:pPr>
            <w:r>
              <w:rPr>
                <w:rFonts w:hint="eastAsia"/>
                <w:szCs w:val="21"/>
              </w:rPr>
              <w:t>（1）</w:t>
            </w:r>
            <w:r>
              <w:rPr>
                <w:szCs w:val="21"/>
              </w:rPr>
              <w:t>学生的作业要</w:t>
            </w:r>
            <w:r>
              <w:rPr>
                <w:rFonts w:hint="eastAsia"/>
                <w:szCs w:val="21"/>
              </w:rPr>
              <w:t>按时</w:t>
            </w:r>
            <w:r>
              <w:rPr>
                <w:szCs w:val="21"/>
              </w:rPr>
              <w:t>全</w:t>
            </w:r>
            <w:r>
              <w:rPr>
                <w:rFonts w:hint="eastAsia"/>
                <w:szCs w:val="21"/>
              </w:rPr>
              <w:t>部</w:t>
            </w:r>
            <w:r>
              <w:rPr>
                <w:szCs w:val="21"/>
              </w:rPr>
              <w:t>批改，并</w:t>
            </w:r>
            <w:r>
              <w:rPr>
                <w:rFonts w:hint="eastAsia"/>
                <w:szCs w:val="21"/>
              </w:rPr>
              <w:t>及时进行</w:t>
            </w:r>
            <w:r>
              <w:rPr>
                <w:szCs w:val="21"/>
              </w:rPr>
              <w:t>讲评</w:t>
            </w:r>
            <w:r>
              <w:rPr>
                <w:rFonts w:hint="eastAsia"/>
                <w:szCs w:val="21"/>
              </w:rPr>
              <w:t>。</w:t>
            </w:r>
          </w:p>
          <w:p>
            <w:pPr>
              <w:spacing w:line="276" w:lineRule="auto"/>
              <w:rPr>
                <w:szCs w:val="21"/>
              </w:rPr>
            </w:pPr>
            <w:r>
              <w:rPr>
                <w:rFonts w:hint="eastAsia"/>
                <w:szCs w:val="21"/>
              </w:rPr>
              <w:t>（2）</w:t>
            </w:r>
            <w:r>
              <w:rPr>
                <w:szCs w:val="21"/>
              </w:rPr>
              <w:t>教师批改</w:t>
            </w:r>
            <w:r>
              <w:rPr>
                <w:rFonts w:hint="eastAsia"/>
                <w:szCs w:val="21"/>
              </w:rPr>
              <w:t>和</w:t>
            </w:r>
            <w:r>
              <w:rPr>
                <w:szCs w:val="21"/>
              </w:rPr>
              <w:t>讲评作业要认真、细致，按百分制评定成绩并写明日期</w:t>
            </w:r>
            <w:r>
              <w:rPr>
                <w:rFonts w:hint="eastAsia"/>
                <w:szCs w:val="21"/>
              </w:rPr>
              <w:t>。</w:t>
            </w:r>
          </w:p>
          <w:p>
            <w:pPr>
              <w:spacing w:line="276" w:lineRule="auto"/>
              <w:rPr>
                <w:szCs w:val="21"/>
              </w:rPr>
            </w:pPr>
            <w:r>
              <w:rPr>
                <w:rFonts w:hint="eastAsia"/>
                <w:szCs w:val="21"/>
              </w:rPr>
              <w:t>（3）</w:t>
            </w:r>
            <w:r>
              <w:rPr>
                <w:szCs w:val="21"/>
              </w:rPr>
              <w:t>学生作业的平均成绩</w:t>
            </w:r>
            <w:r>
              <w:rPr>
                <w:rFonts w:hint="eastAsia"/>
                <w:szCs w:val="21"/>
              </w:rPr>
              <w:t>应</w:t>
            </w:r>
            <w:r>
              <w:rPr>
                <w:szCs w:val="21"/>
              </w:rPr>
              <w:t>作为本课程总评成绩中平时成绩的重要组成部分。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582" w:type="dxa"/>
            <w:tcBorders>
              <w:left w:val="single" w:color="auto" w:sz="8" w:space="0"/>
            </w:tcBorders>
            <w:noWrap w:val="0"/>
            <w:vAlign w:val="center"/>
          </w:tcPr>
          <w:p>
            <w:pPr>
              <w:spacing w:line="276" w:lineRule="auto"/>
              <w:jc w:val="center"/>
              <w:rPr>
                <w:szCs w:val="21"/>
              </w:rPr>
            </w:pPr>
            <w:r>
              <w:rPr>
                <w:szCs w:val="21"/>
              </w:rPr>
              <w:t>4</w:t>
            </w:r>
          </w:p>
        </w:tc>
        <w:tc>
          <w:tcPr>
            <w:tcW w:w="1701" w:type="dxa"/>
            <w:noWrap w:val="0"/>
            <w:tcMar>
              <w:left w:w="28" w:type="dxa"/>
              <w:right w:w="28" w:type="dxa"/>
            </w:tcMar>
            <w:vAlign w:val="center"/>
          </w:tcPr>
          <w:p>
            <w:pPr>
              <w:spacing w:line="276" w:lineRule="auto"/>
              <w:jc w:val="center"/>
              <w:rPr>
                <w:szCs w:val="21"/>
              </w:rPr>
            </w:pPr>
            <w:r>
              <w:rPr>
                <w:szCs w:val="21"/>
              </w:rPr>
              <w:t>课外答疑</w:t>
            </w:r>
          </w:p>
        </w:tc>
        <w:tc>
          <w:tcPr>
            <w:tcW w:w="6817" w:type="dxa"/>
            <w:tcBorders>
              <w:right w:val="single" w:color="auto" w:sz="8" w:space="0"/>
            </w:tcBorders>
            <w:noWrap w:val="0"/>
            <w:vAlign w:val="center"/>
          </w:tcPr>
          <w:p>
            <w:pPr>
              <w:spacing w:line="276" w:lineRule="auto"/>
              <w:rPr>
                <w:szCs w:val="21"/>
              </w:rPr>
            </w:pPr>
            <w:r>
              <w:rPr>
                <w:szCs w:val="21"/>
              </w:rPr>
              <w:t>为了解学生的学习情况，帮助学生</w:t>
            </w:r>
            <w:r>
              <w:rPr>
                <w:rFonts w:hint="eastAsia"/>
                <w:szCs w:val="21"/>
              </w:rPr>
              <w:t>更好地</w:t>
            </w:r>
            <w:r>
              <w:rPr>
                <w:szCs w:val="21"/>
              </w:rPr>
              <w:t>理解和消化所学知识、改进学习方法和思维方式，培养其独立思考问题的能力，任课教师</w:t>
            </w:r>
            <w:r>
              <w:rPr>
                <w:rFonts w:hint="eastAsia"/>
                <w:szCs w:val="21"/>
              </w:rPr>
              <w:t>需</w:t>
            </w:r>
            <w:r>
              <w:rPr>
                <w:szCs w:val="21"/>
              </w:rPr>
              <w:t>每周安排</w:t>
            </w:r>
            <w:r>
              <w:rPr>
                <w:rFonts w:hint="eastAsia"/>
                <w:szCs w:val="21"/>
              </w:rPr>
              <w:t>一定</w:t>
            </w:r>
            <w:r>
              <w:rPr>
                <w:szCs w:val="21"/>
              </w:rPr>
              <w:t>时间进行课外答疑与辅导。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582" w:type="dxa"/>
            <w:tcBorders>
              <w:left w:val="single" w:color="auto" w:sz="8" w:space="0"/>
            </w:tcBorders>
            <w:noWrap w:val="0"/>
            <w:vAlign w:val="center"/>
          </w:tcPr>
          <w:p>
            <w:pPr>
              <w:spacing w:line="276" w:lineRule="auto"/>
              <w:jc w:val="center"/>
              <w:rPr>
                <w:szCs w:val="21"/>
              </w:rPr>
            </w:pPr>
            <w:r>
              <w:rPr>
                <w:szCs w:val="21"/>
              </w:rPr>
              <w:t>5</w:t>
            </w:r>
          </w:p>
        </w:tc>
        <w:tc>
          <w:tcPr>
            <w:tcW w:w="1701" w:type="dxa"/>
            <w:noWrap w:val="0"/>
            <w:tcMar>
              <w:left w:w="28" w:type="dxa"/>
              <w:right w:w="28" w:type="dxa"/>
            </w:tcMar>
            <w:vAlign w:val="center"/>
          </w:tcPr>
          <w:p>
            <w:pPr>
              <w:spacing w:line="276" w:lineRule="auto"/>
              <w:jc w:val="center"/>
              <w:rPr>
                <w:szCs w:val="21"/>
              </w:rPr>
            </w:pPr>
            <w:r>
              <w:rPr>
                <w:szCs w:val="21"/>
              </w:rPr>
              <w:t>成绩考核</w:t>
            </w:r>
          </w:p>
        </w:tc>
        <w:tc>
          <w:tcPr>
            <w:tcW w:w="6817" w:type="dxa"/>
            <w:tcBorders>
              <w:right w:val="single" w:color="auto" w:sz="8" w:space="0"/>
            </w:tcBorders>
            <w:noWrap w:val="0"/>
            <w:vAlign w:val="center"/>
          </w:tcPr>
          <w:p>
            <w:pPr>
              <w:spacing w:line="276" w:lineRule="auto"/>
              <w:rPr>
                <w:szCs w:val="21"/>
              </w:rPr>
            </w:pPr>
            <w:r>
              <w:rPr>
                <w:szCs w:val="21"/>
              </w:rPr>
              <w:t>本课程考核的方式</w:t>
            </w:r>
            <w:r>
              <w:rPr>
                <w:rFonts w:hint="eastAsia"/>
                <w:szCs w:val="21"/>
              </w:rPr>
              <w:t>为开卷笔试</w:t>
            </w:r>
            <w:r>
              <w:rPr>
                <w:szCs w:val="21"/>
              </w:rPr>
              <w:t>。有下列情况之一者，总评成绩为不及格：</w:t>
            </w:r>
          </w:p>
          <w:p>
            <w:pPr>
              <w:spacing w:line="276" w:lineRule="auto"/>
              <w:rPr>
                <w:szCs w:val="21"/>
              </w:rPr>
            </w:pPr>
            <w:r>
              <w:rPr>
                <w:rFonts w:hint="eastAsia"/>
                <w:szCs w:val="21"/>
              </w:rPr>
              <w:t>（1）</w:t>
            </w:r>
            <w:r>
              <w:rPr>
                <w:szCs w:val="21"/>
              </w:rPr>
              <w:t>缺交作业次数达1/3以上者</w:t>
            </w:r>
            <w:r>
              <w:rPr>
                <w:rFonts w:hint="eastAsia"/>
                <w:szCs w:val="21"/>
              </w:rPr>
              <w:t>。</w:t>
            </w:r>
          </w:p>
          <w:p>
            <w:pPr>
              <w:spacing w:line="276" w:lineRule="auto"/>
              <w:rPr>
                <w:szCs w:val="21"/>
              </w:rPr>
            </w:pPr>
            <w:r>
              <w:rPr>
                <w:rFonts w:hint="eastAsia"/>
                <w:szCs w:val="21"/>
              </w:rPr>
              <w:t>（2）</w:t>
            </w:r>
            <w:r>
              <w:rPr>
                <w:szCs w:val="21"/>
              </w:rPr>
              <w:t>缺课次数达本学期总授课学时的1/3以上者</w:t>
            </w:r>
            <w:r>
              <w:rPr>
                <w:rFonts w:hint="eastAsia"/>
                <w:szCs w:val="21"/>
              </w:rPr>
              <w:t>。</w:t>
            </w:r>
          </w:p>
          <w:p>
            <w:pPr>
              <w:spacing w:line="276" w:lineRule="auto"/>
              <w:rPr>
                <w:szCs w:val="21"/>
              </w:rPr>
            </w:pPr>
            <w:r>
              <w:rPr>
                <w:rFonts w:hint="eastAsia"/>
                <w:szCs w:val="21"/>
              </w:rPr>
              <w:t>（3）</w:t>
            </w:r>
            <w:r>
              <w:rPr>
                <w:szCs w:val="21"/>
              </w:rPr>
              <w:t>课程目标小于0.6。</w:t>
            </w:r>
          </w:p>
        </w:tc>
      </w:tr>
    </w:tbl>
    <w:p>
      <w:pPr>
        <w:spacing w:line="400" w:lineRule="exact"/>
        <w:ind w:firstLine="480" w:firstLineChars="200"/>
        <w:rPr>
          <w:sz w:val="24"/>
        </w:rPr>
      </w:pPr>
    </w:p>
    <w:p>
      <w:pPr>
        <w:spacing w:line="360" w:lineRule="auto"/>
        <w:ind w:firstLine="562" w:firstLineChars="200"/>
        <w:rPr>
          <w:b/>
          <w:sz w:val="28"/>
          <w:szCs w:val="28"/>
        </w:rPr>
      </w:pPr>
      <w:r>
        <w:rPr>
          <w:rFonts w:hint="eastAsia"/>
          <w:b/>
          <w:sz w:val="28"/>
          <w:szCs w:val="28"/>
        </w:rPr>
        <w:t>五</w:t>
      </w:r>
      <w:r>
        <w:rPr>
          <w:b/>
          <w:sz w:val="28"/>
          <w:szCs w:val="28"/>
        </w:rPr>
        <w:t>、课程考核</w:t>
      </w:r>
    </w:p>
    <w:p>
      <w:pPr>
        <w:spacing w:line="360" w:lineRule="auto"/>
        <w:ind w:firstLine="480" w:firstLineChars="200"/>
        <w:rPr>
          <w:sz w:val="24"/>
        </w:rPr>
      </w:pPr>
      <w:r>
        <w:rPr>
          <w:rFonts w:hint="eastAsia"/>
          <w:sz w:val="24"/>
        </w:rPr>
        <w:t>（一）</w:t>
      </w:r>
      <w:r>
        <w:rPr>
          <w:sz w:val="24"/>
        </w:rPr>
        <w:t>课程考核包括期末考试、平时及作业情况考核，期末考试采用</w:t>
      </w:r>
      <w:r>
        <w:rPr>
          <w:rFonts w:hint="eastAsia"/>
          <w:sz w:val="24"/>
        </w:rPr>
        <w:t>开</w:t>
      </w:r>
      <w:r>
        <w:rPr>
          <w:sz w:val="24"/>
        </w:rPr>
        <w:t>卷笔试。</w:t>
      </w:r>
    </w:p>
    <w:p>
      <w:pPr>
        <w:spacing w:line="360" w:lineRule="auto"/>
        <w:ind w:firstLine="480" w:firstLineChars="200"/>
        <w:rPr>
          <w:sz w:val="24"/>
        </w:rPr>
      </w:pPr>
      <w:r>
        <w:rPr>
          <w:rFonts w:hint="eastAsia"/>
          <w:sz w:val="24"/>
        </w:rPr>
        <w:t>（二）</w:t>
      </w:r>
      <w:r>
        <w:rPr>
          <w:sz w:val="24"/>
        </w:rPr>
        <w:t>课程成绩=平时成绩×</w:t>
      </w:r>
      <w:r>
        <w:rPr>
          <w:rFonts w:hint="eastAsia"/>
          <w:sz w:val="24"/>
        </w:rPr>
        <w:t>3</w:t>
      </w:r>
      <w:r>
        <w:rPr>
          <w:sz w:val="24"/>
        </w:rPr>
        <w:t>0%+期末考试成绩×</w:t>
      </w:r>
      <w:r>
        <w:rPr>
          <w:rFonts w:hint="eastAsia"/>
          <w:sz w:val="24"/>
        </w:rPr>
        <w:t>7</w:t>
      </w:r>
      <w:r>
        <w:rPr>
          <w:sz w:val="24"/>
        </w:rPr>
        <w:t>0%。</w:t>
      </w:r>
      <w:r>
        <w:rPr>
          <w:rFonts w:hint="eastAsia"/>
          <w:sz w:val="24"/>
        </w:rPr>
        <w:t>具体内容和比例如表所示</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1565"/>
        <w:gridCol w:w="808"/>
        <w:gridCol w:w="4410"/>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FFFFFF"/>
            <w:noWrap w:val="0"/>
            <w:tcMar>
              <w:left w:w="57" w:type="dxa"/>
              <w:right w:w="57" w:type="dxa"/>
            </w:tcMar>
            <w:vAlign w:val="center"/>
          </w:tcPr>
          <w:p>
            <w:pPr>
              <w:widowControl w:val="0"/>
              <w:jc w:val="center"/>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成绩组成</w:t>
            </w:r>
          </w:p>
        </w:tc>
        <w:tc>
          <w:tcPr>
            <w:tcW w:w="1565" w:type="dxa"/>
            <w:shd w:val="clear" w:color="auto" w:fill="FFFFFF"/>
            <w:noWrap w:val="0"/>
            <w:vAlign w:val="center"/>
          </w:tcPr>
          <w:p>
            <w:pPr>
              <w:widowControl w:val="0"/>
              <w:jc w:val="center"/>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考核/评价环节</w:t>
            </w:r>
          </w:p>
        </w:tc>
        <w:tc>
          <w:tcPr>
            <w:tcW w:w="808" w:type="dxa"/>
            <w:shd w:val="clear" w:color="auto" w:fill="FFFFFF"/>
            <w:noWrap w:val="0"/>
            <w:vAlign w:val="center"/>
          </w:tcPr>
          <w:p>
            <w:pPr>
              <w:widowControl w:val="0"/>
              <w:jc w:val="center"/>
              <w:rPr>
                <w:rFonts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权重</w:t>
            </w:r>
          </w:p>
        </w:tc>
        <w:tc>
          <w:tcPr>
            <w:tcW w:w="4410" w:type="dxa"/>
            <w:shd w:val="clear" w:color="auto" w:fill="FFFFFF"/>
            <w:noWrap w:val="0"/>
            <w:vAlign w:val="center"/>
          </w:tcPr>
          <w:p>
            <w:pPr>
              <w:widowControl w:val="0"/>
              <w:jc w:val="center"/>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考核/评价细则</w:t>
            </w:r>
          </w:p>
        </w:tc>
        <w:tc>
          <w:tcPr>
            <w:tcW w:w="1470" w:type="dxa"/>
            <w:shd w:val="clear" w:color="auto" w:fill="FFFFFF"/>
            <w:noWrap w:val="0"/>
            <w:vAlign w:val="center"/>
          </w:tcPr>
          <w:p>
            <w:pPr>
              <w:widowControl w:val="0"/>
              <w:jc w:val="center"/>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对应的毕业要求指标点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044" w:type="dxa"/>
            <w:vMerge w:val="restart"/>
            <w:noWrap w:val="0"/>
            <w:tcMar>
              <w:left w:w="57" w:type="dxa"/>
              <w:right w:w="57" w:type="dxa"/>
            </w:tcMar>
            <w:vAlign w:val="center"/>
          </w:tcPr>
          <w:p>
            <w:pPr>
              <w:widowControl w:val="0"/>
              <w:jc w:val="center"/>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平时成绩</w:t>
            </w:r>
          </w:p>
        </w:tc>
        <w:tc>
          <w:tcPr>
            <w:tcW w:w="1565" w:type="dxa"/>
            <w:noWrap w:val="0"/>
            <w:vAlign w:val="center"/>
          </w:tcPr>
          <w:p>
            <w:pPr>
              <w:widowControl w:val="0"/>
              <w:jc w:val="center"/>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平时作业</w:t>
            </w:r>
          </w:p>
        </w:tc>
        <w:tc>
          <w:tcPr>
            <w:tcW w:w="808" w:type="dxa"/>
            <w:noWrap w:val="0"/>
            <w:vAlign w:val="center"/>
          </w:tcPr>
          <w:p>
            <w:pPr>
              <w:widowControl w:val="0"/>
              <w:jc w:val="center"/>
              <w:rPr>
                <w:rFonts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24</w:t>
            </w:r>
            <w:r>
              <w:rPr>
                <w:rFonts w:ascii="Times New Roman" w:hAnsi="Times New Roman" w:eastAsia="宋体" w:cs="Times New Roman"/>
                <w:kern w:val="2"/>
                <w:sz w:val="21"/>
                <w:szCs w:val="24"/>
                <w:lang w:val="en-US" w:eastAsia="zh-CN" w:bidi="ar-SA"/>
              </w:rPr>
              <w:t>%</w:t>
            </w:r>
          </w:p>
        </w:tc>
        <w:tc>
          <w:tcPr>
            <w:tcW w:w="4410" w:type="dxa"/>
            <w:noWrap w:val="0"/>
            <w:vAlign w:val="center"/>
          </w:tcPr>
          <w:p>
            <w:pPr>
              <w:widowControl w:val="0"/>
              <w:jc w:val="both"/>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课后完成20-30个习题，主要考核学生对每节课知识点的复习、理解和掌握程度，计算全部作业的平均成绩再按</w:t>
            </w:r>
            <w:r>
              <w:rPr>
                <w:rFonts w:hint="eastAsia" w:ascii="Times New Roman" w:hAnsi="Times New Roman" w:eastAsia="宋体" w:cs="Times New Roman"/>
                <w:kern w:val="2"/>
                <w:sz w:val="21"/>
                <w:szCs w:val="24"/>
                <w:lang w:val="en-US" w:eastAsia="zh-CN" w:bidi="ar-SA"/>
              </w:rPr>
              <w:t>24</w:t>
            </w:r>
            <w:r>
              <w:rPr>
                <w:rFonts w:ascii="Times New Roman" w:hAnsi="Times New Roman" w:eastAsia="宋体" w:cs="Times New Roman"/>
                <w:kern w:val="2"/>
                <w:sz w:val="21"/>
                <w:szCs w:val="24"/>
                <w:lang w:val="en-US" w:eastAsia="zh-CN" w:bidi="ar-SA"/>
              </w:rPr>
              <w:t>%计入总成绩。</w:t>
            </w:r>
          </w:p>
        </w:tc>
        <w:tc>
          <w:tcPr>
            <w:tcW w:w="1470" w:type="dxa"/>
            <w:noWrap w:val="0"/>
            <w:vAlign w:val="center"/>
          </w:tcPr>
          <w:p>
            <w:pPr>
              <w:widowControl w:val="0"/>
              <w:jc w:val="center"/>
              <w:rPr>
                <w:rFonts w:ascii="Times New Roman" w:hAnsi="Times New Roman" w:eastAsia="宋体" w:cs="Times New Roman"/>
                <w:kern w:val="2"/>
                <w:sz w:val="21"/>
                <w:szCs w:val="24"/>
                <w:lang w:val="en-US" w:eastAsia="zh-CN" w:bidi="ar-SA"/>
              </w:rPr>
            </w:pPr>
            <w:r>
              <w:rPr>
                <w:rFonts w:ascii="Times New Roman" w:hAnsi="Times New Roman" w:eastAsia="宋体" w:cs="Times New Roman"/>
                <w:color w:val="000000"/>
                <w:kern w:val="2"/>
                <w:sz w:val="21"/>
                <w:szCs w:val="21"/>
                <w:lang w:val="en-US" w:eastAsia="zh-CN" w:bidi="ar-SA"/>
              </w:rPr>
              <w:t>1</w:t>
            </w:r>
            <w:r>
              <w:rPr>
                <w:rFonts w:hint="eastAsia" w:ascii="Times New Roman" w:hAnsi="Times New Roman" w:eastAsia="宋体" w:cs="Times New Roman"/>
                <w:color w:val="000000"/>
                <w:kern w:val="2"/>
                <w:sz w:val="21"/>
                <w:szCs w:val="21"/>
                <w:lang w:val="en-US" w:eastAsia="zh-CN" w:bidi="ar-SA"/>
              </w:rPr>
              <w:t>-3、2-3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trPr>
        <w:tc>
          <w:tcPr>
            <w:tcW w:w="1044" w:type="dxa"/>
            <w:vMerge w:val="continue"/>
            <w:noWrap w:val="0"/>
            <w:tcMar>
              <w:left w:w="57" w:type="dxa"/>
              <w:right w:w="57" w:type="dxa"/>
            </w:tcMar>
            <w:vAlign w:val="center"/>
          </w:tcPr>
          <w:p>
            <w:pPr>
              <w:widowControl w:val="0"/>
              <w:jc w:val="center"/>
              <w:rPr>
                <w:rFonts w:ascii="Times New Roman" w:hAnsi="Times New Roman" w:eastAsia="宋体" w:cs="Times New Roman"/>
                <w:kern w:val="2"/>
                <w:sz w:val="21"/>
                <w:szCs w:val="24"/>
                <w:lang w:val="en-US" w:eastAsia="zh-CN" w:bidi="ar-SA"/>
              </w:rPr>
            </w:pPr>
          </w:p>
        </w:tc>
        <w:tc>
          <w:tcPr>
            <w:tcW w:w="1565" w:type="dxa"/>
            <w:noWrap w:val="0"/>
            <w:vAlign w:val="center"/>
          </w:tcPr>
          <w:p>
            <w:pPr>
              <w:widowControl w:val="0"/>
              <w:jc w:val="center"/>
              <w:rPr>
                <w:rFonts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考勤</w:t>
            </w:r>
          </w:p>
        </w:tc>
        <w:tc>
          <w:tcPr>
            <w:tcW w:w="808" w:type="dxa"/>
            <w:noWrap w:val="0"/>
            <w:vAlign w:val="center"/>
          </w:tcPr>
          <w:p>
            <w:pPr>
              <w:widowControl w:val="0"/>
              <w:jc w:val="center"/>
              <w:rPr>
                <w:rFonts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6</w:t>
            </w:r>
            <w:r>
              <w:rPr>
                <w:rFonts w:ascii="Times New Roman" w:hAnsi="Times New Roman" w:eastAsia="宋体" w:cs="Times New Roman"/>
                <w:kern w:val="2"/>
                <w:sz w:val="21"/>
                <w:szCs w:val="24"/>
                <w:lang w:val="en-US" w:eastAsia="zh-CN" w:bidi="ar-SA"/>
              </w:rPr>
              <w:t>%</w:t>
            </w:r>
          </w:p>
        </w:tc>
        <w:tc>
          <w:tcPr>
            <w:tcW w:w="4410" w:type="dxa"/>
            <w:noWrap w:val="0"/>
            <w:vAlign w:val="center"/>
          </w:tcPr>
          <w:p>
            <w:pPr>
              <w:widowControl w:val="0"/>
              <w:jc w:val="both"/>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平时</w:t>
            </w:r>
            <w:r>
              <w:rPr>
                <w:rFonts w:hint="eastAsia" w:ascii="Times New Roman" w:hAnsi="Times New Roman" w:eastAsia="宋体" w:cs="Times New Roman"/>
                <w:kern w:val="2"/>
                <w:sz w:val="21"/>
                <w:szCs w:val="21"/>
                <w:lang w:val="en-US" w:eastAsia="zh-CN" w:bidi="ar-SA"/>
              </w:rPr>
              <w:t>考勤</w:t>
            </w:r>
            <w:r>
              <w:rPr>
                <w:rFonts w:ascii="Times New Roman" w:hAnsi="Times New Roman" w:eastAsia="宋体" w:cs="Times New Roman"/>
                <w:kern w:val="2"/>
                <w:sz w:val="21"/>
                <w:szCs w:val="21"/>
                <w:lang w:val="en-US" w:eastAsia="zh-CN" w:bidi="ar-SA"/>
              </w:rPr>
              <w:t>，最后按</w:t>
            </w:r>
            <w:r>
              <w:rPr>
                <w:rFonts w:hint="eastAsia" w:ascii="Times New Roman" w:hAnsi="Times New Roman" w:eastAsia="宋体" w:cs="Times New Roman"/>
                <w:kern w:val="2"/>
                <w:sz w:val="21"/>
                <w:szCs w:val="21"/>
                <w:lang w:val="en-US" w:eastAsia="zh-CN" w:bidi="ar-SA"/>
              </w:rPr>
              <w:t>6</w:t>
            </w:r>
            <w:r>
              <w:rPr>
                <w:rFonts w:ascii="Times New Roman" w:hAnsi="Times New Roman" w:eastAsia="宋体" w:cs="Times New Roman"/>
                <w:kern w:val="2"/>
                <w:sz w:val="21"/>
                <w:szCs w:val="21"/>
                <w:lang w:val="en-US" w:eastAsia="zh-CN" w:bidi="ar-SA"/>
              </w:rPr>
              <w:t>%计入课程总成绩。</w:t>
            </w:r>
          </w:p>
        </w:tc>
        <w:tc>
          <w:tcPr>
            <w:tcW w:w="1470" w:type="dxa"/>
            <w:noWrap w:val="0"/>
            <w:vAlign w:val="center"/>
          </w:tcPr>
          <w:p>
            <w:pPr>
              <w:widowControl w:val="0"/>
              <w:jc w:val="center"/>
              <w:rPr>
                <w:rFonts w:hint="eastAsia" w:ascii="Times New Roman" w:hAnsi="Times New Roman" w:eastAsia="楷体" w:cs="Times New Roman"/>
                <w:kern w:val="2"/>
                <w:sz w:val="21"/>
                <w:szCs w:val="24"/>
                <w:lang w:val="en-US" w:eastAsia="zh-CN" w:bidi="ar-SA"/>
              </w:rPr>
            </w:pPr>
            <w:r>
              <w:rPr>
                <w:rFonts w:ascii="Times New Roman" w:hAnsi="Times New Roman" w:eastAsia="楷体" w:cs="Times New Roman"/>
                <w:color w:val="000000"/>
                <w:kern w:val="2"/>
                <w:sz w:val="21"/>
                <w:szCs w:val="21"/>
                <w:lang w:val="en-US" w:eastAsia="zh-CN" w:bidi="ar-SA"/>
              </w:rPr>
              <w:t>1-</w:t>
            </w:r>
            <w:r>
              <w:rPr>
                <w:rFonts w:hint="eastAsia" w:ascii="Times New Roman" w:hAnsi="Times New Roman" w:eastAsia="楷体" w:cs="Times New Roman"/>
                <w:color w:val="000000"/>
                <w:kern w:val="2"/>
                <w:sz w:val="21"/>
                <w:szCs w:val="21"/>
                <w:lang w:val="en-US" w:eastAsia="zh-CN" w:bidi="ar-SA"/>
              </w:rPr>
              <w:t>3</w:t>
            </w:r>
            <w:r>
              <w:rPr>
                <w:rFonts w:ascii="Times New Roman" w:hAnsi="Times New Roman" w:eastAsia="楷体" w:cs="Times New Roman"/>
                <w:color w:val="000000"/>
                <w:kern w:val="2"/>
                <w:sz w:val="21"/>
                <w:szCs w:val="21"/>
                <w:lang w:val="en-US" w:eastAsia="zh-CN" w:bidi="ar-SA"/>
              </w:rPr>
              <w:t>、</w:t>
            </w:r>
            <w:r>
              <w:rPr>
                <w:rFonts w:hint="eastAsia" w:ascii="Times New Roman" w:hAnsi="Times New Roman" w:eastAsia="楷体" w:cs="Times New Roman"/>
                <w:color w:val="000000"/>
                <w:kern w:val="2"/>
                <w:sz w:val="21"/>
                <w:szCs w:val="21"/>
                <w:lang w:val="en-US" w:eastAsia="zh-CN" w:bidi="ar-SA"/>
              </w:rPr>
              <w:t>2</w:t>
            </w:r>
            <w:r>
              <w:rPr>
                <w:rFonts w:ascii="Times New Roman" w:hAnsi="Times New Roman" w:eastAsia="楷体" w:cs="Times New Roman"/>
                <w:color w:val="000000"/>
                <w:kern w:val="2"/>
                <w:sz w:val="21"/>
                <w:szCs w:val="21"/>
                <w:lang w:val="en-US" w:eastAsia="zh-CN" w:bidi="ar-SA"/>
              </w:rPr>
              <w:t>-</w:t>
            </w:r>
            <w:r>
              <w:rPr>
                <w:rFonts w:hint="eastAsia" w:ascii="Times New Roman" w:hAnsi="Times New Roman" w:eastAsia="楷体" w:cs="Times New Roman"/>
                <w:color w:val="000000"/>
                <w:kern w:val="2"/>
                <w:sz w:val="21"/>
                <w:szCs w:val="21"/>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1044" w:type="dxa"/>
            <w:noWrap w:val="0"/>
            <w:tcMar>
              <w:left w:w="57" w:type="dxa"/>
              <w:right w:w="57" w:type="dxa"/>
            </w:tcMar>
            <w:vAlign w:val="center"/>
          </w:tcPr>
          <w:p>
            <w:pPr>
              <w:widowControl w:val="0"/>
              <w:jc w:val="center"/>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期末考试</w:t>
            </w:r>
          </w:p>
          <w:p>
            <w:pPr>
              <w:widowControl w:val="0"/>
              <w:jc w:val="center"/>
              <w:rPr>
                <w:rFonts w:ascii="Times New Roman" w:hAnsi="Times New Roman" w:eastAsia="宋体" w:cs="Times New Roman"/>
                <w:kern w:val="2"/>
                <w:sz w:val="21"/>
                <w:szCs w:val="24"/>
                <w:lang w:val="en-US" w:eastAsia="zh-CN" w:bidi="ar-SA"/>
              </w:rPr>
            </w:pPr>
          </w:p>
        </w:tc>
        <w:tc>
          <w:tcPr>
            <w:tcW w:w="1565" w:type="dxa"/>
            <w:noWrap w:val="0"/>
            <w:vAlign w:val="center"/>
          </w:tcPr>
          <w:p>
            <w:pPr>
              <w:widowControl w:val="0"/>
              <w:jc w:val="center"/>
              <w:rPr>
                <w:rFonts w:hint="eastAsia"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期末考试</w:t>
            </w:r>
          </w:p>
          <w:p>
            <w:pPr>
              <w:widowControl w:val="0"/>
              <w:jc w:val="center"/>
              <w:rPr>
                <w:rFonts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卷面</w:t>
            </w:r>
            <w:r>
              <w:rPr>
                <w:rFonts w:ascii="Times New Roman" w:hAnsi="Times New Roman" w:eastAsia="宋体" w:cs="Times New Roman"/>
                <w:kern w:val="2"/>
                <w:sz w:val="21"/>
                <w:szCs w:val="24"/>
                <w:lang w:val="en-US" w:eastAsia="zh-CN" w:bidi="ar-SA"/>
              </w:rPr>
              <w:t>成绩</w:t>
            </w:r>
          </w:p>
        </w:tc>
        <w:tc>
          <w:tcPr>
            <w:tcW w:w="808" w:type="dxa"/>
            <w:noWrap w:val="0"/>
            <w:vAlign w:val="center"/>
          </w:tcPr>
          <w:p>
            <w:pPr>
              <w:widowControl w:val="0"/>
              <w:jc w:val="center"/>
              <w:rPr>
                <w:rFonts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7</w:t>
            </w:r>
            <w:r>
              <w:rPr>
                <w:rFonts w:ascii="Times New Roman" w:hAnsi="Times New Roman" w:eastAsia="宋体" w:cs="Times New Roman"/>
                <w:kern w:val="2"/>
                <w:sz w:val="21"/>
                <w:szCs w:val="24"/>
                <w:lang w:val="en-US" w:eastAsia="zh-CN" w:bidi="ar-SA"/>
              </w:rPr>
              <w:t>0%</w:t>
            </w:r>
          </w:p>
        </w:tc>
        <w:tc>
          <w:tcPr>
            <w:tcW w:w="4410" w:type="dxa"/>
            <w:noWrap w:val="0"/>
            <w:vAlign w:val="center"/>
          </w:tcPr>
          <w:p>
            <w:pPr>
              <w:widowControl w:val="0"/>
              <w:jc w:val="both"/>
              <w:rPr>
                <w:rFonts w:ascii="Times New Roman" w:hAnsi="Times New Roman" w:eastAsia="宋体" w:cs="Times New Roman"/>
                <w:color w:val="000000"/>
                <w:kern w:val="2"/>
                <w:sz w:val="21"/>
                <w:szCs w:val="21"/>
                <w:lang w:val="en-US" w:eastAsia="zh-CN" w:bidi="ar-SA"/>
              </w:rPr>
            </w:pPr>
            <w:r>
              <w:rPr>
                <w:rFonts w:ascii="Times New Roman" w:hAnsi="Times New Roman" w:eastAsia="宋体" w:cs="Times New Roman"/>
                <w:color w:val="000000"/>
                <w:kern w:val="2"/>
                <w:sz w:val="21"/>
                <w:szCs w:val="21"/>
                <w:lang w:val="en-US" w:eastAsia="zh-CN" w:bidi="ar-SA"/>
              </w:rPr>
              <w:t>试卷题型包括</w:t>
            </w:r>
            <w:r>
              <w:rPr>
                <w:rFonts w:hint="eastAsia" w:ascii="Times New Roman" w:hAnsi="Times New Roman" w:eastAsia="宋体" w:cs="Times New Roman"/>
                <w:color w:val="000000"/>
                <w:kern w:val="2"/>
                <w:sz w:val="21"/>
                <w:szCs w:val="21"/>
                <w:lang w:val="en-US" w:eastAsia="zh-CN" w:bidi="ar-SA"/>
              </w:rPr>
              <w:t>选择题、</w:t>
            </w:r>
            <w:r>
              <w:rPr>
                <w:rFonts w:ascii="Times New Roman" w:hAnsi="Times New Roman" w:eastAsia="宋体" w:cs="Times New Roman"/>
                <w:color w:val="000000"/>
                <w:kern w:val="2"/>
                <w:sz w:val="21"/>
                <w:szCs w:val="21"/>
                <w:lang w:val="en-US" w:eastAsia="zh-CN" w:bidi="ar-SA"/>
              </w:rPr>
              <w:t>填空题、</w:t>
            </w:r>
            <w:r>
              <w:rPr>
                <w:rFonts w:hint="eastAsia" w:ascii="Times New Roman" w:hAnsi="Times New Roman" w:eastAsia="宋体" w:cs="Times New Roman"/>
                <w:color w:val="000000"/>
                <w:kern w:val="2"/>
                <w:sz w:val="21"/>
                <w:szCs w:val="21"/>
                <w:lang w:val="en-US" w:eastAsia="zh-CN" w:bidi="ar-SA"/>
              </w:rPr>
              <w:t>判断</w:t>
            </w:r>
            <w:r>
              <w:rPr>
                <w:rFonts w:ascii="Times New Roman" w:hAnsi="Times New Roman" w:eastAsia="宋体" w:cs="Times New Roman"/>
                <w:color w:val="000000"/>
                <w:kern w:val="2"/>
                <w:sz w:val="21"/>
                <w:szCs w:val="21"/>
                <w:lang w:val="en-US" w:eastAsia="zh-CN" w:bidi="ar-SA"/>
              </w:rPr>
              <w:t>题、</w:t>
            </w:r>
            <w:r>
              <w:rPr>
                <w:rFonts w:hint="eastAsia" w:ascii="Times New Roman" w:hAnsi="Times New Roman" w:eastAsia="宋体" w:cs="Times New Roman"/>
                <w:color w:val="000000"/>
                <w:kern w:val="2"/>
                <w:sz w:val="21"/>
                <w:szCs w:val="21"/>
                <w:lang w:val="en-US" w:eastAsia="zh-CN" w:bidi="ar-SA"/>
              </w:rPr>
              <w:t>简答题、计算题</w:t>
            </w:r>
            <w:r>
              <w:rPr>
                <w:rFonts w:ascii="Times New Roman" w:hAnsi="Times New Roman" w:eastAsia="宋体" w:cs="Times New Roman"/>
                <w:color w:val="000000"/>
                <w:kern w:val="2"/>
                <w:sz w:val="21"/>
                <w:szCs w:val="21"/>
                <w:lang w:val="en-US" w:eastAsia="zh-CN" w:bidi="ar-SA"/>
              </w:rPr>
              <w:t>，以卷面成绩</w:t>
            </w:r>
            <w:r>
              <w:rPr>
                <w:rFonts w:hint="eastAsia" w:ascii="Times New Roman" w:hAnsi="Times New Roman" w:eastAsia="宋体" w:cs="Times New Roman"/>
                <w:color w:val="000000"/>
                <w:kern w:val="2"/>
                <w:sz w:val="21"/>
                <w:szCs w:val="21"/>
                <w:lang w:val="en-US" w:eastAsia="zh-CN" w:bidi="ar-SA"/>
              </w:rPr>
              <w:t>7</w:t>
            </w:r>
            <w:r>
              <w:rPr>
                <w:rFonts w:ascii="Times New Roman" w:hAnsi="Times New Roman" w:eastAsia="宋体" w:cs="Times New Roman"/>
                <w:color w:val="000000"/>
                <w:kern w:val="2"/>
                <w:sz w:val="21"/>
                <w:szCs w:val="21"/>
                <w:lang w:val="en-US" w:eastAsia="zh-CN" w:bidi="ar-SA"/>
              </w:rPr>
              <w:t>0%计入课程总成绩。</w:t>
            </w:r>
          </w:p>
        </w:tc>
        <w:tc>
          <w:tcPr>
            <w:tcW w:w="1470" w:type="dxa"/>
            <w:noWrap w:val="0"/>
            <w:vAlign w:val="center"/>
          </w:tcPr>
          <w:p>
            <w:pPr>
              <w:widowControl w:val="0"/>
              <w:jc w:val="center"/>
              <w:rPr>
                <w:rFonts w:hint="eastAsia" w:ascii="Times New Roman" w:hAnsi="Times New Roman" w:eastAsia="楷体" w:cs="Times New Roman"/>
                <w:kern w:val="2"/>
                <w:sz w:val="21"/>
                <w:szCs w:val="24"/>
                <w:lang w:val="en-US" w:eastAsia="zh-CN" w:bidi="ar-SA"/>
              </w:rPr>
            </w:pPr>
            <w:r>
              <w:rPr>
                <w:rFonts w:ascii="Times New Roman" w:hAnsi="Times New Roman" w:eastAsia="楷体" w:cs="Times New Roman"/>
                <w:color w:val="000000"/>
                <w:kern w:val="2"/>
                <w:sz w:val="21"/>
                <w:szCs w:val="21"/>
                <w:lang w:val="en-US" w:eastAsia="zh-CN" w:bidi="ar-SA"/>
              </w:rPr>
              <w:t>1</w:t>
            </w:r>
            <w:r>
              <w:rPr>
                <w:rFonts w:hint="eastAsia" w:ascii="Times New Roman" w:hAnsi="Times New Roman" w:eastAsia="楷体" w:cs="Times New Roman"/>
                <w:color w:val="000000"/>
                <w:kern w:val="2"/>
                <w:sz w:val="21"/>
                <w:szCs w:val="21"/>
                <w:lang w:val="en-US" w:eastAsia="zh-CN" w:bidi="ar-SA"/>
              </w:rPr>
              <w:t>-3、2</w:t>
            </w:r>
            <w:r>
              <w:rPr>
                <w:rFonts w:ascii="Times New Roman" w:hAnsi="Times New Roman" w:eastAsia="楷体" w:cs="Times New Roman"/>
                <w:color w:val="000000"/>
                <w:kern w:val="2"/>
                <w:sz w:val="21"/>
                <w:szCs w:val="21"/>
                <w:lang w:val="en-US" w:eastAsia="zh-CN" w:bidi="ar-SA"/>
              </w:rPr>
              <w:t>-</w:t>
            </w:r>
            <w:r>
              <w:rPr>
                <w:rFonts w:hint="eastAsia" w:ascii="Times New Roman" w:hAnsi="Times New Roman" w:eastAsia="楷体" w:cs="Times New Roman"/>
                <w:color w:val="000000"/>
                <w:kern w:val="2"/>
                <w:sz w:val="21"/>
                <w:szCs w:val="21"/>
                <w:lang w:val="en-US" w:eastAsia="zh-CN" w:bidi="ar-SA"/>
              </w:rPr>
              <w:t>3</w:t>
            </w:r>
          </w:p>
        </w:tc>
      </w:tr>
    </w:tbl>
    <w:p>
      <w:pPr>
        <w:spacing w:line="360" w:lineRule="auto"/>
        <w:ind w:firstLine="480" w:firstLineChars="200"/>
        <w:rPr>
          <w:sz w:val="24"/>
          <w:szCs w:val="22"/>
        </w:rPr>
      </w:pPr>
      <w:r>
        <w:rPr>
          <w:sz w:val="24"/>
          <w:szCs w:val="22"/>
        </w:rPr>
        <w:t>（三）所有课程目标均</w:t>
      </w:r>
      <w:r>
        <w:rPr>
          <w:rFonts w:hint="eastAsia"/>
          <w:sz w:val="24"/>
          <w:szCs w:val="22"/>
        </w:rPr>
        <w:t>需</w:t>
      </w:r>
      <w:r>
        <w:rPr>
          <w:sz w:val="24"/>
          <w:szCs w:val="22"/>
        </w:rPr>
        <w:t>大于等于0.6，否则总评成绩不及格，需要补考或重</w:t>
      </w:r>
      <w:r>
        <w:rPr>
          <w:rFonts w:hint="eastAsia"/>
          <w:sz w:val="24"/>
          <w:szCs w:val="22"/>
        </w:rPr>
        <w:t>修。</w:t>
      </w:r>
      <w:r>
        <w:rPr>
          <w:sz w:val="24"/>
          <w:szCs w:val="22"/>
        </w:rPr>
        <w:t>每</w:t>
      </w:r>
      <w:r>
        <w:rPr>
          <w:rFonts w:hint="eastAsia"/>
          <w:sz w:val="24"/>
          <w:szCs w:val="22"/>
        </w:rPr>
        <w:t>个</w:t>
      </w:r>
      <w:r>
        <w:rPr>
          <w:sz w:val="24"/>
          <w:szCs w:val="22"/>
        </w:rPr>
        <w:t>课程目标达成度计算方法如下：</w:t>
      </w:r>
    </w:p>
    <w:p>
      <w:pPr>
        <w:widowControl/>
        <w:spacing w:line="360" w:lineRule="auto"/>
        <w:jc w:val="center"/>
        <w:textAlignment w:val="baseline"/>
        <w:rPr>
          <w:rFonts w:hint="eastAsia"/>
          <w:kern w:val="0"/>
          <w:position w:val="-22"/>
          <w:szCs w:val="21"/>
        </w:rPr>
      </w:pPr>
      <w:r>
        <w:rPr>
          <w:kern w:val="0"/>
          <w:position w:val="-22"/>
          <w:szCs w:val="21"/>
        </w:rPr>
        <w:pict>
          <v:shape id="_x0000_s2054" o:spid="_x0000_s2054" o:spt="75" type="#_x0000_t75" style="position:absolute;left:0pt;margin-left:38.2pt;margin-top:3.35pt;height:32.65pt;width:248.4pt;mso-wrap-distance-bottom:0pt;mso-wrap-distance-left:9pt;mso-wrap-distance-right:9pt;mso-wrap-distance-top:0pt;z-index:251662336;mso-width-relative:page;mso-height-relative:page;" o:ole="t" filled="f" o:preferrelative="t" stroked="f" coordsize="21600,21600">
            <v:path/>
            <v:fill on="f" focussize="0,0"/>
            <v:stroke on="f"/>
            <v:imagedata r:id="rId32" o:title=""/>
            <o:lock v:ext="edit" aspectratio="t"/>
            <w10:wrap type="square"/>
          </v:shape>
          <o:OLEObject Type="Embed" ProgID="Equation.3" ShapeID="_x0000_s2054" DrawAspect="Content" ObjectID="_1468075734" r:id="rId31">
            <o:LockedField>false</o:LockedField>
          </o:OLEObject>
        </w:pict>
      </w:r>
    </w:p>
    <w:p>
      <w:pPr>
        <w:widowControl/>
        <w:tabs>
          <w:tab w:val="left" w:pos="2338"/>
        </w:tabs>
        <w:spacing w:line="360" w:lineRule="auto"/>
        <w:jc w:val="left"/>
        <w:textAlignment w:val="baseline"/>
        <w:rPr>
          <w:rFonts w:hint="eastAsia"/>
          <w:kern w:val="0"/>
          <w:position w:val="-22"/>
          <w:szCs w:val="21"/>
        </w:rPr>
      </w:pPr>
      <w:r>
        <w:rPr>
          <w:rFonts w:hint="eastAsia"/>
          <w:kern w:val="0"/>
          <w:position w:val="-22"/>
          <w:szCs w:val="21"/>
        </w:rPr>
        <w:tab/>
      </w:r>
    </w:p>
    <w:p>
      <w:pPr>
        <w:spacing w:line="360" w:lineRule="auto"/>
        <w:rPr>
          <w:sz w:val="24"/>
          <w:szCs w:val="22"/>
        </w:rPr>
      </w:pPr>
      <w:r>
        <w:rPr>
          <w:sz w:val="24"/>
          <w:szCs w:val="22"/>
        </w:rPr>
        <w:t>式中：Ai=平时成绩占总评成绩的权重×课程目标i在平时成绩中的权重，</w:t>
      </w:r>
    </w:p>
    <w:p>
      <w:pPr>
        <w:spacing w:line="360" w:lineRule="auto"/>
        <w:ind w:firstLine="720" w:firstLineChars="300"/>
        <w:rPr>
          <w:sz w:val="24"/>
          <w:szCs w:val="22"/>
        </w:rPr>
      </w:pPr>
      <w:r>
        <w:rPr>
          <w:sz w:val="24"/>
          <w:szCs w:val="22"/>
        </w:rPr>
        <w:t>Bi=</w:t>
      </w:r>
      <w:r>
        <w:rPr>
          <w:rFonts w:hint="eastAsia"/>
          <w:sz w:val="24"/>
          <w:szCs w:val="22"/>
        </w:rPr>
        <w:t>期末</w:t>
      </w:r>
      <w:r>
        <w:rPr>
          <w:sz w:val="24"/>
          <w:szCs w:val="22"/>
        </w:rPr>
        <w:t>成绩占总评成绩的权重×课程目标i在</w:t>
      </w:r>
      <w:r>
        <w:rPr>
          <w:rFonts w:hint="eastAsia"/>
          <w:sz w:val="24"/>
          <w:szCs w:val="22"/>
        </w:rPr>
        <w:t>期末</w:t>
      </w:r>
      <w:r>
        <w:rPr>
          <w:sz w:val="24"/>
          <w:szCs w:val="22"/>
        </w:rPr>
        <w:t>成绩中的权重。</w:t>
      </w:r>
    </w:p>
    <w:p>
      <w:pPr>
        <w:spacing w:line="360" w:lineRule="auto"/>
        <w:ind w:firstLine="562" w:firstLineChars="200"/>
        <w:rPr>
          <w:rFonts w:hint="eastAsia"/>
          <w:b/>
          <w:sz w:val="28"/>
          <w:szCs w:val="28"/>
        </w:rPr>
      </w:pPr>
      <w:r>
        <w:rPr>
          <w:rFonts w:hint="eastAsia"/>
          <w:b/>
          <w:sz w:val="28"/>
          <w:szCs w:val="28"/>
        </w:rPr>
        <w:t>六</w:t>
      </w:r>
      <w:r>
        <w:rPr>
          <w:b/>
          <w:sz w:val="28"/>
          <w:szCs w:val="28"/>
        </w:rPr>
        <w:t>、</w:t>
      </w:r>
      <w:r>
        <w:rPr>
          <w:rFonts w:hint="eastAsia"/>
          <w:b/>
          <w:sz w:val="28"/>
          <w:szCs w:val="28"/>
        </w:rPr>
        <w:t>有关说明</w:t>
      </w:r>
    </w:p>
    <w:p>
      <w:pPr>
        <w:spacing w:line="360" w:lineRule="auto"/>
        <w:ind w:firstLine="482" w:firstLineChars="200"/>
        <w:rPr>
          <w:rFonts w:hint="eastAsia"/>
          <w:b/>
          <w:color w:val="000000"/>
          <w:sz w:val="24"/>
        </w:rPr>
      </w:pPr>
      <w:r>
        <w:rPr>
          <w:rFonts w:hint="eastAsia"/>
          <w:b/>
          <w:color w:val="000000"/>
          <w:sz w:val="24"/>
        </w:rPr>
        <w:t>（一）持续改进</w:t>
      </w:r>
    </w:p>
    <w:p>
      <w:pPr>
        <w:spacing w:line="360" w:lineRule="auto"/>
        <w:ind w:firstLine="480" w:firstLineChars="200"/>
        <w:rPr>
          <w:color w:val="000000"/>
          <w:sz w:val="24"/>
          <w:szCs w:val="22"/>
        </w:rPr>
      </w:pPr>
      <w:r>
        <w:rPr>
          <w:sz w:val="24"/>
          <w:szCs w:val="22"/>
        </w:rPr>
        <w:t>本课程根据学生作业、课堂讨论、平时考核情况和学生、教学督导等</w:t>
      </w:r>
      <w:r>
        <w:rPr>
          <w:rFonts w:hint="eastAsia"/>
          <w:sz w:val="24"/>
          <w:szCs w:val="22"/>
        </w:rPr>
        <w:t>的</w:t>
      </w:r>
      <w:r>
        <w:rPr>
          <w:sz w:val="24"/>
          <w:szCs w:val="22"/>
        </w:rPr>
        <w:t>反馈，及时对教学中</w:t>
      </w:r>
      <w:r>
        <w:rPr>
          <w:rFonts w:hint="eastAsia"/>
          <w:sz w:val="24"/>
          <w:szCs w:val="22"/>
        </w:rPr>
        <w:t>的</w:t>
      </w:r>
      <w:r>
        <w:rPr>
          <w:sz w:val="24"/>
          <w:szCs w:val="22"/>
        </w:rPr>
        <w:t>不足之处进行改进，并在下一轮课程教学中</w:t>
      </w:r>
      <w:r>
        <w:rPr>
          <w:rFonts w:hint="eastAsia"/>
          <w:sz w:val="24"/>
          <w:szCs w:val="22"/>
        </w:rPr>
        <w:t>整改完善</w:t>
      </w:r>
      <w:r>
        <w:rPr>
          <w:sz w:val="24"/>
          <w:szCs w:val="22"/>
        </w:rPr>
        <w:t>，确保相应毕业要求指标点达成</w:t>
      </w:r>
      <w:r>
        <w:rPr>
          <w:color w:val="000000"/>
          <w:sz w:val="24"/>
          <w:szCs w:val="22"/>
        </w:rPr>
        <w:t>。</w:t>
      </w:r>
    </w:p>
    <w:p>
      <w:pPr>
        <w:spacing w:line="360" w:lineRule="auto"/>
        <w:ind w:firstLine="482" w:firstLineChars="200"/>
        <w:rPr>
          <w:rFonts w:hint="eastAsia"/>
          <w:b/>
          <w:color w:val="000000"/>
          <w:sz w:val="24"/>
        </w:rPr>
      </w:pPr>
      <w:r>
        <w:rPr>
          <w:rFonts w:hint="eastAsia"/>
          <w:b/>
          <w:color w:val="000000"/>
          <w:sz w:val="24"/>
        </w:rPr>
        <w:t>（二）</w:t>
      </w:r>
      <w:r>
        <w:rPr>
          <w:b/>
          <w:color w:val="000000"/>
          <w:sz w:val="24"/>
        </w:rPr>
        <w:t>参考书目及学习资料</w:t>
      </w:r>
    </w:p>
    <w:p>
      <w:pPr>
        <w:tabs>
          <w:tab w:val="center" w:pos="4152"/>
        </w:tabs>
        <w:spacing w:line="400" w:lineRule="exact"/>
        <w:ind w:firstLine="480" w:firstLineChars="200"/>
        <w:rPr>
          <w:sz w:val="24"/>
        </w:rPr>
      </w:pPr>
      <w:r>
        <w:rPr>
          <w:sz w:val="24"/>
        </w:rPr>
        <w:t>1. 陈钟秀 化工热力学（第三版） 北京：化学工业出版社（面向21世纪课程教材）</w:t>
      </w:r>
    </w:p>
    <w:p>
      <w:pPr>
        <w:tabs>
          <w:tab w:val="center" w:pos="4152"/>
        </w:tabs>
        <w:spacing w:line="400" w:lineRule="exact"/>
        <w:ind w:firstLine="480" w:firstLineChars="200"/>
        <w:rPr>
          <w:sz w:val="24"/>
        </w:rPr>
      </w:pPr>
      <w:r>
        <w:rPr>
          <w:sz w:val="24"/>
        </w:rPr>
        <w:t>2. 马沛生  化工热力学（第二版） 北京：化学工业出版社</w:t>
      </w:r>
    </w:p>
    <w:p>
      <w:pPr>
        <w:tabs>
          <w:tab w:val="center" w:pos="4152"/>
        </w:tabs>
        <w:spacing w:line="400" w:lineRule="exact"/>
        <w:ind w:firstLine="480" w:firstLineChars="200"/>
        <w:rPr>
          <w:sz w:val="24"/>
        </w:rPr>
      </w:pPr>
      <w:r>
        <w:rPr>
          <w:sz w:val="24"/>
        </w:rPr>
        <w:t>3. 陈新志  化工热力学（第三版） 北京：化学工业出版社</w:t>
      </w:r>
    </w:p>
    <w:p>
      <w:pPr>
        <w:adjustRightInd w:val="0"/>
        <w:snapToGrid w:val="0"/>
        <w:spacing w:line="400" w:lineRule="exact"/>
        <w:ind w:firstLine="437"/>
        <w:rPr>
          <w:sz w:val="24"/>
        </w:rPr>
      </w:pPr>
      <w:r>
        <w:rPr>
          <w:sz w:val="24"/>
        </w:rPr>
        <w:t>4. 高光华  化工热力学（第二版） 北京：清华大学出版社</w:t>
      </w:r>
    </w:p>
    <w:p>
      <w:pPr>
        <w:adjustRightInd w:val="0"/>
        <w:snapToGrid w:val="0"/>
        <w:spacing w:line="400" w:lineRule="exact"/>
        <w:ind w:firstLine="437"/>
        <w:rPr>
          <w:sz w:val="24"/>
        </w:rPr>
      </w:pPr>
      <w:r>
        <w:rPr>
          <w:sz w:val="24"/>
        </w:rPr>
        <w:t>5. 朱自强  化工热力学（第三版） 北京：化学工业出版社</w:t>
      </w:r>
    </w:p>
    <w:p>
      <w:pPr>
        <w:spacing w:line="360" w:lineRule="auto"/>
        <w:ind w:firstLine="422" w:firstLineChars="200"/>
        <w:rPr>
          <w:rFonts w:hint="eastAsia" w:hAnsi="宋体"/>
          <w:b/>
          <w:szCs w:val="21"/>
        </w:rPr>
      </w:pPr>
    </w:p>
    <w:p>
      <w:pPr>
        <w:autoSpaceDE w:val="0"/>
        <w:autoSpaceDN w:val="0"/>
        <w:adjustRightInd w:val="0"/>
        <w:spacing w:line="360" w:lineRule="auto"/>
        <w:ind w:firstLine="6960" w:firstLineChars="2900"/>
        <w:jc w:val="left"/>
        <w:rPr>
          <w:kern w:val="0"/>
          <w:sz w:val="24"/>
          <w:szCs w:val="21"/>
        </w:rPr>
      </w:pPr>
    </w:p>
    <w:p>
      <w:pPr>
        <w:autoSpaceDE w:val="0"/>
        <w:autoSpaceDN w:val="0"/>
        <w:adjustRightInd w:val="0"/>
        <w:spacing w:line="360" w:lineRule="auto"/>
        <w:jc w:val="right"/>
        <w:rPr>
          <w:rFonts w:hint="eastAsia" w:eastAsia="宋体"/>
          <w:kern w:val="0"/>
          <w:sz w:val="24"/>
          <w:szCs w:val="21"/>
          <w:lang w:eastAsia="zh-CN"/>
        </w:rPr>
      </w:pPr>
      <w:r>
        <w:rPr>
          <w:kern w:val="0"/>
          <w:sz w:val="24"/>
          <w:szCs w:val="21"/>
        </w:rPr>
        <w:t xml:space="preserve">执笔人： </w:t>
      </w:r>
      <w:r>
        <w:rPr>
          <w:rFonts w:hint="eastAsia"/>
          <w:kern w:val="0"/>
          <w:sz w:val="24"/>
          <w:szCs w:val="21"/>
          <w:lang w:eastAsia="zh-CN"/>
        </w:rPr>
        <w:t>魏雪姣</w:t>
      </w:r>
    </w:p>
    <w:p>
      <w:pPr>
        <w:spacing w:line="360" w:lineRule="auto"/>
        <w:jc w:val="right"/>
        <w:rPr>
          <w:rFonts w:hint="eastAsia"/>
          <w:kern w:val="0"/>
          <w:sz w:val="24"/>
          <w:szCs w:val="21"/>
          <w:lang w:eastAsia="zh-CN"/>
        </w:rPr>
      </w:pPr>
      <w:r>
        <w:rPr>
          <w:kern w:val="0"/>
          <w:sz w:val="24"/>
          <w:szCs w:val="21"/>
        </w:rPr>
        <w:t>审定人：</w:t>
      </w:r>
      <w:r>
        <w:rPr>
          <w:rFonts w:hint="eastAsia"/>
          <w:kern w:val="0"/>
          <w:sz w:val="24"/>
          <w:szCs w:val="21"/>
          <w:lang w:eastAsia="zh-CN"/>
        </w:rPr>
        <w:t>魏雪姣</w:t>
      </w:r>
    </w:p>
    <w:p>
      <w:pPr>
        <w:spacing w:line="360" w:lineRule="auto"/>
        <w:jc w:val="right"/>
        <w:rPr>
          <w:rFonts w:hint="eastAsia"/>
          <w:sz w:val="24"/>
        </w:rPr>
      </w:pPr>
      <w:r>
        <w:rPr>
          <w:rFonts w:hint="eastAsia"/>
          <w:kern w:val="0"/>
          <w:sz w:val="24"/>
          <w:szCs w:val="21"/>
        </w:rPr>
        <w:t>审批</w:t>
      </w:r>
      <w:r>
        <w:rPr>
          <w:kern w:val="0"/>
          <w:sz w:val="24"/>
          <w:szCs w:val="21"/>
        </w:rPr>
        <w:t>人：</w:t>
      </w:r>
      <w:r>
        <w:rPr>
          <w:rFonts w:hint="eastAsia"/>
          <w:kern w:val="0"/>
          <w:sz w:val="24"/>
          <w:szCs w:val="21"/>
        </w:rPr>
        <w:t xml:space="preserve"> 吴泽颖</w:t>
      </w:r>
    </w:p>
    <w:p>
      <w:pPr>
        <w:spacing w:line="360" w:lineRule="auto"/>
        <w:jc w:val="right"/>
        <w:rPr>
          <w:sz w:val="24"/>
        </w:rPr>
      </w:pPr>
      <w:r>
        <w:rPr>
          <w:rFonts w:hint="eastAsia"/>
          <w:sz w:val="24"/>
        </w:rPr>
        <w:t>批准时间：202</w:t>
      </w:r>
      <w:r>
        <w:rPr>
          <w:rFonts w:hint="eastAsia"/>
          <w:sz w:val="24"/>
          <w:lang w:val="en-US" w:eastAsia="zh-CN"/>
        </w:rPr>
        <w:t>1</w:t>
      </w:r>
      <w:r>
        <w:rPr>
          <w:rFonts w:hint="eastAsia"/>
          <w:sz w:val="24"/>
        </w:rPr>
        <w:t>.9.1</w:t>
      </w:r>
    </w:p>
    <w:p>
      <w:pPr>
        <w:autoSpaceDE w:val="0"/>
        <w:autoSpaceDN w:val="0"/>
        <w:spacing w:line="360" w:lineRule="auto"/>
        <w:ind w:firstLine="6090" w:firstLineChars="2900"/>
        <w:jc w:val="left"/>
        <w:rPr>
          <w:rFonts w:hint="eastAsia" w:ascii="Times New Roman" w:hAnsi="Times New Roman"/>
          <w:kern w:val="0"/>
        </w:rPr>
      </w:pPr>
    </w:p>
    <w:p>
      <w:pPr>
        <w:autoSpaceDE w:val="0"/>
        <w:autoSpaceDN w:val="0"/>
        <w:spacing w:line="360" w:lineRule="auto"/>
        <w:ind w:firstLine="6090" w:firstLineChars="2900"/>
        <w:jc w:val="left"/>
        <w:rPr>
          <w:rFonts w:hint="eastAsia" w:ascii="Times New Roman" w:hAnsi="Times New Roman"/>
          <w:kern w:val="0"/>
        </w:rPr>
      </w:pPr>
    </w:p>
    <w:p>
      <w:pPr>
        <w:autoSpaceDE w:val="0"/>
        <w:autoSpaceDN w:val="0"/>
        <w:spacing w:line="360" w:lineRule="auto"/>
        <w:ind w:firstLine="6090" w:firstLineChars="2900"/>
        <w:jc w:val="left"/>
        <w:rPr>
          <w:rFonts w:hint="eastAsia" w:ascii="Times New Roman" w:hAnsi="Times New Roman"/>
          <w:kern w:val="0"/>
        </w:rPr>
      </w:pPr>
    </w:p>
    <w:p>
      <w:pPr>
        <w:autoSpaceDE w:val="0"/>
        <w:autoSpaceDN w:val="0"/>
        <w:spacing w:line="360" w:lineRule="auto"/>
        <w:ind w:firstLine="6090" w:firstLineChars="2900"/>
        <w:jc w:val="left"/>
        <w:rPr>
          <w:rFonts w:hint="eastAsia" w:ascii="Times New Roman" w:hAnsi="Times New Roman"/>
          <w:kern w:val="0"/>
        </w:rPr>
      </w:pPr>
    </w:p>
    <w:p>
      <w:pPr>
        <w:autoSpaceDE w:val="0"/>
        <w:autoSpaceDN w:val="0"/>
        <w:spacing w:line="360" w:lineRule="auto"/>
        <w:ind w:firstLine="6090" w:firstLineChars="2900"/>
        <w:jc w:val="left"/>
        <w:rPr>
          <w:rFonts w:hint="eastAsia" w:ascii="Times New Roman" w:hAnsi="Times New Roman"/>
          <w:kern w:val="0"/>
        </w:rPr>
      </w:pPr>
    </w:p>
    <w:p>
      <w:pPr>
        <w:autoSpaceDE w:val="0"/>
        <w:autoSpaceDN w:val="0"/>
        <w:spacing w:line="360" w:lineRule="auto"/>
        <w:ind w:firstLine="6090" w:firstLineChars="2900"/>
        <w:jc w:val="left"/>
        <w:rPr>
          <w:rFonts w:hint="eastAsia" w:ascii="Times New Roman" w:hAnsi="Times New Roman"/>
          <w:kern w:val="0"/>
        </w:rPr>
      </w:pPr>
    </w:p>
    <w:p>
      <w:pPr>
        <w:autoSpaceDE w:val="0"/>
        <w:autoSpaceDN w:val="0"/>
        <w:spacing w:line="360" w:lineRule="auto"/>
        <w:ind w:firstLine="6090" w:firstLineChars="2900"/>
        <w:jc w:val="left"/>
        <w:rPr>
          <w:rFonts w:hint="eastAsia" w:ascii="Times New Roman" w:hAnsi="Times New Roman"/>
          <w:kern w:val="0"/>
        </w:rPr>
      </w:pPr>
    </w:p>
    <w:p>
      <w:pPr>
        <w:autoSpaceDE w:val="0"/>
        <w:autoSpaceDN w:val="0"/>
        <w:spacing w:line="360" w:lineRule="auto"/>
        <w:ind w:firstLine="6090" w:firstLineChars="2900"/>
        <w:jc w:val="left"/>
        <w:rPr>
          <w:rFonts w:hint="eastAsia" w:ascii="Times New Roman" w:hAnsi="Times New Roman"/>
          <w:kern w:val="0"/>
        </w:rPr>
      </w:pPr>
    </w:p>
    <w:p>
      <w:pPr>
        <w:pStyle w:val="3"/>
        <w:bidi w:val="0"/>
        <w:jc w:val="center"/>
      </w:pPr>
      <w:bookmarkStart w:id="208" w:name="_Toc27207"/>
      <w:bookmarkStart w:id="209" w:name="_Toc2420"/>
      <w:r>
        <w:rPr>
          <w:rFonts w:hint="eastAsia"/>
        </w:rPr>
        <w:t>化工系统工程</w:t>
      </w:r>
      <w:r>
        <w:t>课程教学大纲</w:t>
      </w:r>
      <w:bookmarkEnd w:id="208"/>
      <w:bookmarkEnd w:id="209"/>
    </w:p>
    <w:p>
      <w:pPr>
        <w:jc w:val="center"/>
        <w:rPr>
          <w:b/>
          <w:bCs/>
          <w:sz w:val="30"/>
        </w:rPr>
      </w:pPr>
      <w:r>
        <w:rPr>
          <w:b/>
          <w:bCs/>
          <w:sz w:val="30"/>
        </w:rPr>
        <w:t>（C</w:t>
      </w:r>
      <w:r>
        <w:rPr>
          <w:rFonts w:hint="eastAsia"/>
          <w:b/>
          <w:bCs/>
          <w:sz w:val="30"/>
        </w:rPr>
        <w:t>hemical System Engineering</w:t>
      </w:r>
      <w:r>
        <w:rPr>
          <w:b/>
          <w:bCs/>
          <w:sz w:val="30"/>
        </w:rPr>
        <w:t>）</w:t>
      </w:r>
    </w:p>
    <w:p>
      <w:pPr>
        <w:spacing w:line="360" w:lineRule="auto"/>
        <w:rPr>
          <w:b/>
          <w:sz w:val="28"/>
          <w:szCs w:val="28"/>
        </w:rPr>
      </w:pPr>
      <w:r>
        <w:rPr>
          <w:b/>
          <w:sz w:val="28"/>
          <w:szCs w:val="28"/>
        </w:rPr>
        <w:t>一、课程概况</w:t>
      </w:r>
    </w:p>
    <w:p>
      <w:pPr>
        <w:spacing w:line="360" w:lineRule="auto"/>
        <w:ind w:firstLine="482" w:firstLineChars="200"/>
        <w:rPr>
          <w:b/>
          <w:sz w:val="28"/>
          <w:szCs w:val="28"/>
        </w:rPr>
      </w:pPr>
      <w:r>
        <w:rPr>
          <w:b/>
          <w:bCs/>
          <w:kern w:val="0"/>
          <w:sz w:val="24"/>
        </w:rPr>
        <w:t>课程代码</w:t>
      </w:r>
      <w:r>
        <w:rPr>
          <w:b/>
          <w:kern w:val="0"/>
          <w:sz w:val="24"/>
        </w:rPr>
        <w:t>：</w:t>
      </w:r>
      <w:r>
        <w:rPr>
          <w:rFonts w:hint="eastAsia"/>
          <w:b/>
          <w:kern w:val="0"/>
          <w:sz w:val="24"/>
        </w:rPr>
        <w:t>2501049</w:t>
      </w:r>
    </w:p>
    <w:p>
      <w:pPr>
        <w:spacing w:line="360" w:lineRule="auto"/>
        <w:ind w:firstLine="482" w:firstLineChars="200"/>
        <w:rPr>
          <w:kern w:val="0"/>
          <w:sz w:val="24"/>
        </w:rPr>
      </w:pPr>
      <w:r>
        <w:rPr>
          <w:b/>
          <w:bCs/>
          <w:kern w:val="0"/>
          <w:sz w:val="24"/>
        </w:rPr>
        <w:t>学    分</w:t>
      </w:r>
      <w:r>
        <w:rPr>
          <w:b/>
          <w:kern w:val="0"/>
          <w:sz w:val="24"/>
        </w:rPr>
        <w:t>：</w:t>
      </w:r>
      <w:r>
        <w:rPr>
          <w:rFonts w:hint="eastAsia"/>
          <w:b/>
          <w:kern w:val="0"/>
          <w:sz w:val="24"/>
        </w:rPr>
        <w:t>2</w:t>
      </w:r>
    </w:p>
    <w:p>
      <w:pPr>
        <w:spacing w:line="360" w:lineRule="auto"/>
        <w:ind w:firstLine="482" w:firstLineChars="200"/>
        <w:rPr>
          <w:b/>
          <w:kern w:val="0"/>
          <w:sz w:val="24"/>
        </w:rPr>
      </w:pPr>
      <w:r>
        <w:rPr>
          <w:b/>
          <w:bCs/>
          <w:kern w:val="0"/>
          <w:sz w:val="24"/>
        </w:rPr>
        <w:t>学    时</w:t>
      </w:r>
      <w:r>
        <w:rPr>
          <w:b/>
          <w:kern w:val="0"/>
          <w:sz w:val="24"/>
        </w:rPr>
        <w:t>：</w:t>
      </w:r>
      <w:r>
        <w:rPr>
          <w:rFonts w:hint="eastAsia"/>
          <w:b/>
          <w:kern w:val="0"/>
          <w:sz w:val="24"/>
        </w:rPr>
        <w:t>32</w:t>
      </w:r>
    </w:p>
    <w:p>
      <w:pPr>
        <w:spacing w:line="360" w:lineRule="auto"/>
        <w:ind w:firstLine="482" w:firstLineChars="200"/>
        <w:rPr>
          <w:bCs/>
          <w:sz w:val="24"/>
        </w:rPr>
      </w:pPr>
      <w:r>
        <w:rPr>
          <w:b/>
          <w:bCs/>
          <w:kern w:val="0"/>
          <w:sz w:val="24"/>
        </w:rPr>
        <w:t>先修课程</w:t>
      </w:r>
      <w:r>
        <w:rPr>
          <w:b/>
          <w:kern w:val="0"/>
          <w:sz w:val="24"/>
        </w:rPr>
        <w:t>：</w:t>
      </w:r>
      <w:r>
        <w:rPr>
          <w:bCs/>
          <w:kern w:val="0"/>
          <w:sz w:val="24"/>
        </w:rPr>
        <w:t>高等数学、物理</w:t>
      </w:r>
      <w:r>
        <w:rPr>
          <w:rFonts w:hint="eastAsia"/>
          <w:bCs/>
          <w:kern w:val="0"/>
          <w:sz w:val="24"/>
        </w:rPr>
        <w:t>化学</w:t>
      </w:r>
      <w:r>
        <w:rPr>
          <w:bCs/>
          <w:kern w:val="0"/>
          <w:sz w:val="24"/>
        </w:rPr>
        <w:t>、</w:t>
      </w:r>
      <w:r>
        <w:rPr>
          <w:rFonts w:hint="eastAsia"/>
          <w:bCs/>
          <w:sz w:val="24"/>
        </w:rPr>
        <w:t>化工原理、化工热力学</w:t>
      </w:r>
    </w:p>
    <w:p>
      <w:pPr>
        <w:spacing w:line="360" w:lineRule="auto"/>
        <w:ind w:firstLine="482" w:firstLineChars="200"/>
        <w:rPr>
          <w:kern w:val="0"/>
          <w:sz w:val="24"/>
        </w:rPr>
      </w:pPr>
      <w:r>
        <w:rPr>
          <w:b/>
          <w:bCs/>
          <w:kern w:val="0"/>
          <w:sz w:val="24"/>
        </w:rPr>
        <w:t>适用专业</w:t>
      </w:r>
      <w:r>
        <w:rPr>
          <w:b/>
          <w:kern w:val="0"/>
          <w:sz w:val="24"/>
        </w:rPr>
        <w:t>：</w:t>
      </w:r>
      <w:r>
        <w:rPr>
          <w:rFonts w:hint="eastAsia"/>
          <w:sz w:val="24"/>
        </w:rPr>
        <w:t>化学工程与工艺</w:t>
      </w:r>
    </w:p>
    <w:p>
      <w:pPr>
        <w:spacing w:line="360" w:lineRule="auto"/>
        <w:ind w:firstLine="482" w:firstLineChars="200"/>
        <w:rPr>
          <w:sz w:val="24"/>
        </w:rPr>
      </w:pPr>
      <w:r>
        <w:rPr>
          <w:b/>
          <w:bCs/>
          <w:kern w:val="0"/>
          <w:sz w:val="24"/>
        </w:rPr>
        <w:t>教    材</w:t>
      </w:r>
      <w:r>
        <w:rPr>
          <w:b/>
          <w:kern w:val="0"/>
          <w:sz w:val="24"/>
        </w:rPr>
        <w:t>：</w:t>
      </w:r>
      <w:r>
        <w:rPr>
          <w:kern w:val="0"/>
          <w:sz w:val="24"/>
        </w:rPr>
        <w:t>《</w:t>
      </w:r>
      <w:r>
        <w:rPr>
          <w:rFonts w:hint="eastAsia"/>
          <w:kern w:val="0"/>
          <w:sz w:val="24"/>
        </w:rPr>
        <w:t>化工系统工程理论与实践</w:t>
      </w:r>
      <w:r>
        <w:rPr>
          <w:kern w:val="0"/>
          <w:sz w:val="24"/>
        </w:rPr>
        <w:t>》，</w:t>
      </w:r>
      <w:r>
        <w:rPr>
          <w:rFonts w:hint="eastAsia"/>
          <w:kern w:val="0"/>
          <w:sz w:val="24"/>
        </w:rPr>
        <w:t>王健红、冯树波、杜增智</w:t>
      </w:r>
      <w:r>
        <w:rPr>
          <w:kern w:val="0"/>
          <w:sz w:val="24"/>
        </w:rPr>
        <w:t>编</w:t>
      </w:r>
      <w:r>
        <w:rPr>
          <w:rFonts w:hint="eastAsia"/>
          <w:kern w:val="0"/>
          <w:sz w:val="24"/>
        </w:rPr>
        <w:t>著</w:t>
      </w:r>
      <w:r>
        <w:rPr>
          <w:sz w:val="24"/>
        </w:rPr>
        <w:t>，</w:t>
      </w:r>
      <w:r>
        <w:rPr>
          <w:rFonts w:hint="eastAsia"/>
          <w:sz w:val="24"/>
        </w:rPr>
        <w:t>化学工业</w:t>
      </w:r>
      <w:r>
        <w:rPr>
          <w:kern w:val="0"/>
          <w:sz w:val="24"/>
        </w:rPr>
        <w:t>出版社</w:t>
      </w:r>
      <w:r>
        <w:rPr>
          <w:sz w:val="24"/>
        </w:rPr>
        <w:t>，20</w:t>
      </w:r>
      <w:r>
        <w:rPr>
          <w:rFonts w:hint="eastAsia"/>
          <w:sz w:val="24"/>
        </w:rPr>
        <w:t>09</w:t>
      </w:r>
    </w:p>
    <w:p>
      <w:pPr>
        <w:spacing w:line="360" w:lineRule="auto"/>
        <w:ind w:firstLine="482" w:firstLineChars="200"/>
        <w:rPr>
          <w:kern w:val="0"/>
          <w:sz w:val="24"/>
        </w:rPr>
      </w:pPr>
      <w:r>
        <w:rPr>
          <w:b/>
          <w:bCs/>
          <w:kern w:val="0"/>
          <w:sz w:val="24"/>
        </w:rPr>
        <w:t>课程归口：</w:t>
      </w:r>
      <w:r>
        <w:rPr>
          <w:rFonts w:hint="eastAsia"/>
          <w:kern w:val="0"/>
          <w:sz w:val="24"/>
        </w:rPr>
        <w:t>化工与材料</w:t>
      </w:r>
      <w:r>
        <w:rPr>
          <w:kern w:val="0"/>
          <w:sz w:val="24"/>
        </w:rPr>
        <w:t>学院</w:t>
      </w:r>
    </w:p>
    <w:p>
      <w:pPr>
        <w:spacing w:line="360" w:lineRule="auto"/>
        <w:ind w:firstLine="482" w:firstLineChars="200"/>
        <w:rPr>
          <w:bCs/>
          <w:kern w:val="0"/>
          <w:sz w:val="24"/>
        </w:rPr>
      </w:pPr>
      <w:r>
        <w:rPr>
          <w:b/>
          <w:bCs/>
          <w:kern w:val="0"/>
          <w:sz w:val="24"/>
        </w:rPr>
        <w:t>课程团队：</w:t>
      </w:r>
      <w:r>
        <w:rPr>
          <w:rFonts w:hint="eastAsia"/>
          <w:kern w:val="0"/>
          <w:sz w:val="24"/>
        </w:rPr>
        <w:t>化工核心课教学团队</w:t>
      </w:r>
    </w:p>
    <w:p>
      <w:pPr>
        <w:spacing w:line="300" w:lineRule="auto"/>
        <w:ind w:firstLine="482" w:firstLineChars="200"/>
        <w:rPr>
          <w:bCs/>
          <w:color w:val="000000"/>
          <w:sz w:val="24"/>
        </w:rPr>
      </w:pPr>
      <w:r>
        <w:rPr>
          <w:b/>
          <w:bCs/>
          <w:kern w:val="0"/>
          <w:sz w:val="24"/>
        </w:rPr>
        <w:t>课程</w:t>
      </w:r>
      <w:r>
        <w:rPr>
          <w:rFonts w:hint="eastAsia"/>
          <w:b/>
          <w:bCs/>
          <w:kern w:val="0"/>
          <w:sz w:val="24"/>
        </w:rPr>
        <w:t>性质与</w:t>
      </w:r>
      <w:r>
        <w:rPr>
          <w:b/>
          <w:bCs/>
          <w:kern w:val="0"/>
          <w:sz w:val="24"/>
        </w:rPr>
        <w:t>任务：</w:t>
      </w:r>
      <w:r>
        <w:rPr>
          <w:rFonts w:hint="eastAsia"/>
          <w:bCs/>
          <w:color w:val="000000"/>
          <w:sz w:val="24"/>
        </w:rPr>
        <w:t>本课程属于专业基础课，是化学工程与工艺专业的专业核心课程，在整个专业人才培养体系中起着承前启后的重要作用。</w:t>
      </w:r>
      <w:r>
        <w:rPr>
          <w:bCs/>
          <w:color w:val="000000"/>
          <w:sz w:val="24"/>
        </w:rPr>
        <w:t>本课程</w:t>
      </w:r>
      <w:r>
        <w:rPr>
          <w:rFonts w:hint="eastAsia"/>
          <w:bCs/>
          <w:color w:val="000000"/>
          <w:sz w:val="24"/>
        </w:rPr>
        <w:t>的</w:t>
      </w:r>
      <w:r>
        <w:rPr>
          <w:bCs/>
          <w:color w:val="000000"/>
          <w:sz w:val="24"/>
        </w:rPr>
        <w:t>任务是使学生初步掌握对过程进行模拟、分析、优化和合成的系统工程方法，培养综合运用化工基础知识和专业知识处理实际问题的能力。</w:t>
      </w:r>
      <w:r>
        <w:rPr>
          <w:rFonts w:hint="eastAsia"/>
          <w:bCs/>
          <w:color w:val="000000"/>
          <w:sz w:val="24"/>
        </w:rPr>
        <w:t>在教学过程中</w:t>
      </w:r>
      <w:r>
        <w:rPr>
          <w:bCs/>
          <w:color w:val="000000"/>
          <w:sz w:val="24"/>
        </w:rPr>
        <w:t>让学生了解化工系统工程是以系统(特别是大系统)为对象的一门学科，使学生掌握化工系统工程研究的是化工</w:t>
      </w:r>
      <w:r>
        <w:rPr>
          <w:rFonts w:hint="eastAsia"/>
          <w:bCs/>
          <w:color w:val="000000"/>
          <w:sz w:val="24"/>
        </w:rPr>
        <w:t>系统</w:t>
      </w:r>
      <w:r>
        <w:rPr>
          <w:bCs/>
          <w:color w:val="000000"/>
          <w:sz w:val="24"/>
        </w:rPr>
        <w:t>过程整体的特性，让学生理解化工系统工程的模型方法，用数学模型，即数学方程来描述过程的特性</w:t>
      </w:r>
      <w:r>
        <w:rPr>
          <w:rFonts w:hint="eastAsia"/>
          <w:bCs/>
          <w:color w:val="000000"/>
          <w:sz w:val="24"/>
        </w:rPr>
        <w:t>，以达到</w:t>
      </w:r>
      <w:r>
        <w:rPr>
          <w:bCs/>
          <w:color w:val="000000"/>
          <w:sz w:val="24"/>
        </w:rPr>
        <w:t>最优设计、最优控制和最优管理</w:t>
      </w:r>
      <w:r>
        <w:rPr>
          <w:rFonts w:hint="eastAsia"/>
          <w:bCs/>
          <w:color w:val="000000"/>
          <w:sz w:val="24"/>
        </w:rPr>
        <w:t>的</w:t>
      </w:r>
      <w:r>
        <w:rPr>
          <w:bCs/>
          <w:color w:val="000000"/>
          <w:sz w:val="24"/>
        </w:rPr>
        <w:t>目标。</w:t>
      </w:r>
      <w:r>
        <w:rPr>
          <w:rFonts w:hint="eastAsia"/>
          <w:bCs/>
          <w:color w:val="000000"/>
          <w:sz w:val="24"/>
        </w:rPr>
        <w:t>以实践为基础，以理论作解释，树立学生理论联系实际的科学观；以继承经典为首要任务，以发展创新为长远目标，培养学生的创新精神；让学生学会以全局观观察和评价学术成果，不以偏概全，为毕业后从事相关工作打下基础。</w:t>
      </w:r>
    </w:p>
    <w:p>
      <w:pPr>
        <w:spacing w:line="360" w:lineRule="auto"/>
        <w:rPr>
          <w:b/>
          <w:sz w:val="28"/>
          <w:szCs w:val="28"/>
        </w:rPr>
      </w:pPr>
      <w:r>
        <w:rPr>
          <w:b/>
          <w:sz w:val="28"/>
          <w:szCs w:val="28"/>
        </w:rPr>
        <w:t>二、课程目标及对毕业要求观测点的支撑</w:t>
      </w:r>
    </w:p>
    <w:tbl>
      <w:tblPr>
        <w:tblStyle w:val="1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118"/>
        <w:gridCol w:w="2292"/>
        <w:gridCol w:w="3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38" w:type="dxa"/>
            <w:shd w:val="clear" w:color="auto" w:fill="auto"/>
            <w:noWrap/>
            <w:vAlign w:val="center"/>
          </w:tcPr>
          <w:p>
            <w:pPr>
              <w:widowControl/>
              <w:jc w:val="center"/>
              <w:rPr>
                <w:b/>
                <w:bCs/>
                <w:kern w:val="0"/>
                <w:szCs w:val="21"/>
              </w:rPr>
            </w:pPr>
            <w:r>
              <w:rPr>
                <w:b/>
                <w:bCs/>
                <w:kern w:val="0"/>
                <w:szCs w:val="21"/>
              </w:rPr>
              <w:t>序号</w:t>
            </w:r>
          </w:p>
        </w:tc>
        <w:tc>
          <w:tcPr>
            <w:tcW w:w="3118" w:type="dxa"/>
            <w:shd w:val="clear" w:color="auto" w:fill="auto"/>
            <w:noWrap/>
            <w:vAlign w:val="center"/>
          </w:tcPr>
          <w:p>
            <w:pPr>
              <w:widowControl/>
              <w:jc w:val="center"/>
              <w:rPr>
                <w:b/>
                <w:bCs/>
                <w:kern w:val="0"/>
                <w:szCs w:val="21"/>
              </w:rPr>
            </w:pPr>
            <w:r>
              <w:rPr>
                <w:b/>
                <w:bCs/>
                <w:kern w:val="0"/>
                <w:szCs w:val="21"/>
              </w:rPr>
              <w:t>课程目标</w:t>
            </w:r>
          </w:p>
          <w:p>
            <w:pPr>
              <w:widowControl/>
              <w:jc w:val="center"/>
              <w:rPr>
                <w:b/>
                <w:bCs/>
                <w:kern w:val="0"/>
                <w:szCs w:val="21"/>
              </w:rPr>
            </w:pPr>
          </w:p>
        </w:tc>
        <w:tc>
          <w:tcPr>
            <w:tcW w:w="2292" w:type="dxa"/>
            <w:shd w:val="clear" w:color="auto" w:fill="auto"/>
            <w:noWrap/>
            <w:vAlign w:val="center"/>
          </w:tcPr>
          <w:p>
            <w:pPr>
              <w:widowControl/>
              <w:jc w:val="center"/>
              <w:rPr>
                <w:b/>
                <w:bCs/>
                <w:kern w:val="0"/>
                <w:szCs w:val="21"/>
              </w:rPr>
            </w:pPr>
            <w:r>
              <w:rPr>
                <w:b/>
                <w:bCs/>
                <w:kern w:val="0"/>
                <w:szCs w:val="21"/>
              </w:rPr>
              <w:t>支撑毕业要求观测点</w:t>
            </w:r>
          </w:p>
        </w:tc>
        <w:tc>
          <w:tcPr>
            <w:tcW w:w="3066" w:type="dxa"/>
            <w:shd w:val="clear" w:color="auto" w:fill="auto"/>
            <w:noWrap/>
            <w:vAlign w:val="center"/>
          </w:tcPr>
          <w:p>
            <w:pPr>
              <w:widowControl/>
              <w:jc w:val="center"/>
              <w:rPr>
                <w:b/>
                <w:bCs/>
                <w:kern w:val="0"/>
                <w:szCs w:val="21"/>
              </w:rPr>
            </w:pPr>
            <w:r>
              <w:rPr>
                <w:b/>
                <w:bCs/>
                <w:kern w:val="0"/>
                <w:szCs w:val="21"/>
              </w:rPr>
              <w:t>毕业要求</w:t>
            </w:r>
          </w:p>
          <w:p>
            <w:pPr>
              <w:widowControl/>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38" w:type="dxa"/>
            <w:shd w:val="clear" w:color="auto" w:fill="auto"/>
            <w:noWrap/>
            <w:vAlign w:val="center"/>
          </w:tcPr>
          <w:p>
            <w:pPr>
              <w:widowControl/>
              <w:jc w:val="center"/>
              <w:rPr>
                <w:kern w:val="0"/>
                <w:szCs w:val="21"/>
              </w:rPr>
            </w:pPr>
            <w:r>
              <w:rPr>
                <w:kern w:val="0"/>
                <w:szCs w:val="21"/>
              </w:rPr>
              <w:t>1</w:t>
            </w:r>
          </w:p>
        </w:tc>
        <w:tc>
          <w:tcPr>
            <w:tcW w:w="3118" w:type="dxa"/>
            <w:shd w:val="clear" w:color="auto" w:fill="auto"/>
            <w:noWrap/>
            <w:vAlign w:val="center"/>
          </w:tcPr>
          <w:p>
            <w:pPr>
              <w:rPr>
                <w:kern w:val="0"/>
                <w:szCs w:val="21"/>
              </w:rPr>
            </w:pPr>
            <w:r>
              <w:rPr>
                <w:b/>
                <w:kern w:val="0"/>
                <w:szCs w:val="21"/>
              </w:rPr>
              <w:t>目标1：</w:t>
            </w:r>
            <w:r>
              <w:rPr>
                <w:kern w:val="0"/>
                <w:szCs w:val="21"/>
              </w:rPr>
              <w:t>能够理解掌握</w:t>
            </w:r>
            <w:r>
              <w:rPr>
                <w:rFonts w:hint="eastAsia"/>
                <w:kern w:val="0"/>
                <w:szCs w:val="21"/>
              </w:rPr>
              <w:t>化工过程、化工系统、单元模型的</w:t>
            </w:r>
            <w:r>
              <w:rPr>
                <w:kern w:val="0"/>
                <w:szCs w:val="21"/>
              </w:rPr>
              <w:t>基本概念、分析原理及方法，</w:t>
            </w:r>
            <w:r>
              <w:rPr>
                <w:rFonts w:hint="eastAsia"/>
                <w:kern w:val="0"/>
                <w:szCs w:val="21"/>
              </w:rPr>
              <w:t>能够进行化工过程的稳态分析与简单模拟及</w:t>
            </w:r>
            <w:r>
              <w:rPr>
                <w:kern w:val="0"/>
                <w:sz w:val="22"/>
              </w:rPr>
              <w:t>数学</w:t>
            </w:r>
            <w:r>
              <w:rPr>
                <w:rFonts w:hint="eastAsia"/>
                <w:kern w:val="0"/>
                <w:sz w:val="22"/>
              </w:rPr>
              <w:t>模型的初步建立</w:t>
            </w:r>
            <w:r>
              <w:rPr>
                <w:kern w:val="0"/>
                <w:szCs w:val="21"/>
              </w:rPr>
              <w:t>。</w:t>
            </w:r>
          </w:p>
        </w:tc>
        <w:tc>
          <w:tcPr>
            <w:tcW w:w="2292" w:type="dxa"/>
            <w:shd w:val="clear" w:color="auto" w:fill="auto"/>
            <w:noWrap/>
            <w:vAlign w:val="center"/>
          </w:tcPr>
          <w:p>
            <w:pPr>
              <w:widowControl/>
              <w:rPr>
                <w:kern w:val="0"/>
                <w:szCs w:val="21"/>
              </w:rPr>
            </w:pPr>
            <w:r>
              <w:rPr>
                <w:b/>
                <w:szCs w:val="21"/>
              </w:rPr>
              <w:t>观测点1</w:t>
            </w:r>
            <w:r>
              <w:rPr>
                <w:rFonts w:hint="eastAsia"/>
                <w:b/>
                <w:szCs w:val="21"/>
              </w:rPr>
              <w:t>-4</w:t>
            </w:r>
            <w:r>
              <w:rPr>
                <w:szCs w:val="21"/>
              </w:rPr>
              <w:t>：</w:t>
            </w:r>
            <w:r>
              <w:rPr>
                <w:rFonts w:hint="eastAsia" w:ascii="宋体" w:hAnsi="宋体" w:cs="宋体"/>
                <w:color w:val="000000"/>
                <w:kern w:val="0"/>
              </w:rPr>
              <w:t>掌握化工反应、分离等专业知识。</w:t>
            </w:r>
          </w:p>
        </w:tc>
        <w:tc>
          <w:tcPr>
            <w:tcW w:w="3066" w:type="dxa"/>
            <w:shd w:val="clear" w:color="auto" w:fill="auto"/>
            <w:noWrap/>
            <w:vAlign w:val="center"/>
          </w:tcPr>
          <w:p>
            <w:pPr>
              <w:widowControl/>
              <w:rPr>
                <w:kern w:val="0"/>
                <w:szCs w:val="21"/>
              </w:rPr>
            </w:pPr>
            <w:r>
              <w:rPr>
                <w:b/>
                <w:szCs w:val="21"/>
              </w:rPr>
              <w:t>毕业要求1</w:t>
            </w:r>
            <w:r>
              <w:rPr>
                <w:rFonts w:hint="eastAsia"/>
                <w:b/>
                <w:szCs w:val="21"/>
              </w:rPr>
              <w:t xml:space="preserve"> </w:t>
            </w:r>
            <w:r>
              <w:rPr>
                <w:rFonts w:hint="eastAsia"/>
                <w:szCs w:val="21"/>
              </w:rPr>
              <w:t>工程知识：能够将数学、自然科学、工程基础和专业知识用于解决</w:t>
            </w:r>
            <w:r>
              <w:rPr>
                <w:szCs w:val="21"/>
              </w:rPr>
              <w:t>化学工程与工艺</w:t>
            </w:r>
            <w:r>
              <w:rPr>
                <w:rFonts w:hint="eastAsia"/>
                <w:szCs w:val="21"/>
              </w:rPr>
              <w:t>领域复杂工程问题。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38" w:type="dxa"/>
            <w:shd w:val="clear" w:color="auto" w:fill="auto"/>
            <w:noWrap/>
            <w:vAlign w:val="center"/>
          </w:tcPr>
          <w:p>
            <w:pPr>
              <w:widowControl/>
              <w:jc w:val="center"/>
              <w:rPr>
                <w:kern w:val="0"/>
                <w:szCs w:val="21"/>
              </w:rPr>
            </w:pPr>
            <w:r>
              <w:rPr>
                <w:kern w:val="0"/>
                <w:szCs w:val="21"/>
              </w:rPr>
              <w:t>2</w:t>
            </w:r>
          </w:p>
        </w:tc>
        <w:tc>
          <w:tcPr>
            <w:tcW w:w="3118" w:type="dxa"/>
            <w:shd w:val="clear" w:color="auto" w:fill="auto"/>
            <w:noWrap/>
            <w:vAlign w:val="center"/>
          </w:tcPr>
          <w:p>
            <w:pPr>
              <w:widowControl/>
              <w:rPr>
                <w:kern w:val="0"/>
                <w:szCs w:val="21"/>
              </w:rPr>
            </w:pPr>
            <w:r>
              <w:rPr>
                <w:b/>
                <w:kern w:val="0"/>
                <w:szCs w:val="21"/>
              </w:rPr>
              <w:t>目标2：</w:t>
            </w:r>
            <w:r>
              <w:rPr>
                <w:kern w:val="0"/>
                <w:szCs w:val="21"/>
              </w:rPr>
              <w:t>能够</w:t>
            </w:r>
            <w:r>
              <w:rPr>
                <w:kern w:val="0"/>
                <w:sz w:val="22"/>
              </w:rPr>
              <w:t>掌握</w:t>
            </w:r>
            <w:r>
              <w:rPr>
                <w:rFonts w:hint="eastAsia"/>
                <w:kern w:val="0"/>
                <w:sz w:val="22"/>
              </w:rPr>
              <w:t>化工过程系统的数学模型与优化，</w:t>
            </w:r>
            <w:r>
              <w:rPr>
                <w:kern w:val="0"/>
                <w:sz w:val="22"/>
              </w:rPr>
              <w:t>并结合所学专业知识，</w:t>
            </w:r>
            <w:r>
              <w:rPr>
                <w:rFonts w:hint="eastAsia"/>
                <w:kern w:val="0"/>
                <w:sz w:val="22"/>
              </w:rPr>
              <w:t>了解</w:t>
            </w:r>
            <w:r>
              <w:rPr>
                <w:rFonts w:hint="eastAsia"/>
                <w:kern w:val="0"/>
                <w:szCs w:val="21"/>
              </w:rPr>
              <w:t>换热网络、水网络、氢网络的集成与优化。</w:t>
            </w:r>
          </w:p>
        </w:tc>
        <w:tc>
          <w:tcPr>
            <w:tcW w:w="2292" w:type="dxa"/>
            <w:shd w:val="clear" w:color="auto" w:fill="auto"/>
            <w:noWrap/>
            <w:vAlign w:val="center"/>
          </w:tcPr>
          <w:p>
            <w:pPr>
              <w:widowControl/>
              <w:rPr>
                <w:kern w:val="0"/>
                <w:szCs w:val="21"/>
              </w:rPr>
            </w:pPr>
            <w:r>
              <w:rPr>
                <w:b/>
                <w:color w:val="000000"/>
                <w:kern w:val="0"/>
                <w:szCs w:val="21"/>
              </w:rPr>
              <w:t>观测点</w:t>
            </w:r>
            <w:r>
              <w:rPr>
                <w:b/>
                <w:szCs w:val="21"/>
              </w:rPr>
              <w:t>2</w:t>
            </w:r>
            <w:r>
              <w:rPr>
                <w:rFonts w:hint="eastAsia"/>
                <w:b/>
                <w:szCs w:val="21"/>
              </w:rPr>
              <w:t>-4</w:t>
            </w:r>
            <w:r>
              <w:rPr>
                <w:szCs w:val="21"/>
              </w:rPr>
              <w:t>：</w:t>
            </w:r>
            <w:r>
              <w:rPr>
                <w:rFonts w:hint="eastAsia" w:ascii="宋体" w:hAnsi="宋体" w:cs="宋体"/>
                <w:color w:val="000000"/>
                <w:kern w:val="0"/>
              </w:rPr>
              <w:t>能运用化工基本原理，分析化工过程的影响因素，证实解决方案的合理性。</w:t>
            </w:r>
          </w:p>
        </w:tc>
        <w:tc>
          <w:tcPr>
            <w:tcW w:w="3066" w:type="dxa"/>
            <w:shd w:val="clear" w:color="auto" w:fill="auto"/>
            <w:noWrap/>
            <w:vAlign w:val="center"/>
          </w:tcPr>
          <w:p>
            <w:pPr>
              <w:widowControl/>
              <w:rPr>
                <w:kern w:val="0"/>
                <w:szCs w:val="21"/>
              </w:rPr>
            </w:pPr>
            <w:r>
              <w:rPr>
                <w:b/>
                <w:color w:val="000000"/>
                <w:kern w:val="0"/>
                <w:szCs w:val="21"/>
              </w:rPr>
              <w:t>毕业要求2</w:t>
            </w:r>
            <w:r>
              <w:rPr>
                <w:rFonts w:hint="eastAsia"/>
                <w:b/>
                <w:color w:val="000000"/>
                <w:kern w:val="0"/>
                <w:szCs w:val="21"/>
              </w:rPr>
              <w:t xml:space="preserve"> </w:t>
            </w:r>
            <w:r>
              <w:rPr>
                <w:rFonts w:hint="eastAsia" w:ascii="宋体" w:hAnsi="宋体" w:cs="宋体"/>
                <w:color w:val="000000"/>
                <w:kern w:val="0"/>
              </w:rPr>
              <w:t>问题分析：能够应用数学、自然科学和工程科学的基本原理，识别、表达、并通过文献研究分析</w:t>
            </w:r>
            <w:r>
              <w:rPr>
                <w:szCs w:val="21"/>
              </w:rPr>
              <w:t>化学工程与工艺</w:t>
            </w:r>
            <w:r>
              <w:rPr>
                <w:rFonts w:hint="eastAsia"/>
                <w:szCs w:val="21"/>
              </w:rPr>
              <w:t>领域</w:t>
            </w:r>
            <w:r>
              <w:rPr>
                <w:rFonts w:hint="eastAsia" w:ascii="宋体" w:hAnsi="宋体" w:cs="宋体"/>
                <w:color w:val="000000"/>
                <w:kern w:val="0"/>
              </w:rPr>
              <w:t>复杂工程问题，以获得有效结论。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38" w:type="dxa"/>
            <w:shd w:val="clear" w:color="auto" w:fill="auto"/>
            <w:noWrap/>
            <w:vAlign w:val="center"/>
          </w:tcPr>
          <w:p>
            <w:pPr>
              <w:widowControl/>
              <w:jc w:val="center"/>
              <w:rPr>
                <w:kern w:val="0"/>
                <w:szCs w:val="21"/>
              </w:rPr>
            </w:pPr>
            <w:r>
              <w:rPr>
                <w:kern w:val="0"/>
                <w:szCs w:val="21"/>
              </w:rPr>
              <w:t>3</w:t>
            </w:r>
          </w:p>
        </w:tc>
        <w:tc>
          <w:tcPr>
            <w:tcW w:w="3118" w:type="dxa"/>
            <w:shd w:val="clear" w:color="auto" w:fill="auto"/>
            <w:noWrap/>
            <w:vAlign w:val="center"/>
          </w:tcPr>
          <w:p>
            <w:pPr>
              <w:widowControl/>
              <w:rPr>
                <w:kern w:val="0"/>
                <w:szCs w:val="21"/>
              </w:rPr>
            </w:pPr>
            <w:r>
              <w:rPr>
                <w:b/>
                <w:kern w:val="0"/>
                <w:szCs w:val="21"/>
              </w:rPr>
              <w:t>目标3：</w:t>
            </w:r>
            <w:r>
              <w:rPr>
                <w:kern w:val="0"/>
                <w:szCs w:val="21"/>
              </w:rPr>
              <w:t>能够采用科学方法</w:t>
            </w:r>
            <w:r>
              <w:rPr>
                <w:rFonts w:hint="eastAsia"/>
                <w:kern w:val="0"/>
                <w:szCs w:val="21"/>
              </w:rPr>
              <w:t>对化工生产过程</w:t>
            </w:r>
            <w:r>
              <w:rPr>
                <w:rFonts w:hint="eastAsia"/>
                <w:shd w:val="clear" w:color="auto" w:fill="FFFFFF"/>
              </w:rPr>
              <w:t>的</w:t>
            </w:r>
            <w:r>
              <w:rPr>
                <w:kern w:val="0"/>
                <w:szCs w:val="21"/>
              </w:rPr>
              <w:t>复杂工程问题进行研究，包括分析与解释数据、</w:t>
            </w:r>
            <w:r>
              <w:rPr>
                <w:rFonts w:hint="eastAsia"/>
                <w:kern w:val="0"/>
                <w:szCs w:val="21"/>
              </w:rPr>
              <w:t>综合运用化工系统工程原理，</w:t>
            </w:r>
            <w:r>
              <w:rPr>
                <w:kern w:val="0"/>
                <w:szCs w:val="21"/>
              </w:rPr>
              <w:t>通过信息综合得到合理有效的结论</w:t>
            </w:r>
            <w:r>
              <w:rPr>
                <w:rFonts w:hint="eastAsia"/>
                <w:kern w:val="0"/>
                <w:szCs w:val="21"/>
              </w:rPr>
              <w:t>并形成综合解决方案</w:t>
            </w:r>
            <w:r>
              <w:rPr>
                <w:kern w:val="0"/>
                <w:szCs w:val="21"/>
              </w:rPr>
              <w:t>。</w:t>
            </w:r>
          </w:p>
        </w:tc>
        <w:tc>
          <w:tcPr>
            <w:tcW w:w="2292" w:type="dxa"/>
            <w:shd w:val="clear" w:color="auto" w:fill="auto"/>
            <w:noWrap/>
            <w:vAlign w:val="center"/>
          </w:tcPr>
          <w:p>
            <w:pPr>
              <w:widowControl/>
              <w:rPr>
                <w:kern w:val="0"/>
                <w:szCs w:val="21"/>
              </w:rPr>
            </w:pPr>
            <w:r>
              <w:rPr>
                <w:b/>
                <w:kern w:val="0"/>
                <w:szCs w:val="21"/>
              </w:rPr>
              <w:t>观测点</w:t>
            </w:r>
            <w:r>
              <w:rPr>
                <w:rFonts w:hint="eastAsia"/>
                <w:b/>
                <w:kern w:val="0"/>
                <w:szCs w:val="21"/>
              </w:rPr>
              <w:t>5-</w:t>
            </w:r>
            <w:r>
              <w:rPr>
                <w:b/>
                <w:szCs w:val="21"/>
              </w:rPr>
              <w:t>1</w:t>
            </w:r>
            <w:r>
              <w:rPr>
                <w:szCs w:val="21"/>
              </w:rPr>
              <w:t>：</w:t>
            </w:r>
            <w:r>
              <w:rPr>
                <w:color w:val="000000"/>
                <w:kern w:val="0"/>
                <w:szCs w:val="21"/>
              </w:rPr>
              <w:t>能够针对复杂化学工程问题，选择与灵活使用恰当的技术、资源、现代化学工程工具和信息技术工具。</w:t>
            </w:r>
          </w:p>
        </w:tc>
        <w:tc>
          <w:tcPr>
            <w:tcW w:w="3066" w:type="dxa"/>
            <w:shd w:val="clear" w:color="auto" w:fill="auto"/>
            <w:noWrap/>
            <w:vAlign w:val="center"/>
          </w:tcPr>
          <w:p>
            <w:pPr>
              <w:widowControl/>
              <w:rPr>
                <w:kern w:val="0"/>
                <w:szCs w:val="21"/>
              </w:rPr>
            </w:pPr>
            <w:r>
              <w:rPr>
                <w:b/>
                <w:color w:val="000000"/>
                <w:kern w:val="0"/>
                <w:szCs w:val="21"/>
              </w:rPr>
              <w:t>毕业要求</w:t>
            </w:r>
            <w:r>
              <w:rPr>
                <w:rFonts w:hint="eastAsia"/>
                <w:b/>
                <w:color w:val="000000"/>
                <w:kern w:val="0"/>
                <w:szCs w:val="21"/>
              </w:rPr>
              <w:t xml:space="preserve">5 </w:t>
            </w:r>
            <w:r>
              <w:rPr>
                <w:color w:val="000000"/>
                <w:kern w:val="0"/>
                <w:szCs w:val="21"/>
              </w:rPr>
              <w:t>能够针对化学工程与工艺领域的复杂工程问题，开发、选择与使用恰当的技术、资源、现代工程工具和信息技术工具，包括对化学工程与工艺领域的复杂工程问题的预测与模拟，并能够理解其局限性。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38" w:type="dxa"/>
            <w:shd w:val="clear" w:color="auto" w:fill="auto"/>
            <w:noWrap/>
            <w:vAlign w:val="center"/>
          </w:tcPr>
          <w:p>
            <w:pPr>
              <w:widowControl/>
              <w:jc w:val="center"/>
              <w:rPr>
                <w:kern w:val="0"/>
                <w:szCs w:val="21"/>
              </w:rPr>
            </w:pPr>
            <w:r>
              <w:rPr>
                <w:rFonts w:hint="eastAsia"/>
                <w:kern w:val="0"/>
                <w:szCs w:val="21"/>
              </w:rPr>
              <w:t>4</w:t>
            </w:r>
          </w:p>
        </w:tc>
        <w:tc>
          <w:tcPr>
            <w:tcW w:w="3118" w:type="dxa"/>
            <w:shd w:val="clear" w:color="auto" w:fill="auto"/>
            <w:noWrap/>
            <w:vAlign w:val="center"/>
          </w:tcPr>
          <w:p>
            <w:pPr>
              <w:widowControl/>
              <w:rPr>
                <w:b/>
                <w:kern w:val="0"/>
                <w:szCs w:val="21"/>
              </w:rPr>
            </w:pPr>
            <w:r>
              <w:rPr>
                <w:b/>
                <w:kern w:val="0"/>
                <w:szCs w:val="21"/>
              </w:rPr>
              <w:t>目标</w:t>
            </w:r>
            <w:r>
              <w:rPr>
                <w:rFonts w:hint="eastAsia"/>
                <w:b/>
                <w:kern w:val="0"/>
                <w:szCs w:val="21"/>
              </w:rPr>
              <w:t>4</w:t>
            </w:r>
            <w:r>
              <w:rPr>
                <w:b/>
                <w:kern w:val="0"/>
                <w:szCs w:val="21"/>
              </w:rPr>
              <w:t>：</w:t>
            </w:r>
            <w:r>
              <w:rPr>
                <w:rFonts w:hint="eastAsia"/>
                <w:kern w:val="0"/>
                <w:szCs w:val="21"/>
              </w:rPr>
              <w:t>立足于现有科技水平与成果，掌握科学的学习方法，具备全局观念及创新精神</w:t>
            </w:r>
            <w:r>
              <w:rPr>
                <w:kern w:val="0"/>
                <w:szCs w:val="21"/>
              </w:rPr>
              <w:t>。</w:t>
            </w:r>
          </w:p>
        </w:tc>
        <w:tc>
          <w:tcPr>
            <w:tcW w:w="2292" w:type="dxa"/>
            <w:shd w:val="clear" w:color="auto" w:fill="auto"/>
            <w:noWrap/>
            <w:vAlign w:val="center"/>
          </w:tcPr>
          <w:p>
            <w:pPr>
              <w:widowControl/>
              <w:rPr>
                <w:b/>
                <w:kern w:val="0"/>
                <w:szCs w:val="21"/>
              </w:rPr>
            </w:pPr>
            <w:r>
              <w:rPr>
                <w:b/>
                <w:kern w:val="0"/>
                <w:szCs w:val="21"/>
              </w:rPr>
              <w:t>观测点</w:t>
            </w:r>
            <w:r>
              <w:rPr>
                <w:rFonts w:hint="eastAsia"/>
                <w:b/>
                <w:kern w:val="0"/>
                <w:szCs w:val="21"/>
              </w:rPr>
              <w:t>12-2</w:t>
            </w:r>
            <w:r>
              <w:rPr>
                <w:szCs w:val="21"/>
              </w:rPr>
              <w:t>：</w:t>
            </w:r>
            <w:r>
              <w:rPr>
                <w:color w:val="000000"/>
                <w:kern w:val="0"/>
                <w:szCs w:val="21"/>
              </w:rPr>
              <w:t>掌握良好的学习方法，具有不断学习和适应发展的能力。</w:t>
            </w:r>
          </w:p>
        </w:tc>
        <w:tc>
          <w:tcPr>
            <w:tcW w:w="3066" w:type="dxa"/>
            <w:shd w:val="clear" w:color="auto" w:fill="auto"/>
            <w:noWrap/>
            <w:vAlign w:val="center"/>
          </w:tcPr>
          <w:p>
            <w:pPr>
              <w:widowControl/>
              <w:rPr>
                <w:b/>
                <w:color w:val="000000"/>
                <w:kern w:val="0"/>
                <w:szCs w:val="21"/>
              </w:rPr>
            </w:pPr>
            <w:r>
              <w:rPr>
                <w:b/>
                <w:color w:val="000000"/>
                <w:kern w:val="0"/>
                <w:szCs w:val="21"/>
              </w:rPr>
              <w:t>毕业要求12</w:t>
            </w:r>
            <w:r>
              <w:rPr>
                <w:rFonts w:hint="eastAsia"/>
                <w:b/>
                <w:color w:val="000000"/>
                <w:kern w:val="0"/>
                <w:szCs w:val="21"/>
              </w:rPr>
              <w:t xml:space="preserve"> </w:t>
            </w:r>
            <w:r>
              <w:rPr>
                <w:color w:val="000000"/>
                <w:kern w:val="0"/>
                <w:szCs w:val="21"/>
              </w:rPr>
              <w:t>具有自主学习和终身学习的意识，能够追踪化学工程与工艺相关领域的发展动态，有不断学习和适应发展的能力。</w:t>
            </w:r>
          </w:p>
        </w:tc>
      </w:tr>
    </w:tbl>
    <w:p>
      <w:pPr>
        <w:spacing w:line="360" w:lineRule="auto"/>
        <w:rPr>
          <w:b/>
          <w:sz w:val="28"/>
          <w:szCs w:val="28"/>
        </w:rPr>
      </w:pPr>
      <w:r>
        <w:rPr>
          <w:b/>
          <w:sz w:val="28"/>
          <w:szCs w:val="28"/>
        </w:rPr>
        <w:t>三、</w:t>
      </w:r>
      <w:r>
        <w:rPr>
          <w:rFonts w:hint="eastAsia"/>
          <w:b/>
          <w:sz w:val="28"/>
          <w:szCs w:val="28"/>
        </w:rPr>
        <w:t>教学</w:t>
      </w:r>
      <w:r>
        <w:rPr>
          <w:b/>
          <w:sz w:val="28"/>
          <w:szCs w:val="28"/>
        </w:rPr>
        <w:t>内容及要求</w:t>
      </w:r>
    </w:p>
    <w:tbl>
      <w:tblPr>
        <w:tblStyle w:val="10"/>
        <w:tblW w:w="9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2632"/>
        <w:gridCol w:w="1134"/>
        <w:gridCol w:w="2028"/>
        <w:gridCol w:w="699"/>
        <w:gridCol w:w="975"/>
        <w:gridCol w:w="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vAlign w:val="center"/>
          </w:tcPr>
          <w:p>
            <w:pPr>
              <w:jc w:val="center"/>
              <w:rPr>
                <w:b/>
                <w:bCs/>
                <w:szCs w:val="21"/>
              </w:rPr>
            </w:pPr>
            <w:r>
              <w:rPr>
                <w:b/>
                <w:bCs/>
                <w:szCs w:val="21"/>
              </w:rPr>
              <w:t>序号</w:t>
            </w:r>
          </w:p>
        </w:tc>
        <w:tc>
          <w:tcPr>
            <w:tcW w:w="2632" w:type="dxa"/>
            <w:shd w:val="clear" w:color="auto" w:fill="auto"/>
            <w:vAlign w:val="center"/>
          </w:tcPr>
          <w:p>
            <w:pPr>
              <w:jc w:val="center"/>
              <w:rPr>
                <w:b/>
                <w:bCs/>
                <w:szCs w:val="21"/>
              </w:rPr>
            </w:pPr>
            <w:r>
              <w:rPr>
                <w:b/>
                <w:bCs/>
                <w:szCs w:val="21"/>
              </w:rPr>
              <w:t>教学内容</w:t>
            </w:r>
          </w:p>
        </w:tc>
        <w:tc>
          <w:tcPr>
            <w:tcW w:w="1134" w:type="dxa"/>
            <w:shd w:val="clear" w:color="auto" w:fill="auto"/>
            <w:vAlign w:val="center"/>
          </w:tcPr>
          <w:p>
            <w:pPr>
              <w:jc w:val="center"/>
              <w:rPr>
                <w:b/>
                <w:bCs/>
                <w:szCs w:val="21"/>
              </w:rPr>
            </w:pPr>
            <w:r>
              <w:rPr>
                <w:b/>
                <w:bCs/>
                <w:szCs w:val="21"/>
              </w:rPr>
              <w:t>思政元素</w:t>
            </w:r>
          </w:p>
        </w:tc>
        <w:tc>
          <w:tcPr>
            <w:tcW w:w="2028" w:type="dxa"/>
            <w:shd w:val="clear" w:color="auto" w:fill="auto"/>
            <w:vAlign w:val="center"/>
          </w:tcPr>
          <w:p>
            <w:pPr>
              <w:jc w:val="center"/>
              <w:rPr>
                <w:b/>
                <w:bCs/>
                <w:szCs w:val="21"/>
              </w:rPr>
            </w:pPr>
            <w:r>
              <w:rPr>
                <w:b/>
                <w:bCs/>
                <w:szCs w:val="21"/>
              </w:rPr>
              <w:t>预期学习成果</w:t>
            </w:r>
          </w:p>
          <w:p>
            <w:pPr>
              <w:jc w:val="center"/>
              <w:rPr>
                <w:b/>
                <w:bCs/>
                <w:szCs w:val="21"/>
              </w:rPr>
            </w:pPr>
          </w:p>
        </w:tc>
        <w:tc>
          <w:tcPr>
            <w:tcW w:w="699" w:type="dxa"/>
            <w:shd w:val="clear" w:color="auto" w:fill="auto"/>
            <w:vAlign w:val="center"/>
          </w:tcPr>
          <w:p>
            <w:pPr>
              <w:jc w:val="center"/>
              <w:rPr>
                <w:b/>
                <w:bCs/>
                <w:szCs w:val="21"/>
              </w:rPr>
            </w:pPr>
            <w:r>
              <w:rPr>
                <w:b/>
                <w:bCs/>
                <w:szCs w:val="21"/>
              </w:rPr>
              <w:t>教学学时</w:t>
            </w:r>
          </w:p>
        </w:tc>
        <w:tc>
          <w:tcPr>
            <w:tcW w:w="975" w:type="dxa"/>
            <w:shd w:val="clear" w:color="auto" w:fill="auto"/>
            <w:vAlign w:val="center"/>
          </w:tcPr>
          <w:p>
            <w:pPr>
              <w:jc w:val="center"/>
              <w:rPr>
                <w:b/>
                <w:bCs/>
                <w:szCs w:val="21"/>
              </w:rPr>
            </w:pPr>
            <w:r>
              <w:rPr>
                <w:b/>
                <w:bCs/>
                <w:szCs w:val="21"/>
              </w:rPr>
              <w:t>教学方式</w:t>
            </w:r>
          </w:p>
        </w:tc>
        <w:tc>
          <w:tcPr>
            <w:tcW w:w="925" w:type="dxa"/>
            <w:shd w:val="clear" w:color="auto" w:fill="auto"/>
            <w:vAlign w:val="center"/>
          </w:tcPr>
          <w:p>
            <w:pPr>
              <w:jc w:val="center"/>
              <w:rPr>
                <w:b/>
                <w:bCs/>
                <w:szCs w:val="21"/>
              </w:rPr>
            </w:pPr>
            <w:r>
              <w:rPr>
                <w:b/>
                <w:bCs/>
                <w:szCs w:val="21"/>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vAlign w:val="center"/>
          </w:tcPr>
          <w:p>
            <w:pPr>
              <w:jc w:val="center"/>
              <w:rPr>
                <w:szCs w:val="21"/>
              </w:rPr>
            </w:pPr>
            <w:r>
              <w:rPr>
                <w:szCs w:val="21"/>
              </w:rPr>
              <w:t>1</w:t>
            </w:r>
          </w:p>
        </w:tc>
        <w:tc>
          <w:tcPr>
            <w:tcW w:w="2632" w:type="dxa"/>
            <w:shd w:val="clear" w:color="auto" w:fill="auto"/>
            <w:vAlign w:val="center"/>
          </w:tcPr>
          <w:p>
            <w:pPr>
              <w:rPr>
                <w:kern w:val="0"/>
                <w:szCs w:val="21"/>
              </w:rPr>
            </w:pPr>
            <w:r>
              <w:rPr>
                <w:rFonts w:hint="eastAsia"/>
                <w:b/>
                <w:kern w:val="0"/>
                <w:szCs w:val="21"/>
              </w:rPr>
              <w:t>化工系统工程</w:t>
            </w:r>
            <w:r>
              <w:rPr>
                <w:b/>
                <w:kern w:val="0"/>
                <w:szCs w:val="21"/>
              </w:rPr>
              <w:t>的基本概念</w:t>
            </w:r>
            <w:r>
              <w:rPr>
                <w:rFonts w:hint="eastAsia"/>
                <w:b/>
                <w:kern w:val="0"/>
                <w:szCs w:val="21"/>
              </w:rPr>
              <w:t>、任务、主要内容</w:t>
            </w:r>
            <w:r>
              <w:rPr>
                <w:b/>
                <w:kern w:val="0"/>
                <w:szCs w:val="21"/>
              </w:rPr>
              <w:t>和</w:t>
            </w:r>
            <w:r>
              <w:rPr>
                <w:rFonts w:hint="eastAsia"/>
                <w:b/>
                <w:kern w:val="0"/>
                <w:szCs w:val="21"/>
              </w:rPr>
              <w:t>基本术语：</w:t>
            </w:r>
            <w:r>
              <w:rPr>
                <w:rFonts w:hint="eastAsia"/>
                <w:kern w:val="0"/>
                <w:szCs w:val="21"/>
              </w:rPr>
              <w:t>系统、系统工程、化工系统工程、发展与沿革等</w:t>
            </w:r>
          </w:p>
          <w:p>
            <w:pPr>
              <w:rPr>
                <w:kern w:val="0"/>
                <w:szCs w:val="21"/>
              </w:rPr>
            </w:pPr>
            <w:r>
              <w:rPr>
                <w:b/>
                <w:kern w:val="0"/>
                <w:szCs w:val="21"/>
              </w:rPr>
              <w:t>重点和难点：</w:t>
            </w:r>
            <w:r>
              <w:rPr>
                <w:rFonts w:hint="eastAsia"/>
                <w:kern w:val="0"/>
                <w:szCs w:val="21"/>
              </w:rPr>
              <w:t>基本任务与内容、基本方法、常用术语</w:t>
            </w:r>
          </w:p>
        </w:tc>
        <w:tc>
          <w:tcPr>
            <w:tcW w:w="1134" w:type="dxa"/>
            <w:shd w:val="clear" w:color="auto" w:fill="auto"/>
            <w:vAlign w:val="center"/>
          </w:tcPr>
          <w:p>
            <w:pPr>
              <w:autoSpaceDE w:val="0"/>
              <w:autoSpaceDN w:val="0"/>
              <w:adjustRightInd w:val="0"/>
              <w:rPr>
                <w:kern w:val="0"/>
                <w:szCs w:val="21"/>
              </w:rPr>
            </w:pPr>
            <w:r>
              <w:rPr>
                <w:rFonts w:hint="eastAsia"/>
                <w:kern w:val="0"/>
                <w:szCs w:val="21"/>
              </w:rPr>
              <w:t>立足于现有科技水平与成果，培养全局观念与理论联系实际的科学观。</w:t>
            </w:r>
          </w:p>
        </w:tc>
        <w:tc>
          <w:tcPr>
            <w:tcW w:w="2028" w:type="dxa"/>
            <w:shd w:val="clear" w:color="auto" w:fill="auto"/>
            <w:vAlign w:val="center"/>
          </w:tcPr>
          <w:p>
            <w:pPr>
              <w:autoSpaceDE w:val="0"/>
              <w:autoSpaceDN w:val="0"/>
              <w:adjustRightInd w:val="0"/>
              <w:rPr>
                <w:kern w:val="0"/>
                <w:szCs w:val="21"/>
              </w:rPr>
            </w:pPr>
            <w:r>
              <w:rPr>
                <w:kern w:val="0"/>
                <w:szCs w:val="21"/>
              </w:rPr>
              <w:t>能够掌握</w:t>
            </w:r>
            <w:r>
              <w:rPr>
                <w:rFonts w:hint="eastAsia"/>
                <w:kern w:val="0"/>
                <w:szCs w:val="21"/>
              </w:rPr>
              <w:t>系统工程与化工系统工程的基本概念</w:t>
            </w:r>
            <w:r>
              <w:rPr>
                <w:kern w:val="0"/>
                <w:szCs w:val="21"/>
              </w:rPr>
              <w:t>；</w:t>
            </w:r>
            <w:r>
              <w:rPr>
                <w:rFonts w:hint="eastAsia"/>
                <w:kern w:val="0"/>
                <w:szCs w:val="21"/>
              </w:rPr>
              <w:t>掌握基本任务与内容、基本方法与技术路线、常用术语；了解主要技术手段与工具。</w:t>
            </w:r>
          </w:p>
        </w:tc>
        <w:tc>
          <w:tcPr>
            <w:tcW w:w="699" w:type="dxa"/>
            <w:shd w:val="clear" w:color="auto" w:fill="auto"/>
            <w:vAlign w:val="center"/>
          </w:tcPr>
          <w:p>
            <w:pPr>
              <w:jc w:val="center"/>
              <w:rPr>
                <w:szCs w:val="21"/>
              </w:rPr>
            </w:pPr>
            <w:r>
              <w:rPr>
                <w:rFonts w:hint="eastAsia"/>
                <w:szCs w:val="21"/>
              </w:rPr>
              <w:t>6</w:t>
            </w:r>
          </w:p>
        </w:tc>
        <w:tc>
          <w:tcPr>
            <w:tcW w:w="975" w:type="dxa"/>
            <w:shd w:val="clear" w:color="auto" w:fill="auto"/>
            <w:vAlign w:val="center"/>
          </w:tcPr>
          <w:p>
            <w:pPr>
              <w:rPr>
                <w:szCs w:val="21"/>
              </w:rPr>
            </w:pPr>
            <w:r>
              <w:rPr>
                <w:szCs w:val="21"/>
              </w:rPr>
              <w:t>讲授/讨论/实例教学等</w:t>
            </w:r>
          </w:p>
        </w:tc>
        <w:tc>
          <w:tcPr>
            <w:tcW w:w="925" w:type="dxa"/>
            <w:shd w:val="clear" w:color="auto" w:fill="auto"/>
            <w:vAlign w:val="center"/>
          </w:tcPr>
          <w:p>
            <w:pPr>
              <w:jc w:val="center"/>
              <w:rPr>
                <w:szCs w:val="21"/>
              </w:rPr>
            </w:pPr>
            <w:r>
              <w:rPr>
                <w:b/>
                <w:kern w:val="0"/>
                <w:szCs w:val="21"/>
              </w:rPr>
              <w:t>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vAlign w:val="center"/>
          </w:tcPr>
          <w:p>
            <w:pPr>
              <w:jc w:val="center"/>
              <w:rPr>
                <w:szCs w:val="21"/>
              </w:rPr>
            </w:pPr>
            <w:r>
              <w:rPr>
                <w:szCs w:val="21"/>
              </w:rPr>
              <w:t>2</w:t>
            </w:r>
          </w:p>
        </w:tc>
        <w:tc>
          <w:tcPr>
            <w:tcW w:w="2632" w:type="dxa"/>
            <w:shd w:val="clear" w:color="auto" w:fill="auto"/>
            <w:vAlign w:val="center"/>
          </w:tcPr>
          <w:p>
            <w:pPr>
              <w:rPr>
                <w:kern w:val="0"/>
                <w:szCs w:val="21"/>
              </w:rPr>
            </w:pPr>
            <w:r>
              <w:rPr>
                <w:rFonts w:hint="eastAsia"/>
                <w:b/>
                <w:kern w:val="0"/>
                <w:szCs w:val="21"/>
              </w:rPr>
              <w:t>数学模型：</w:t>
            </w:r>
            <w:r>
              <w:rPr>
                <w:rFonts w:hint="eastAsia"/>
                <w:kern w:val="0"/>
                <w:szCs w:val="21"/>
              </w:rPr>
              <w:t>化工系统模型及其自由度</w:t>
            </w:r>
            <w:r>
              <w:rPr>
                <w:kern w:val="0"/>
                <w:szCs w:val="21"/>
              </w:rPr>
              <w:t>、</w:t>
            </w:r>
            <w:r>
              <w:rPr>
                <w:rFonts w:hint="eastAsia"/>
                <w:kern w:val="0"/>
                <w:szCs w:val="21"/>
              </w:rPr>
              <w:t>机理模型、流程结构模型</w:t>
            </w:r>
            <w:r>
              <w:rPr>
                <w:kern w:val="0"/>
                <w:szCs w:val="21"/>
              </w:rPr>
              <w:t>、</w:t>
            </w:r>
            <w:r>
              <w:rPr>
                <w:rFonts w:hint="eastAsia"/>
                <w:kern w:val="0"/>
                <w:szCs w:val="21"/>
              </w:rPr>
              <w:t>流程模拟基本模型、过程单元模型</w:t>
            </w:r>
          </w:p>
          <w:p>
            <w:pPr>
              <w:rPr>
                <w:kern w:val="0"/>
                <w:szCs w:val="21"/>
              </w:rPr>
            </w:pPr>
            <w:r>
              <w:rPr>
                <w:b/>
                <w:kern w:val="0"/>
                <w:szCs w:val="21"/>
              </w:rPr>
              <w:t>重点和难点：</w:t>
            </w:r>
            <w:r>
              <w:rPr>
                <w:rFonts w:hint="eastAsia"/>
                <w:kern w:val="0"/>
                <w:szCs w:val="21"/>
              </w:rPr>
              <w:t>数学模型的定义与分类、系统自由度分析、信息流图与流程结构的矩阵表征、流程模拟模型</w:t>
            </w:r>
          </w:p>
        </w:tc>
        <w:tc>
          <w:tcPr>
            <w:tcW w:w="1134" w:type="dxa"/>
            <w:shd w:val="clear" w:color="auto" w:fill="auto"/>
            <w:vAlign w:val="center"/>
          </w:tcPr>
          <w:p>
            <w:pPr>
              <w:rPr>
                <w:szCs w:val="21"/>
              </w:rPr>
            </w:pPr>
          </w:p>
        </w:tc>
        <w:tc>
          <w:tcPr>
            <w:tcW w:w="2028" w:type="dxa"/>
            <w:shd w:val="clear" w:color="auto" w:fill="auto"/>
            <w:vAlign w:val="center"/>
          </w:tcPr>
          <w:p>
            <w:pPr>
              <w:rPr>
                <w:szCs w:val="21"/>
              </w:rPr>
            </w:pPr>
            <w:r>
              <w:rPr>
                <w:kern w:val="0"/>
                <w:szCs w:val="21"/>
              </w:rPr>
              <w:t>能够理解</w:t>
            </w:r>
            <w:r>
              <w:rPr>
                <w:rFonts w:hint="eastAsia"/>
                <w:kern w:val="0"/>
                <w:szCs w:val="21"/>
              </w:rPr>
              <w:t>过程系统的模型及其自由度；掌握流程结构模型中的信息流图与矩阵表达方式；了解流程模拟的基本模型；了解过程单元模型中的混合器、分流器、平衡闪蒸、换热器、精馏塔板与反应器。</w:t>
            </w:r>
          </w:p>
        </w:tc>
        <w:tc>
          <w:tcPr>
            <w:tcW w:w="699" w:type="dxa"/>
            <w:shd w:val="clear" w:color="auto" w:fill="auto"/>
            <w:vAlign w:val="center"/>
          </w:tcPr>
          <w:p>
            <w:pPr>
              <w:jc w:val="center"/>
              <w:rPr>
                <w:szCs w:val="21"/>
              </w:rPr>
            </w:pPr>
            <w:r>
              <w:rPr>
                <w:rFonts w:hint="eastAsia"/>
                <w:szCs w:val="21"/>
              </w:rPr>
              <w:t>12</w:t>
            </w:r>
          </w:p>
        </w:tc>
        <w:tc>
          <w:tcPr>
            <w:tcW w:w="975" w:type="dxa"/>
            <w:shd w:val="clear" w:color="auto" w:fill="auto"/>
            <w:vAlign w:val="center"/>
          </w:tcPr>
          <w:p>
            <w:pPr>
              <w:rPr>
                <w:szCs w:val="21"/>
              </w:rPr>
            </w:pPr>
            <w:r>
              <w:rPr>
                <w:szCs w:val="21"/>
              </w:rPr>
              <w:t>讲授/讨论/等</w:t>
            </w:r>
          </w:p>
        </w:tc>
        <w:tc>
          <w:tcPr>
            <w:tcW w:w="925" w:type="dxa"/>
            <w:shd w:val="clear" w:color="auto" w:fill="auto"/>
            <w:vAlign w:val="center"/>
          </w:tcPr>
          <w:p>
            <w:pPr>
              <w:jc w:val="center"/>
              <w:rPr>
                <w:kern w:val="0"/>
                <w:szCs w:val="21"/>
              </w:rPr>
            </w:pPr>
            <w:r>
              <w:rPr>
                <w:b/>
                <w:kern w:val="0"/>
                <w:szCs w:val="21"/>
              </w:rPr>
              <w:t>目标</w:t>
            </w:r>
            <w:r>
              <w:rPr>
                <w:rFonts w:hint="eastAsia"/>
                <w:b/>
                <w:kern w:val="0"/>
                <w:szCs w:val="21"/>
              </w:rPr>
              <w:t>1</w:t>
            </w:r>
          </w:p>
          <w:p>
            <w:pPr>
              <w:jc w:val="center"/>
              <w:rPr>
                <w:szCs w:val="21"/>
              </w:rPr>
            </w:pPr>
            <w:r>
              <w:rPr>
                <w:b/>
                <w:kern w:val="0"/>
                <w:szCs w:val="21"/>
              </w:rPr>
              <w:t>目标</w:t>
            </w:r>
            <w:r>
              <w:rPr>
                <w:rFonts w:hint="eastAsia"/>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vAlign w:val="center"/>
          </w:tcPr>
          <w:p>
            <w:pPr>
              <w:jc w:val="center"/>
              <w:rPr>
                <w:szCs w:val="21"/>
              </w:rPr>
            </w:pPr>
            <w:r>
              <w:rPr>
                <w:szCs w:val="21"/>
              </w:rPr>
              <w:t>3</w:t>
            </w:r>
          </w:p>
        </w:tc>
        <w:tc>
          <w:tcPr>
            <w:tcW w:w="2632" w:type="dxa"/>
            <w:shd w:val="clear" w:color="auto" w:fill="auto"/>
            <w:vAlign w:val="center"/>
          </w:tcPr>
          <w:p>
            <w:pPr>
              <w:rPr>
                <w:kern w:val="0"/>
                <w:szCs w:val="21"/>
              </w:rPr>
            </w:pPr>
            <w:r>
              <w:rPr>
                <w:rFonts w:hint="eastAsia"/>
                <w:b/>
                <w:kern w:val="0"/>
                <w:szCs w:val="21"/>
              </w:rPr>
              <w:t>数学模型求解方法：</w:t>
            </w:r>
            <w:r>
              <w:rPr>
                <w:rFonts w:hint="eastAsia"/>
                <w:kern w:val="0"/>
                <w:szCs w:val="21"/>
              </w:rPr>
              <w:t>基本概念、线性代数方程组、非线性一元方程迭代解法、方程组求解的切割技术、双层法、常微分方程组初值问题与动态模拟</w:t>
            </w:r>
          </w:p>
          <w:p>
            <w:pPr>
              <w:rPr>
                <w:kern w:val="0"/>
                <w:szCs w:val="21"/>
              </w:rPr>
            </w:pPr>
            <w:r>
              <w:rPr>
                <w:b/>
                <w:kern w:val="0"/>
                <w:szCs w:val="21"/>
              </w:rPr>
              <w:t>重点和难点：</w:t>
            </w:r>
            <w:r>
              <w:rPr>
                <w:rFonts w:hint="eastAsia"/>
                <w:kern w:val="0"/>
                <w:szCs w:val="21"/>
              </w:rPr>
              <w:t>线性方程组、非线性方程组求解</w:t>
            </w:r>
          </w:p>
        </w:tc>
        <w:tc>
          <w:tcPr>
            <w:tcW w:w="1134" w:type="dxa"/>
            <w:shd w:val="clear" w:color="auto" w:fill="auto"/>
            <w:vAlign w:val="center"/>
          </w:tcPr>
          <w:p>
            <w:pPr>
              <w:rPr>
                <w:szCs w:val="21"/>
              </w:rPr>
            </w:pPr>
          </w:p>
        </w:tc>
        <w:tc>
          <w:tcPr>
            <w:tcW w:w="2028" w:type="dxa"/>
            <w:shd w:val="clear" w:color="auto" w:fill="auto"/>
            <w:vAlign w:val="center"/>
          </w:tcPr>
          <w:p>
            <w:pPr>
              <w:rPr>
                <w:szCs w:val="21"/>
              </w:rPr>
            </w:pPr>
            <w:r>
              <w:rPr>
                <w:kern w:val="0"/>
                <w:szCs w:val="21"/>
              </w:rPr>
              <w:t>理解</w:t>
            </w:r>
            <w:r>
              <w:rPr>
                <w:rFonts w:hint="eastAsia"/>
                <w:kern w:val="0"/>
                <w:szCs w:val="21"/>
              </w:rPr>
              <w:t>数学模型</w:t>
            </w:r>
            <w:r>
              <w:rPr>
                <w:kern w:val="0"/>
                <w:szCs w:val="21"/>
              </w:rPr>
              <w:t>的</w:t>
            </w:r>
            <w:r>
              <w:rPr>
                <w:rFonts w:hint="eastAsia"/>
                <w:kern w:val="0"/>
                <w:szCs w:val="21"/>
              </w:rPr>
              <w:t>基本</w:t>
            </w:r>
            <w:r>
              <w:rPr>
                <w:kern w:val="0"/>
                <w:szCs w:val="21"/>
              </w:rPr>
              <w:t>概念；学会</w:t>
            </w:r>
            <w:r>
              <w:rPr>
                <w:rFonts w:hint="eastAsia"/>
                <w:kern w:val="0"/>
                <w:szCs w:val="21"/>
              </w:rPr>
              <w:t>求解线性代数方程组、方程求根；了解非线性方程组的求解方法；了解双层法的基本原理与关键技术：包括泡点计算、平衡闪蒸计算。</w:t>
            </w:r>
          </w:p>
        </w:tc>
        <w:tc>
          <w:tcPr>
            <w:tcW w:w="699" w:type="dxa"/>
            <w:shd w:val="clear" w:color="auto" w:fill="auto"/>
            <w:vAlign w:val="center"/>
          </w:tcPr>
          <w:p>
            <w:pPr>
              <w:jc w:val="center"/>
              <w:rPr>
                <w:szCs w:val="21"/>
              </w:rPr>
            </w:pPr>
            <w:r>
              <w:rPr>
                <w:szCs w:val="21"/>
              </w:rPr>
              <w:t>6</w:t>
            </w:r>
          </w:p>
        </w:tc>
        <w:tc>
          <w:tcPr>
            <w:tcW w:w="975" w:type="dxa"/>
            <w:shd w:val="clear" w:color="auto" w:fill="auto"/>
            <w:vAlign w:val="center"/>
          </w:tcPr>
          <w:p>
            <w:pPr>
              <w:rPr>
                <w:szCs w:val="21"/>
              </w:rPr>
            </w:pPr>
            <w:r>
              <w:rPr>
                <w:szCs w:val="21"/>
              </w:rPr>
              <w:t>讲授/讨论/</w:t>
            </w:r>
            <w:r>
              <w:rPr>
                <w:rFonts w:hint="eastAsia"/>
                <w:szCs w:val="21"/>
              </w:rPr>
              <w:t>实例分析</w:t>
            </w:r>
            <w:r>
              <w:rPr>
                <w:szCs w:val="21"/>
              </w:rPr>
              <w:t>等</w:t>
            </w:r>
          </w:p>
        </w:tc>
        <w:tc>
          <w:tcPr>
            <w:tcW w:w="925" w:type="dxa"/>
            <w:shd w:val="clear" w:color="auto" w:fill="auto"/>
            <w:vAlign w:val="center"/>
          </w:tcPr>
          <w:p>
            <w:pPr>
              <w:jc w:val="center"/>
              <w:rPr>
                <w:b/>
                <w:kern w:val="0"/>
                <w:szCs w:val="21"/>
              </w:rPr>
            </w:pPr>
            <w:r>
              <w:rPr>
                <w:b/>
                <w:kern w:val="0"/>
                <w:szCs w:val="21"/>
              </w:rPr>
              <w:t>目标1</w:t>
            </w:r>
          </w:p>
          <w:p>
            <w:pPr>
              <w:jc w:val="center"/>
              <w:rPr>
                <w:b/>
                <w:kern w:val="0"/>
                <w:szCs w:val="21"/>
              </w:rPr>
            </w:pPr>
            <w:r>
              <w:rPr>
                <w:rFonts w:hint="eastAsia"/>
                <w:b/>
                <w:kern w:val="0"/>
                <w:szCs w:val="21"/>
              </w:rPr>
              <w:t>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vAlign w:val="center"/>
          </w:tcPr>
          <w:p>
            <w:pPr>
              <w:jc w:val="center"/>
              <w:rPr>
                <w:szCs w:val="21"/>
              </w:rPr>
            </w:pPr>
            <w:r>
              <w:rPr>
                <w:szCs w:val="21"/>
              </w:rPr>
              <w:t>4</w:t>
            </w:r>
          </w:p>
        </w:tc>
        <w:tc>
          <w:tcPr>
            <w:tcW w:w="2632" w:type="dxa"/>
            <w:shd w:val="clear" w:color="auto" w:fill="auto"/>
            <w:vAlign w:val="center"/>
          </w:tcPr>
          <w:p>
            <w:pPr>
              <w:rPr>
                <w:kern w:val="0"/>
                <w:szCs w:val="21"/>
              </w:rPr>
            </w:pPr>
            <w:r>
              <w:rPr>
                <w:rFonts w:hint="eastAsia"/>
                <w:b/>
                <w:kern w:val="0"/>
                <w:szCs w:val="21"/>
              </w:rPr>
              <w:t>流程模拟基本技术：</w:t>
            </w:r>
            <w:r>
              <w:rPr>
                <w:rFonts w:hint="eastAsia"/>
                <w:kern w:val="0"/>
                <w:szCs w:val="21"/>
              </w:rPr>
              <w:t>流程模拟系统的结构与程序设计</w:t>
            </w:r>
            <w:r>
              <w:rPr>
                <w:kern w:val="0"/>
                <w:szCs w:val="21"/>
              </w:rPr>
              <w:t>、</w:t>
            </w:r>
            <w:r>
              <w:rPr>
                <w:rFonts w:hint="eastAsia"/>
                <w:kern w:val="0"/>
                <w:szCs w:val="21"/>
              </w:rPr>
              <w:t>序贯模块法、联立方程法与联立模块法、化工装置仿真机</w:t>
            </w:r>
          </w:p>
          <w:p>
            <w:pPr>
              <w:rPr>
                <w:kern w:val="0"/>
                <w:szCs w:val="21"/>
              </w:rPr>
            </w:pPr>
            <w:r>
              <w:rPr>
                <w:b/>
                <w:kern w:val="0"/>
                <w:szCs w:val="21"/>
              </w:rPr>
              <w:t>重点和难点：</w:t>
            </w:r>
            <w:r>
              <w:rPr>
                <w:rFonts w:hint="eastAsia"/>
                <w:kern w:val="0"/>
                <w:szCs w:val="21"/>
              </w:rPr>
              <w:t>序贯模块法及其求解</w:t>
            </w:r>
          </w:p>
        </w:tc>
        <w:tc>
          <w:tcPr>
            <w:tcW w:w="1134" w:type="dxa"/>
            <w:shd w:val="clear" w:color="auto" w:fill="auto"/>
            <w:vAlign w:val="center"/>
          </w:tcPr>
          <w:p>
            <w:pPr>
              <w:autoSpaceDE w:val="0"/>
              <w:autoSpaceDN w:val="0"/>
              <w:adjustRightInd w:val="0"/>
              <w:rPr>
                <w:szCs w:val="21"/>
              </w:rPr>
            </w:pPr>
          </w:p>
        </w:tc>
        <w:tc>
          <w:tcPr>
            <w:tcW w:w="2028" w:type="dxa"/>
            <w:shd w:val="clear" w:color="auto" w:fill="auto"/>
            <w:vAlign w:val="center"/>
          </w:tcPr>
          <w:p>
            <w:pPr>
              <w:autoSpaceDE w:val="0"/>
              <w:autoSpaceDN w:val="0"/>
              <w:adjustRightInd w:val="0"/>
              <w:rPr>
                <w:szCs w:val="21"/>
              </w:rPr>
            </w:pPr>
            <w:r>
              <w:rPr>
                <w:kern w:val="0"/>
                <w:szCs w:val="21"/>
              </w:rPr>
              <w:t>理解</w:t>
            </w:r>
            <w:r>
              <w:rPr>
                <w:rFonts w:hint="eastAsia"/>
                <w:kern w:val="0"/>
                <w:szCs w:val="21"/>
              </w:rPr>
              <w:t>序贯模块法，学会求解</w:t>
            </w:r>
            <w:r>
              <w:rPr>
                <w:kern w:val="0"/>
                <w:szCs w:val="21"/>
              </w:rPr>
              <w:t>；能够掌握</w:t>
            </w:r>
            <w:r>
              <w:rPr>
                <w:rFonts w:hint="eastAsia"/>
                <w:kern w:val="0"/>
                <w:szCs w:val="21"/>
              </w:rPr>
              <w:t>不可分割子系统的识别；掌握不可分割子系统的切割。</w:t>
            </w:r>
          </w:p>
        </w:tc>
        <w:tc>
          <w:tcPr>
            <w:tcW w:w="699" w:type="dxa"/>
            <w:shd w:val="clear" w:color="auto" w:fill="auto"/>
            <w:vAlign w:val="center"/>
          </w:tcPr>
          <w:p>
            <w:pPr>
              <w:jc w:val="center"/>
              <w:rPr>
                <w:szCs w:val="21"/>
              </w:rPr>
            </w:pPr>
            <w:r>
              <w:rPr>
                <w:rFonts w:hint="eastAsia"/>
                <w:szCs w:val="21"/>
              </w:rPr>
              <w:t>4</w:t>
            </w:r>
          </w:p>
        </w:tc>
        <w:tc>
          <w:tcPr>
            <w:tcW w:w="975" w:type="dxa"/>
            <w:shd w:val="clear" w:color="auto" w:fill="auto"/>
            <w:vAlign w:val="center"/>
          </w:tcPr>
          <w:p>
            <w:pPr>
              <w:rPr>
                <w:szCs w:val="21"/>
              </w:rPr>
            </w:pPr>
            <w:r>
              <w:rPr>
                <w:szCs w:val="21"/>
              </w:rPr>
              <w:t>讲授/讨论/等</w:t>
            </w:r>
          </w:p>
        </w:tc>
        <w:tc>
          <w:tcPr>
            <w:tcW w:w="925" w:type="dxa"/>
            <w:shd w:val="clear" w:color="auto" w:fill="auto"/>
            <w:vAlign w:val="center"/>
          </w:tcPr>
          <w:p>
            <w:pPr>
              <w:jc w:val="center"/>
              <w:rPr>
                <w:kern w:val="0"/>
                <w:szCs w:val="21"/>
              </w:rPr>
            </w:pPr>
            <w:r>
              <w:rPr>
                <w:b/>
                <w:kern w:val="0"/>
                <w:szCs w:val="21"/>
              </w:rPr>
              <w:t>目标2</w:t>
            </w:r>
          </w:p>
          <w:p>
            <w:pPr>
              <w:jc w:val="center"/>
              <w:rPr>
                <w:szCs w:val="21"/>
              </w:rPr>
            </w:pPr>
            <w:r>
              <w:rPr>
                <w:b/>
                <w:kern w:val="0"/>
                <w:szCs w:val="21"/>
              </w:rPr>
              <w:t>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vAlign w:val="center"/>
          </w:tcPr>
          <w:p>
            <w:pPr>
              <w:jc w:val="center"/>
              <w:rPr>
                <w:szCs w:val="21"/>
              </w:rPr>
            </w:pPr>
            <w:r>
              <w:rPr>
                <w:szCs w:val="21"/>
              </w:rPr>
              <w:t>5</w:t>
            </w:r>
          </w:p>
        </w:tc>
        <w:tc>
          <w:tcPr>
            <w:tcW w:w="2632" w:type="dxa"/>
            <w:shd w:val="clear" w:color="auto" w:fill="auto"/>
            <w:vAlign w:val="center"/>
          </w:tcPr>
          <w:p>
            <w:pPr>
              <w:rPr>
                <w:kern w:val="0"/>
                <w:szCs w:val="21"/>
              </w:rPr>
            </w:pPr>
            <w:r>
              <w:rPr>
                <w:rFonts w:hint="eastAsia"/>
                <w:b/>
                <w:kern w:val="0"/>
                <w:szCs w:val="21"/>
              </w:rPr>
              <w:t>系统综合概述：</w:t>
            </w:r>
            <w:r>
              <w:rPr>
                <w:rFonts w:hint="eastAsia"/>
                <w:kern w:val="0"/>
                <w:szCs w:val="21"/>
              </w:rPr>
              <w:t>典型系统综合问题、换热网络综合</w:t>
            </w:r>
          </w:p>
          <w:p>
            <w:pPr>
              <w:rPr>
                <w:kern w:val="0"/>
                <w:szCs w:val="21"/>
              </w:rPr>
            </w:pPr>
            <w:r>
              <w:rPr>
                <w:b/>
                <w:kern w:val="0"/>
                <w:szCs w:val="21"/>
              </w:rPr>
              <w:t>重点和难点：</w:t>
            </w:r>
            <w:r>
              <w:rPr>
                <w:rFonts w:hint="eastAsia"/>
                <w:kern w:val="0"/>
                <w:szCs w:val="21"/>
              </w:rPr>
              <w:t>系统综合与系统优化</w:t>
            </w:r>
          </w:p>
        </w:tc>
        <w:tc>
          <w:tcPr>
            <w:tcW w:w="1134" w:type="dxa"/>
            <w:shd w:val="clear" w:color="auto" w:fill="auto"/>
            <w:vAlign w:val="center"/>
          </w:tcPr>
          <w:p>
            <w:pPr>
              <w:rPr>
                <w:szCs w:val="21"/>
              </w:rPr>
            </w:pPr>
            <w:r>
              <w:rPr>
                <w:rFonts w:hint="eastAsia"/>
                <w:szCs w:val="21"/>
              </w:rPr>
              <w:t>创新是引领发展的第一动力，坚持改进创新的基本原则，培养学生创新精神。</w:t>
            </w:r>
          </w:p>
        </w:tc>
        <w:tc>
          <w:tcPr>
            <w:tcW w:w="2028" w:type="dxa"/>
            <w:shd w:val="clear" w:color="auto" w:fill="auto"/>
            <w:vAlign w:val="center"/>
          </w:tcPr>
          <w:p>
            <w:pPr>
              <w:rPr>
                <w:szCs w:val="21"/>
              </w:rPr>
            </w:pPr>
            <w:r>
              <w:rPr>
                <w:kern w:val="0"/>
                <w:szCs w:val="21"/>
              </w:rPr>
              <w:t>能够掌握</w:t>
            </w:r>
            <w:r>
              <w:rPr>
                <w:rFonts w:hint="eastAsia"/>
                <w:kern w:val="0"/>
                <w:szCs w:val="21"/>
              </w:rPr>
              <w:t>典型系统的综合问题、了解系统综合的基本方法与关键、了解系统优化案例。</w:t>
            </w:r>
          </w:p>
        </w:tc>
        <w:tc>
          <w:tcPr>
            <w:tcW w:w="699" w:type="dxa"/>
            <w:shd w:val="clear" w:color="auto" w:fill="auto"/>
            <w:vAlign w:val="center"/>
          </w:tcPr>
          <w:p>
            <w:pPr>
              <w:jc w:val="center"/>
              <w:rPr>
                <w:szCs w:val="21"/>
              </w:rPr>
            </w:pPr>
            <w:r>
              <w:rPr>
                <w:rFonts w:hint="eastAsia"/>
                <w:szCs w:val="21"/>
              </w:rPr>
              <w:t>4</w:t>
            </w:r>
          </w:p>
        </w:tc>
        <w:tc>
          <w:tcPr>
            <w:tcW w:w="975" w:type="dxa"/>
            <w:shd w:val="clear" w:color="auto" w:fill="auto"/>
            <w:vAlign w:val="center"/>
          </w:tcPr>
          <w:p>
            <w:pPr>
              <w:rPr>
                <w:szCs w:val="21"/>
              </w:rPr>
            </w:pPr>
            <w:r>
              <w:rPr>
                <w:szCs w:val="21"/>
              </w:rPr>
              <w:t>讲授/讨论/</w:t>
            </w:r>
            <w:r>
              <w:rPr>
                <w:rFonts w:hint="eastAsia"/>
                <w:szCs w:val="21"/>
              </w:rPr>
              <w:t>实例分析</w:t>
            </w:r>
            <w:r>
              <w:rPr>
                <w:szCs w:val="21"/>
              </w:rPr>
              <w:t>等</w:t>
            </w:r>
          </w:p>
        </w:tc>
        <w:tc>
          <w:tcPr>
            <w:tcW w:w="925" w:type="dxa"/>
            <w:shd w:val="clear" w:color="auto" w:fill="auto"/>
            <w:vAlign w:val="center"/>
          </w:tcPr>
          <w:p>
            <w:pPr>
              <w:jc w:val="center"/>
              <w:rPr>
                <w:b/>
                <w:kern w:val="0"/>
                <w:szCs w:val="21"/>
              </w:rPr>
            </w:pPr>
            <w:r>
              <w:rPr>
                <w:b/>
                <w:kern w:val="0"/>
                <w:szCs w:val="21"/>
              </w:rPr>
              <w:t>目标</w:t>
            </w:r>
            <w:r>
              <w:rPr>
                <w:rFonts w:hint="eastAsia"/>
                <w:b/>
                <w:kern w:val="0"/>
                <w:szCs w:val="21"/>
              </w:rPr>
              <w:t>3</w:t>
            </w:r>
          </w:p>
          <w:p>
            <w:pPr>
              <w:jc w:val="center"/>
              <w:rPr>
                <w:b/>
                <w:kern w:val="0"/>
                <w:szCs w:val="21"/>
              </w:rPr>
            </w:pPr>
            <w:r>
              <w:rPr>
                <w:rFonts w:hint="eastAsia"/>
                <w:b/>
                <w:kern w:val="0"/>
                <w:szCs w:val="21"/>
              </w:rPr>
              <w:t>目标4</w:t>
            </w:r>
          </w:p>
        </w:tc>
      </w:tr>
    </w:tbl>
    <w:p>
      <w:pPr>
        <w:spacing w:line="360" w:lineRule="auto"/>
        <w:ind w:firstLine="562" w:firstLineChars="200"/>
        <w:rPr>
          <w:b/>
          <w:sz w:val="28"/>
          <w:szCs w:val="28"/>
        </w:rPr>
      </w:pPr>
      <w:r>
        <w:rPr>
          <w:rFonts w:hint="eastAsia"/>
          <w:b/>
          <w:sz w:val="28"/>
          <w:szCs w:val="28"/>
        </w:rPr>
        <w:t>四、课程实施</w:t>
      </w:r>
    </w:p>
    <w:p>
      <w:pPr>
        <w:spacing w:line="360" w:lineRule="auto"/>
        <w:ind w:firstLine="482" w:firstLineChars="200"/>
        <w:rPr>
          <w:b/>
          <w:sz w:val="24"/>
        </w:rPr>
      </w:pPr>
      <w:r>
        <w:rPr>
          <w:rFonts w:hint="eastAsia"/>
          <w:b/>
          <w:sz w:val="24"/>
        </w:rPr>
        <w:t>（一）教学方法与教学手段</w:t>
      </w:r>
    </w:p>
    <w:p>
      <w:pPr>
        <w:spacing w:line="360" w:lineRule="auto"/>
        <w:ind w:firstLine="480" w:firstLineChars="200"/>
        <w:rPr>
          <w:color w:val="000000"/>
          <w:sz w:val="24"/>
        </w:rPr>
      </w:pPr>
      <w:r>
        <w:rPr>
          <w:rFonts w:hint="eastAsia"/>
          <w:color w:val="000000"/>
          <w:sz w:val="24"/>
        </w:rPr>
        <w:t>1.</w:t>
      </w:r>
      <w:r>
        <w:rPr>
          <w:color w:val="000000"/>
          <w:sz w:val="24"/>
        </w:rPr>
        <w:t>采用多媒体教学手段，配合例题的讲解及适当的思考题，保证讲课进度的同时，注意学生的掌握程度和课堂的气氛</w:t>
      </w:r>
      <w:r>
        <w:rPr>
          <w:rFonts w:hint="eastAsia"/>
          <w:color w:val="000000"/>
          <w:sz w:val="24"/>
        </w:rPr>
        <w:t>。</w:t>
      </w:r>
    </w:p>
    <w:p>
      <w:pPr>
        <w:spacing w:line="360" w:lineRule="auto"/>
        <w:ind w:firstLine="480" w:firstLineChars="200"/>
        <w:rPr>
          <w:color w:val="000000"/>
          <w:sz w:val="24"/>
        </w:rPr>
      </w:pPr>
      <w:r>
        <w:rPr>
          <w:rFonts w:hint="eastAsia"/>
          <w:sz w:val="24"/>
        </w:rPr>
        <w:t>2.</w:t>
      </w:r>
      <w:r>
        <w:rPr>
          <w:rFonts w:hint="eastAsia"/>
          <w:color w:val="000000"/>
          <w:sz w:val="24"/>
        </w:rPr>
        <w:t>课程讲授与案例教学、课堂讨论、线上网络教学、解释等多种教学方式结合，实行互动研究型教学，重点培养学生的理论素养与问题分析能力。因此，</w:t>
      </w:r>
      <w:r>
        <w:rPr>
          <w:sz w:val="24"/>
        </w:rPr>
        <w:t>安排学生自主性的学习内容，要求学生利用曾经学习过的化学有关知识来理解本门课程的有关内容，从而提高学生分析和解决问题的能力。</w:t>
      </w:r>
      <w:r>
        <w:rPr>
          <w:rFonts w:hint="eastAsia"/>
          <w:color w:val="000000"/>
          <w:sz w:val="24"/>
        </w:rPr>
        <w:t>课上主动参与讨论；课后按时完成布置的作业，积极进行教学互动交流。</w:t>
      </w:r>
    </w:p>
    <w:p>
      <w:pPr>
        <w:spacing w:line="360" w:lineRule="auto"/>
        <w:ind w:firstLine="482" w:firstLineChars="200"/>
        <w:rPr>
          <w:b/>
          <w:sz w:val="24"/>
        </w:rPr>
      </w:pPr>
      <w:r>
        <w:rPr>
          <w:rFonts w:hint="eastAsia"/>
          <w:b/>
          <w:sz w:val="24"/>
        </w:rPr>
        <w:t>（二）课程实施与保障</w:t>
      </w:r>
    </w:p>
    <w:tbl>
      <w:tblPr>
        <w:tblStyle w:val="10"/>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2"/>
        <w:gridCol w:w="1701"/>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3" w:type="dxa"/>
            <w:gridSpan w:val="2"/>
            <w:tcMar>
              <w:left w:w="28" w:type="dxa"/>
              <w:right w:w="28" w:type="dxa"/>
            </w:tcMar>
            <w:vAlign w:val="center"/>
          </w:tcPr>
          <w:p>
            <w:pPr>
              <w:spacing w:line="276" w:lineRule="auto"/>
              <w:jc w:val="center"/>
              <w:rPr>
                <w:szCs w:val="21"/>
              </w:rPr>
            </w:pPr>
            <w:r>
              <w:rPr>
                <w:bCs/>
                <w:szCs w:val="21"/>
              </w:rPr>
              <w:t>主要教学环节</w:t>
            </w:r>
          </w:p>
        </w:tc>
        <w:tc>
          <w:tcPr>
            <w:tcW w:w="6237" w:type="dxa"/>
            <w:vAlign w:val="center"/>
          </w:tcPr>
          <w:p>
            <w:pPr>
              <w:spacing w:line="276" w:lineRule="auto"/>
              <w:jc w:val="center"/>
              <w:rPr>
                <w:szCs w:val="21"/>
              </w:rPr>
            </w:pPr>
            <w:r>
              <w:rPr>
                <w:bCs/>
                <w:szCs w:val="21"/>
              </w:rPr>
              <w:t>质量</w:t>
            </w:r>
            <w:r>
              <w:rPr>
                <w:rFonts w:hint="eastAsia"/>
                <w:bCs/>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582" w:type="dxa"/>
            <w:vAlign w:val="center"/>
          </w:tcPr>
          <w:p>
            <w:pPr>
              <w:spacing w:line="276" w:lineRule="auto"/>
              <w:jc w:val="center"/>
              <w:rPr>
                <w:szCs w:val="21"/>
              </w:rPr>
            </w:pPr>
            <w:r>
              <w:rPr>
                <w:szCs w:val="21"/>
              </w:rPr>
              <w:t>1</w:t>
            </w:r>
          </w:p>
        </w:tc>
        <w:tc>
          <w:tcPr>
            <w:tcW w:w="1701" w:type="dxa"/>
            <w:tcMar>
              <w:left w:w="28" w:type="dxa"/>
              <w:right w:w="28" w:type="dxa"/>
            </w:tcMar>
            <w:vAlign w:val="center"/>
          </w:tcPr>
          <w:p>
            <w:pPr>
              <w:spacing w:line="276" w:lineRule="auto"/>
              <w:jc w:val="center"/>
              <w:rPr>
                <w:szCs w:val="21"/>
              </w:rPr>
            </w:pPr>
            <w:r>
              <w:rPr>
                <w:szCs w:val="21"/>
              </w:rPr>
              <w:t>备课</w:t>
            </w:r>
          </w:p>
        </w:tc>
        <w:tc>
          <w:tcPr>
            <w:tcW w:w="6237" w:type="dxa"/>
            <w:vAlign w:val="center"/>
          </w:tcPr>
          <w:p>
            <w:pPr>
              <w:spacing w:line="276" w:lineRule="auto"/>
              <w:rPr>
                <w:szCs w:val="21"/>
              </w:rPr>
            </w:pPr>
            <w:r>
              <w:rPr>
                <w:rFonts w:hint="eastAsia"/>
                <w:szCs w:val="21"/>
              </w:rPr>
              <w:t>1.</w:t>
            </w:r>
            <w:r>
              <w:rPr>
                <w:szCs w:val="21"/>
              </w:rPr>
              <w:t>掌握本课程教学大纲内容，严格按照教学大纲要求进行课程教学内容的组织。</w:t>
            </w:r>
          </w:p>
          <w:p>
            <w:pPr>
              <w:spacing w:line="276" w:lineRule="auto"/>
              <w:rPr>
                <w:szCs w:val="21"/>
              </w:rPr>
            </w:pPr>
            <w:r>
              <w:rPr>
                <w:rFonts w:hint="eastAsia"/>
                <w:szCs w:val="21"/>
              </w:rPr>
              <w:t>2.</w:t>
            </w:r>
            <w:r>
              <w:rPr>
                <w:szCs w:val="21"/>
              </w:rPr>
              <w:t>熟悉教材各章节，借助专业书籍资料，并依据教学大纲编写授课计划</w:t>
            </w:r>
            <w:r>
              <w:rPr>
                <w:rFonts w:hint="eastAsia"/>
                <w:szCs w:val="21"/>
              </w:rPr>
              <w:t>进度表</w:t>
            </w:r>
          </w:p>
          <w:p>
            <w:pPr>
              <w:spacing w:line="276" w:lineRule="auto"/>
              <w:rPr>
                <w:szCs w:val="21"/>
              </w:rPr>
            </w:pPr>
            <w:r>
              <w:rPr>
                <w:rFonts w:hint="eastAsia"/>
                <w:szCs w:val="21"/>
              </w:rPr>
              <w:t>3.根据</w:t>
            </w:r>
            <w:r>
              <w:rPr>
                <w:szCs w:val="21"/>
              </w:rPr>
              <w:t>各部分</w:t>
            </w:r>
            <w:r>
              <w:rPr>
                <w:rFonts w:hint="eastAsia"/>
                <w:szCs w:val="21"/>
              </w:rPr>
              <w:t>教学</w:t>
            </w:r>
            <w:r>
              <w:rPr>
                <w:szCs w:val="21"/>
              </w:rPr>
              <w:t>内容</w:t>
            </w:r>
            <w:r>
              <w:rPr>
                <w:rFonts w:hint="eastAsia"/>
                <w:szCs w:val="21"/>
              </w:rPr>
              <w:t>，</w:t>
            </w:r>
            <w:r>
              <w:rPr>
                <w:szCs w:val="21"/>
              </w:rPr>
              <w:t>构思授课思路、技巧</w:t>
            </w:r>
            <w:r>
              <w:rPr>
                <w:rFonts w:hint="eastAsia"/>
                <w:szCs w:val="21"/>
              </w:rPr>
              <w:t>，选择合适的</w:t>
            </w:r>
            <w:r>
              <w:rPr>
                <w:szCs w:val="21"/>
              </w:rPr>
              <w:t>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vAlign w:val="center"/>
          </w:tcPr>
          <w:p>
            <w:pPr>
              <w:spacing w:line="276" w:lineRule="auto"/>
              <w:jc w:val="center"/>
              <w:rPr>
                <w:szCs w:val="21"/>
              </w:rPr>
            </w:pPr>
            <w:r>
              <w:rPr>
                <w:szCs w:val="21"/>
              </w:rPr>
              <w:t>2</w:t>
            </w:r>
          </w:p>
        </w:tc>
        <w:tc>
          <w:tcPr>
            <w:tcW w:w="1701" w:type="dxa"/>
            <w:tcMar>
              <w:left w:w="28" w:type="dxa"/>
              <w:right w:w="28" w:type="dxa"/>
            </w:tcMar>
            <w:vAlign w:val="center"/>
          </w:tcPr>
          <w:p>
            <w:pPr>
              <w:spacing w:line="276" w:lineRule="auto"/>
              <w:jc w:val="center"/>
              <w:rPr>
                <w:szCs w:val="21"/>
              </w:rPr>
            </w:pPr>
            <w:r>
              <w:rPr>
                <w:szCs w:val="21"/>
              </w:rPr>
              <w:t>讲授</w:t>
            </w:r>
          </w:p>
        </w:tc>
        <w:tc>
          <w:tcPr>
            <w:tcW w:w="6237" w:type="dxa"/>
            <w:vAlign w:val="center"/>
          </w:tcPr>
          <w:p>
            <w:pPr>
              <w:spacing w:line="276" w:lineRule="auto"/>
              <w:rPr>
                <w:szCs w:val="21"/>
              </w:rPr>
            </w:pPr>
            <w:r>
              <w:rPr>
                <w:rFonts w:hint="eastAsia"/>
                <w:szCs w:val="21"/>
              </w:rPr>
              <w:t>1.</w:t>
            </w:r>
            <w:r>
              <w:rPr>
                <w:szCs w:val="21"/>
              </w:rPr>
              <w:t>要点准确</w:t>
            </w:r>
            <w:r>
              <w:rPr>
                <w:rFonts w:hint="eastAsia"/>
                <w:szCs w:val="21"/>
              </w:rPr>
              <w:t>、</w:t>
            </w:r>
            <w:r>
              <w:rPr>
                <w:szCs w:val="21"/>
              </w:rPr>
              <w:t>推理正确</w:t>
            </w:r>
            <w:r>
              <w:rPr>
                <w:rFonts w:hint="eastAsia"/>
                <w:szCs w:val="21"/>
              </w:rPr>
              <w:t>、</w:t>
            </w:r>
            <w:r>
              <w:rPr>
                <w:szCs w:val="21"/>
              </w:rPr>
              <w:t>条理清晰</w:t>
            </w:r>
            <w:r>
              <w:rPr>
                <w:rFonts w:hint="eastAsia"/>
                <w:szCs w:val="21"/>
              </w:rPr>
              <w:t>、</w:t>
            </w:r>
            <w:r>
              <w:rPr>
                <w:szCs w:val="21"/>
              </w:rPr>
              <w:t>重点突出，</w:t>
            </w:r>
            <w:r>
              <w:rPr>
                <w:rFonts w:hint="eastAsia"/>
                <w:szCs w:val="21"/>
              </w:rPr>
              <w:t>能够</w:t>
            </w:r>
            <w:r>
              <w:rPr>
                <w:szCs w:val="21"/>
              </w:rPr>
              <w:t>理论联系实际，熟练地解答和讲解例题。</w:t>
            </w:r>
          </w:p>
          <w:p>
            <w:pPr>
              <w:spacing w:line="276" w:lineRule="auto"/>
              <w:rPr>
                <w:szCs w:val="21"/>
              </w:rPr>
            </w:pPr>
            <w:r>
              <w:rPr>
                <w:rFonts w:hint="eastAsia"/>
                <w:szCs w:val="21"/>
              </w:rPr>
              <w:t>2.</w:t>
            </w:r>
            <w:r>
              <w:rPr>
                <w:szCs w:val="21"/>
              </w:rPr>
              <w:t>采用多种教学方式（如启发式教学、案例分析教学、讨论式教学、多媒体示范教学等），注重培养学生发现、分析和解决问题的能力。</w:t>
            </w:r>
          </w:p>
          <w:p>
            <w:pPr>
              <w:spacing w:line="276" w:lineRule="auto"/>
              <w:rPr>
                <w:szCs w:val="21"/>
              </w:rPr>
            </w:pPr>
            <w:r>
              <w:rPr>
                <w:rFonts w:hint="eastAsia"/>
                <w:szCs w:val="21"/>
              </w:rPr>
              <w:t>3.能够采用现代信息技术辅助</w:t>
            </w:r>
            <w:r>
              <w:rPr>
                <w:szCs w:val="21"/>
              </w:rPr>
              <w:t>教学。</w:t>
            </w:r>
          </w:p>
          <w:p>
            <w:pPr>
              <w:spacing w:line="276" w:lineRule="auto"/>
              <w:rPr>
                <w:szCs w:val="21"/>
              </w:rPr>
            </w:pPr>
            <w:r>
              <w:rPr>
                <w:rFonts w:hint="eastAsia"/>
                <w:szCs w:val="21"/>
              </w:rPr>
              <w:t>4.</w:t>
            </w:r>
            <w:r>
              <w:rPr>
                <w:szCs w:val="21"/>
              </w:rPr>
              <w:t>表达方式</w:t>
            </w:r>
            <w:r>
              <w:rPr>
                <w:rFonts w:hint="eastAsia"/>
                <w:szCs w:val="21"/>
              </w:rPr>
              <w:t>应能</w:t>
            </w:r>
            <w:r>
              <w:rPr>
                <w:szCs w:val="21"/>
              </w:rPr>
              <w:t>便于学生理解、接受，力求形象生动，使学生在掌握知识的过程中，保持较为浓厚的</w:t>
            </w:r>
            <w:r>
              <w:rPr>
                <w:rFonts w:hint="eastAsia"/>
                <w:szCs w:val="21"/>
              </w:rPr>
              <w:t>学习</w:t>
            </w:r>
            <w:r>
              <w:rPr>
                <w:szCs w:val="21"/>
              </w:rPr>
              <w:t>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jc w:val="center"/>
        </w:trPr>
        <w:tc>
          <w:tcPr>
            <w:tcW w:w="582" w:type="dxa"/>
            <w:vAlign w:val="center"/>
          </w:tcPr>
          <w:p>
            <w:pPr>
              <w:spacing w:line="276" w:lineRule="auto"/>
              <w:jc w:val="center"/>
              <w:rPr>
                <w:szCs w:val="21"/>
              </w:rPr>
            </w:pPr>
            <w:r>
              <w:rPr>
                <w:szCs w:val="21"/>
              </w:rPr>
              <w:t>3</w:t>
            </w:r>
          </w:p>
        </w:tc>
        <w:tc>
          <w:tcPr>
            <w:tcW w:w="1701" w:type="dxa"/>
            <w:tcMar>
              <w:left w:w="28" w:type="dxa"/>
              <w:right w:w="28" w:type="dxa"/>
            </w:tcMar>
            <w:vAlign w:val="center"/>
          </w:tcPr>
          <w:p>
            <w:pPr>
              <w:spacing w:line="276" w:lineRule="auto"/>
              <w:jc w:val="center"/>
              <w:rPr>
                <w:szCs w:val="21"/>
              </w:rPr>
            </w:pPr>
            <w:r>
              <w:rPr>
                <w:szCs w:val="21"/>
              </w:rPr>
              <w:t>作业布置与批改</w:t>
            </w:r>
          </w:p>
        </w:tc>
        <w:tc>
          <w:tcPr>
            <w:tcW w:w="6237" w:type="dxa"/>
            <w:vAlign w:val="center"/>
          </w:tcPr>
          <w:p>
            <w:pPr>
              <w:spacing w:line="276" w:lineRule="auto"/>
              <w:rPr>
                <w:szCs w:val="21"/>
              </w:rPr>
            </w:pPr>
            <w:r>
              <w:rPr>
                <w:szCs w:val="21"/>
              </w:rPr>
              <w:t>学生必须完成</w:t>
            </w:r>
            <w:r>
              <w:rPr>
                <w:rFonts w:hint="eastAsia"/>
                <w:szCs w:val="21"/>
              </w:rPr>
              <w:t>规定</w:t>
            </w:r>
            <w:r>
              <w:rPr>
                <w:szCs w:val="21"/>
              </w:rPr>
              <w:t>数量的作业</w:t>
            </w:r>
            <w:r>
              <w:rPr>
                <w:rFonts w:hint="eastAsia"/>
                <w:szCs w:val="21"/>
              </w:rPr>
              <w:t>，</w:t>
            </w:r>
            <w:r>
              <w:rPr>
                <w:szCs w:val="21"/>
              </w:rPr>
              <w:t>作业必须达到以下基本要求：</w:t>
            </w:r>
          </w:p>
          <w:p>
            <w:pPr>
              <w:spacing w:line="276" w:lineRule="auto"/>
              <w:rPr>
                <w:szCs w:val="21"/>
              </w:rPr>
            </w:pPr>
            <w:r>
              <w:rPr>
                <w:rFonts w:hint="eastAsia"/>
                <w:szCs w:val="21"/>
              </w:rPr>
              <w:t>1.</w:t>
            </w:r>
            <w:r>
              <w:rPr>
                <w:szCs w:val="21"/>
              </w:rPr>
              <w:t>按时按量完成作业，不缺交，不抄袭</w:t>
            </w:r>
            <w:r>
              <w:rPr>
                <w:rFonts w:hint="eastAsia"/>
                <w:szCs w:val="21"/>
              </w:rPr>
              <w:t>。</w:t>
            </w:r>
          </w:p>
          <w:p>
            <w:pPr>
              <w:spacing w:line="276" w:lineRule="auto"/>
              <w:rPr>
                <w:szCs w:val="21"/>
              </w:rPr>
            </w:pPr>
            <w:r>
              <w:rPr>
                <w:rFonts w:hint="eastAsia"/>
                <w:szCs w:val="21"/>
              </w:rPr>
              <w:t>2.书写</w:t>
            </w:r>
            <w:r>
              <w:rPr>
                <w:szCs w:val="21"/>
              </w:rPr>
              <w:t>规范</w:t>
            </w:r>
            <w:r>
              <w:rPr>
                <w:rFonts w:hint="eastAsia"/>
                <w:szCs w:val="21"/>
              </w:rPr>
              <w:t>、</w:t>
            </w:r>
            <w:r>
              <w:rPr>
                <w:szCs w:val="21"/>
              </w:rPr>
              <w:t>清晰</w:t>
            </w:r>
            <w:r>
              <w:rPr>
                <w:rFonts w:hint="eastAsia"/>
                <w:szCs w:val="21"/>
              </w:rPr>
              <w:t>。</w:t>
            </w:r>
          </w:p>
          <w:p>
            <w:pPr>
              <w:spacing w:line="276" w:lineRule="auto"/>
              <w:rPr>
                <w:szCs w:val="21"/>
              </w:rPr>
            </w:pPr>
            <w:r>
              <w:rPr>
                <w:rFonts w:hint="eastAsia"/>
                <w:szCs w:val="21"/>
              </w:rPr>
              <w:t>3.</w:t>
            </w:r>
            <w:r>
              <w:rPr>
                <w:szCs w:val="21"/>
              </w:rPr>
              <w:t>解题方法和步骤正确。</w:t>
            </w:r>
          </w:p>
          <w:p>
            <w:pPr>
              <w:spacing w:line="276" w:lineRule="auto"/>
              <w:rPr>
                <w:szCs w:val="21"/>
              </w:rPr>
            </w:pPr>
            <w:r>
              <w:rPr>
                <w:szCs w:val="21"/>
              </w:rPr>
              <w:t>教师批改</w:t>
            </w:r>
            <w:r>
              <w:rPr>
                <w:rFonts w:hint="eastAsia"/>
                <w:szCs w:val="21"/>
              </w:rPr>
              <w:t>和</w:t>
            </w:r>
            <w:r>
              <w:rPr>
                <w:szCs w:val="21"/>
              </w:rPr>
              <w:t>讲评作业要求如下：</w:t>
            </w:r>
          </w:p>
          <w:p>
            <w:pPr>
              <w:spacing w:line="276" w:lineRule="auto"/>
              <w:rPr>
                <w:szCs w:val="21"/>
              </w:rPr>
            </w:pPr>
            <w:r>
              <w:rPr>
                <w:rFonts w:hint="eastAsia"/>
                <w:szCs w:val="21"/>
              </w:rPr>
              <w:t>1.</w:t>
            </w:r>
            <w:r>
              <w:rPr>
                <w:szCs w:val="21"/>
              </w:rPr>
              <w:t>学生的作业要</w:t>
            </w:r>
            <w:r>
              <w:rPr>
                <w:rFonts w:hint="eastAsia"/>
                <w:szCs w:val="21"/>
              </w:rPr>
              <w:t>按时</w:t>
            </w:r>
            <w:r>
              <w:rPr>
                <w:szCs w:val="21"/>
              </w:rPr>
              <w:t>全</w:t>
            </w:r>
            <w:r>
              <w:rPr>
                <w:rFonts w:hint="eastAsia"/>
                <w:szCs w:val="21"/>
              </w:rPr>
              <w:t>部</w:t>
            </w:r>
            <w:r>
              <w:rPr>
                <w:szCs w:val="21"/>
              </w:rPr>
              <w:t>批改，并</w:t>
            </w:r>
            <w:r>
              <w:rPr>
                <w:rFonts w:hint="eastAsia"/>
                <w:szCs w:val="21"/>
              </w:rPr>
              <w:t>及时进行</w:t>
            </w:r>
            <w:r>
              <w:rPr>
                <w:szCs w:val="21"/>
              </w:rPr>
              <w:t>讲评</w:t>
            </w:r>
            <w:r>
              <w:rPr>
                <w:rFonts w:hint="eastAsia"/>
                <w:szCs w:val="21"/>
              </w:rPr>
              <w:t>。</w:t>
            </w:r>
          </w:p>
          <w:p>
            <w:pPr>
              <w:spacing w:line="276" w:lineRule="auto"/>
              <w:rPr>
                <w:szCs w:val="21"/>
              </w:rPr>
            </w:pPr>
            <w:r>
              <w:rPr>
                <w:rFonts w:hint="eastAsia"/>
                <w:szCs w:val="21"/>
              </w:rPr>
              <w:t>2.</w:t>
            </w:r>
            <w:r>
              <w:rPr>
                <w:szCs w:val="21"/>
              </w:rPr>
              <w:t>教师批改</w:t>
            </w:r>
            <w:r>
              <w:rPr>
                <w:rFonts w:hint="eastAsia"/>
                <w:szCs w:val="21"/>
              </w:rPr>
              <w:t>和</w:t>
            </w:r>
            <w:r>
              <w:rPr>
                <w:szCs w:val="21"/>
              </w:rPr>
              <w:t>讲评作业要认真、细致，按百分制评定成绩并写明日期</w:t>
            </w:r>
            <w:r>
              <w:rPr>
                <w:rFonts w:hint="eastAsia"/>
                <w:szCs w:val="21"/>
              </w:rPr>
              <w:t>。</w:t>
            </w:r>
          </w:p>
          <w:p>
            <w:pPr>
              <w:spacing w:line="276" w:lineRule="auto"/>
              <w:rPr>
                <w:szCs w:val="21"/>
              </w:rPr>
            </w:pPr>
            <w:r>
              <w:rPr>
                <w:rFonts w:hint="eastAsia"/>
                <w:szCs w:val="21"/>
              </w:rPr>
              <w:t>3.</w:t>
            </w:r>
            <w:r>
              <w:rPr>
                <w:szCs w:val="21"/>
              </w:rPr>
              <w:t>学生作业的平均成绩</w:t>
            </w:r>
            <w:r>
              <w:rPr>
                <w:rFonts w:hint="eastAsia"/>
                <w:szCs w:val="21"/>
              </w:rPr>
              <w:t>应</w:t>
            </w:r>
            <w:r>
              <w:rPr>
                <w:szCs w:val="21"/>
              </w:rPr>
              <w:t>作为本课程总评成绩中平时成绩的重要组成部分。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582" w:type="dxa"/>
            <w:vAlign w:val="center"/>
          </w:tcPr>
          <w:p>
            <w:pPr>
              <w:spacing w:line="276" w:lineRule="auto"/>
              <w:jc w:val="center"/>
              <w:rPr>
                <w:szCs w:val="21"/>
              </w:rPr>
            </w:pPr>
            <w:r>
              <w:rPr>
                <w:szCs w:val="21"/>
              </w:rPr>
              <w:t>4</w:t>
            </w:r>
          </w:p>
        </w:tc>
        <w:tc>
          <w:tcPr>
            <w:tcW w:w="1701" w:type="dxa"/>
            <w:tcMar>
              <w:left w:w="28" w:type="dxa"/>
              <w:right w:w="28" w:type="dxa"/>
            </w:tcMar>
            <w:vAlign w:val="center"/>
          </w:tcPr>
          <w:p>
            <w:pPr>
              <w:spacing w:line="276" w:lineRule="auto"/>
              <w:jc w:val="center"/>
              <w:rPr>
                <w:szCs w:val="21"/>
              </w:rPr>
            </w:pPr>
            <w:r>
              <w:rPr>
                <w:szCs w:val="21"/>
              </w:rPr>
              <w:t>课外答疑</w:t>
            </w:r>
          </w:p>
        </w:tc>
        <w:tc>
          <w:tcPr>
            <w:tcW w:w="6237" w:type="dxa"/>
            <w:vAlign w:val="center"/>
          </w:tcPr>
          <w:p>
            <w:pPr>
              <w:spacing w:line="276" w:lineRule="auto"/>
              <w:rPr>
                <w:szCs w:val="21"/>
              </w:rPr>
            </w:pPr>
            <w:r>
              <w:rPr>
                <w:szCs w:val="21"/>
              </w:rPr>
              <w:t>为了解学生的学习情况，帮助学生</w:t>
            </w:r>
            <w:r>
              <w:rPr>
                <w:rFonts w:hint="eastAsia"/>
                <w:szCs w:val="21"/>
              </w:rPr>
              <w:t>更好地</w:t>
            </w:r>
            <w:r>
              <w:rPr>
                <w:szCs w:val="21"/>
              </w:rPr>
              <w:t>理解和消化所学知识、改进学习方法和思维方式，培养其独立思考问题的能力，</w:t>
            </w:r>
            <w:r>
              <w:rPr>
                <w:rFonts w:hint="eastAsia"/>
                <w:szCs w:val="21"/>
              </w:rPr>
              <w:t>课外答疑方式、时间、地点要跟学生商量共同确定，灵活安排。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582" w:type="dxa"/>
            <w:vAlign w:val="center"/>
          </w:tcPr>
          <w:p>
            <w:pPr>
              <w:spacing w:line="276" w:lineRule="auto"/>
              <w:jc w:val="center"/>
              <w:rPr>
                <w:szCs w:val="21"/>
              </w:rPr>
            </w:pPr>
            <w:r>
              <w:rPr>
                <w:szCs w:val="21"/>
              </w:rPr>
              <w:t>5</w:t>
            </w:r>
          </w:p>
        </w:tc>
        <w:tc>
          <w:tcPr>
            <w:tcW w:w="1701" w:type="dxa"/>
            <w:tcMar>
              <w:left w:w="28" w:type="dxa"/>
              <w:right w:w="28" w:type="dxa"/>
            </w:tcMar>
            <w:vAlign w:val="center"/>
          </w:tcPr>
          <w:p>
            <w:pPr>
              <w:spacing w:line="276" w:lineRule="auto"/>
              <w:jc w:val="center"/>
              <w:rPr>
                <w:szCs w:val="21"/>
              </w:rPr>
            </w:pPr>
            <w:r>
              <w:rPr>
                <w:szCs w:val="21"/>
              </w:rPr>
              <w:t>成绩考核</w:t>
            </w:r>
          </w:p>
        </w:tc>
        <w:tc>
          <w:tcPr>
            <w:tcW w:w="6237" w:type="dxa"/>
            <w:vAlign w:val="center"/>
          </w:tcPr>
          <w:p>
            <w:pPr>
              <w:spacing w:line="276" w:lineRule="auto"/>
              <w:rPr>
                <w:szCs w:val="21"/>
              </w:rPr>
            </w:pPr>
            <w:r>
              <w:rPr>
                <w:szCs w:val="21"/>
              </w:rPr>
              <w:t>本课程考核的方式</w:t>
            </w:r>
            <w:r>
              <w:rPr>
                <w:rFonts w:hint="eastAsia"/>
                <w:szCs w:val="21"/>
              </w:rPr>
              <w:t>为开卷笔试</w:t>
            </w:r>
            <w:r>
              <w:rPr>
                <w:szCs w:val="21"/>
              </w:rPr>
              <w:t>。考试</w:t>
            </w:r>
            <w:r>
              <w:rPr>
                <w:rFonts w:hint="eastAsia"/>
                <w:szCs w:val="21"/>
              </w:rPr>
              <w:t>于结课的最后一周进行</w:t>
            </w:r>
            <w:r>
              <w:rPr>
                <w:szCs w:val="21"/>
              </w:rPr>
              <w:t>。有下列情况之一者，总评成绩为不及格：</w:t>
            </w:r>
          </w:p>
          <w:p>
            <w:pPr>
              <w:spacing w:line="276" w:lineRule="auto"/>
              <w:rPr>
                <w:szCs w:val="21"/>
              </w:rPr>
            </w:pPr>
            <w:r>
              <w:rPr>
                <w:rFonts w:hint="eastAsia"/>
                <w:szCs w:val="21"/>
              </w:rPr>
              <w:t>1.</w:t>
            </w:r>
            <w:r>
              <w:rPr>
                <w:szCs w:val="21"/>
              </w:rPr>
              <w:t>缺交作业次数达1/3以上者</w:t>
            </w:r>
            <w:r>
              <w:rPr>
                <w:rFonts w:hint="eastAsia"/>
                <w:szCs w:val="21"/>
              </w:rPr>
              <w:t>。</w:t>
            </w:r>
          </w:p>
          <w:p>
            <w:pPr>
              <w:spacing w:line="276" w:lineRule="auto"/>
              <w:rPr>
                <w:szCs w:val="21"/>
              </w:rPr>
            </w:pPr>
            <w:r>
              <w:rPr>
                <w:rFonts w:hint="eastAsia"/>
                <w:szCs w:val="21"/>
              </w:rPr>
              <w:t>2.</w:t>
            </w:r>
            <w:r>
              <w:rPr>
                <w:szCs w:val="21"/>
              </w:rPr>
              <w:t>缺课次数达本学期总授课学时的1/3以上者</w:t>
            </w:r>
            <w:r>
              <w:rPr>
                <w:rFonts w:hint="eastAsia"/>
                <w:szCs w:val="21"/>
              </w:rPr>
              <w:t>。</w:t>
            </w:r>
          </w:p>
        </w:tc>
      </w:tr>
    </w:tbl>
    <w:p>
      <w:pPr>
        <w:spacing w:line="360" w:lineRule="auto"/>
        <w:rPr>
          <w:b/>
          <w:sz w:val="28"/>
          <w:szCs w:val="28"/>
        </w:rPr>
      </w:pPr>
      <w:r>
        <w:rPr>
          <w:rFonts w:hint="eastAsia"/>
          <w:b/>
          <w:sz w:val="28"/>
          <w:szCs w:val="28"/>
        </w:rPr>
        <w:t>五、课程</w:t>
      </w:r>
      <w:r>
        <w:rPr>
          <w:b/>
          <w:sz w:val="28"/>
          <w:szCs w:val="28"/>
        </w:rPr>
        <w:t>考核</w:t>
      </w:r>
    </w:p>
    <w:p>
      <w:pPr>
        <w:spacing w:line="360" w:lineRule="auto"/>
        <w:ind w:firstLine="480" w:firstLineChars="200"/>
        <w:rPr>
          <w:sz w:val="24"/>
        </w:rPr>
      </w:pPr>
      <w:r>
        <w:rPr>
          <w:rFonts w:hint="eastAsia"/>
          <w:sz w:val="24"/>
        </w:rPr>
        <w:t>（一）</w:t>
      </w:r>
      <w:r>
        <w:rPr>
          <w:sz w:val="24"/>
        </w:rPr>
        <w:t>课程考核包括期末考试、平时及作业考核</w:t>
      </w:r>
      <w:r>
        <w:rPr>
          <w:rFonts w:hint="eastAsia"/>
          <w:sz w:val="24"/>
        </w:rPr>
        <w:t>等</w:t>
      </w:r>
      <w:r>
        <w:rPr>
          <w:sz w:val="24"/>
        </w:rPr>
        <w:t>，期</w:t>
      </w:r>
      <w:r>
        <w:rPr>
          <w:rFonts w:hint="eastAsia"/>
          <w:sz w:val="24"/>
        </w:rPr>
        <w:t>末</w:t>
      </w:r>
      <w:r>
        <w:rPr>
          <w:sz w:val="24"/>
        </w:rPr>
        <w:t>考试采用</w:t>
      </w:r>
      <w:r>
        <w:rPr>
          <w:rFonts w:hint="eastAsia"/>
          <w:sz w:val="24"/>
        </w:rPr>
        <w:t>开</w:t>
      </w:r>
      <w:r>
        <w:rPr>
          <w:sz w:val="24"/>
        </w:rPr>
        <w:t>卷</w:t>
      </w:r>
      <w:r>
        <w:rPr>
          <w:rFonts w:hint="eastAsia"/>
          <w:sz w:val="24"/>
        </w:rPr>
        <w:t>考试方式</w:t>
      </w:r>
      <w:r>
        <w:rPr>
          <w:sz w:val="24"/>
        </w:rPr>
        <w:t>。</w:t>
      </w:r>
    </w:p>
    <w:p>
      <w:pPr>
        <w:spacing w:line="360" w:lineRule="auto"/>
        <w:ind w:firstLine="480" w:firstLineChars="200"/>
        <w:rPr>
          <w:sz w:val="24"/>
        </w:rPr>
      </w:pPr>
      <w:r>
        <w:rPr>
          <w:rFonts w:hint="eastAsia"/>
          <w:sz w:val="24"/>
        </w:rPr>
        <w:t>（二）</w:t>
      </w:r>
      <w:r>
        <w:rPr>
          <w:sz w:val="24"/>
        </w:rPr>
        <w:t>课程</w:t>
      </w:r>
      <w:r>
        <w:rPr>
          <w:rFonts w:hint="eastAsia"/>
          <w:sz w:val="24"/>
        </w:rPr>
        <w:t>总评</w:t>
      </w:r>
      <w:r>
        <w:rPr>
          <w:sz w:val="24"/>
        </w:rPr>
        <w:t>成绩=平时成绩×</w:t>
      </w:r>
      <w:r>
        <w:rPr>
          <w:rFonts w:hint="eastAsia"/>
          <w:sz w:val="24"/>
        </w:rPr>
        <w:t>20</w:t>
      </w:r>
      <w:r>
        <w:rPr>
          <w:sz w:val="24"/>
        </w:rPr>
        <w:t>% +</w:t>
      </w:r>
      <w:r>
        <w:rPr>
          <w:rFonts w:hint="eastAsia"/>
          <w:sz w:val="24"/>
        </w:rPr>
        <w:t>作业</w:t>
      </w:r>
      <w:r>
        <w:rPr>
          <w:sz w:val="24"/>
        </w:rPr>
        <w:t>×2</w:t>
      </w:r>
      <w:r>
        <w:rPr>
          <w:rFonts w:hint="eastAsia"/>
          <w:sz w:val="24"/>
        </w:rPr>
        <w:t>0</w:t>
      </w:r>
      <w:r>
        <w:rPr>
          <w:sz w:val="24"/>
        </w:rPr>
        <w:t xml:space="preserve">% </w:t>
      </w:r>
      <w:r>
        <w:rPr>
          <w:rFonts w:hint="eastAsia"/>
          <w:sz w:val="24"/>
        </w:rPr>
        <w:t>+过程性考核1</w:t>
      </w:r>
      <w:r>
        <w:rPr>
          <w:sz w:val="24"/>
        </w:rPr>
        <w:t>0</w:t>
      </w:r>
      <w:r>
        <w:rPr>
          <w:rFonts w:hint="eastAsia"/>
          <w:sz w:val="24"/>
        </w:rPr>
        <w:t>%+</w:t>
      </w:r>
      <w:r>
        <w:rPr>
          <w:sz w:val="24"/>
        </w:rPr>
        <w:t>期末考试成绩×</w:t>
      </w:r>
      <w:r>
        <w:rPr>
          <w:rFonts w:hint="eastAsia"/>
          <w:sz w:val="24"/>
        </w:rPr>
        <w:t>50</w:t>
      </w:r>
      <w:r>
        <w:rPr>
          <w:sz w:val="24"/>
        </w:rPr>
        <w:t>%。具体内容和比例</w:t>
      </w:r>
      <w:r>
        <w:rPr>
          <w:rFonts w:hint="eastAsia"/>
          <w:sz w:val="24"/>
        </w:rPr>
        <w:t>如表所示。</w:t>
      </w:r>
    </w:p>
    <w:tbl>
      <w:tblPr>
        <w:tblStyle w:val="10"/>
        <w:tblpPr w:leftFromText="180" w:rightFromText="180" w:vertAnchor="text" w:horzAnchor="margin" w:tblpXSpec="center" w:tblpY="244"/>
        <w:tblW w:w="91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715"/>
        <w:gridCol w:w="1560"/>
        <w:gridCol w:w="3260"/>
        <w:gridCol w:w="638"/>
        <w:gridCol w:w="638"/>
        <w:gridCol w:w="638"/>
        <w:gridCol w:w="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vMerge w:val="restart"/>
            <w:shd w:val="clear" w:color="auto" w:fill="FFFFFF"/>
            <w:tcMar>
              <w:left w:w="57" w:type="dxa"/>
              <w:right w:w="57" w:type="dxa"/>
            </w:tcMar>
            <w:vAlign w:val="center"/>
          </w:tcPr>
          <w:p>
            <w:pPr>
              <w:pStyle w:val="14"/>
              <w:jc w:val="center"/>
              <w:rPr>
                <w:rFonts w:eastAsia="宋体"/>
              </w:rPr>
            </w:pPr>
            <w:r>
              <w:rPr>
                <w:rFonts w:hint="eastAsia" w:eastAsia="宋体"/>
              </w:rPr>
              <w:t>考核环节</w:t>
            </w:r>
          </w:p>
        </w:tc>
        <w:tc>
          <w:tcPr>
            <w:tcW w:w="715" w:type="dxa"/>
            <w:vMerge w:val="restart"/>
            <w:shd w:val="clear" w:color="auto" w:fill="FFFFFF"/>
            <w:vAlign w:val="center"/>
          </w:tcPr>
          <w:p>
            <w:pPr>
              <w:pStyle w:val="14"/>
              <w:jc w:val="center"/>
              <w:rPr>
                <w:rFonts w:eastAsia="宋体"/>
              </w:rPr>
            </w:pPr>
            <w:r>
              <w:rPr>
                <w:rFonts w:hint="eastAsia" w:eastAsia="宋体"/>
              </w:rPr>
              <w:t>成绩比例</w:t>
            </w:r>
          </w:p>
        </w:tc>
        <w:tc>
          <w:tcPr>
            <w:tcW w:w="4820" w:type="dxa"/>
            <w:gridSpan w:val="2"/>
            <w:vMerge w:val="restart"/>
            <w:shd w:val="clear" w:color="auto" w:fill="FFFFFF"/>
            <w:vAlign w:val="center"/>
          </w:tcPr>
          <w:p>
            <w:pPr>
              <w:pStyle w:val="14"/>
              <w:jc w:val="center"/>
              <w:rPr>
                <w:rFonts w:eastAsia="宋体"/>
              </w:rPr>
            </w:pPr>
            <w:r>
              <w:rPr>
                <w:rFonts w:eastAsia="宋体"/>
              </w:rPr>
              <w:t>考核</w:t>
            </w:r>
            <w:r>
              <w:rPr>
                <w:rFonts w:hint="eastAsia" w:eastAsia="宋体"/>
              </w:rPr>
              <w:t>内容与</w:t>
            </w:r>
            <w:r>
              <w:rPr>
                <w:rFonts w:eastAsia="宋体"/>
              </w:rPr>
              <w:t>评价细则</w:t>
            </w:r>
          </w:p>
        </w:tc>
        <w:tc>
          <w:tcPr>
            <w:tcW w:w="2552" w:type="dxa"/>
            <w:gridSpan w:val="4"/>
            <w:shd w:val="clear" w:color="auto" w:fill="FFFFFF"/>
            <w:vAlign w:val="center"/>
          </w:tcPr>
          <w:p>
            <w:pPr>
              <w:pStyle w:val="14"/>
              <w:jc w:val="center"/>
              <w:rPr>
                <w:rFonts w:eastAsia="宋体"/>
              </w:rPr>
            </w:pPr>
            <w:r>
              <w:rPr>
                <w:rFonts w:hint="eastAsia" w:eastAsia="宋体"/>
              </w:rPr>
              <w:t>支撑目标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vMerge w:val="continue"/>
            <w:shd w:val="clear" w:color="auto" w:fill="FFFFFF"/>
            <w:tcMar>
              <w:left w:w="57" w:type="dxa"/>
              <w:right w:w="57" w:type="dxa"/>
            </w:tcMar>
            <w:vAlign w:val="center"/>
          </w:tcPr>
          <w:p>
            <w:pPr>
              <w:pStyle w:val="14"/>
              <w:jc w:val="center"/>
              <w:rPr>
                <w:rFonts w:eastAsia="宋体"/>
              </w:rPr>
            </w:pPr>
          </w:p>
        </w:tc>
        <w:tc>
          <w:tcPr>
            <w:tcW w:w="715" w:type="dxa"/>
            <w:vMerge w:val="continue"/>
            <w:shd w:val="clear" w:color="auto" w:fill="FFFFFF"/>
            <w:vAlign w:val="center"/>
          </w:tcPr>
          <w:p>
            <w:pPr>
              <w:pStyle w:val="14"/>
              <w:jc w:val="center"/>
              <w:rPr>
                <w:rFonts w:eastAsia="宋体"/>
              </w:rPr>
            </w:pPr>
          </w:p>
        </w:tc>
        <w:tc>
          <w:tcPr>
            <w:tcW w:w="4820" w:type="dxa"/>
            <w:gridSpan w:val="2"/>
            <w:vMerge w:val="continue"/>
            <w:shd w:val="clear" w:color="auto" w:fill="FFFFFF"/>
            <w:vAlign w:val="center"/>
          </w:tcPr>
          <w:p>
            <w:pPr>
              <w:pStyle w:val="14"/>
              <w:jc w:val="center"/>
              <w:rPr>
                <w:rFonts w:eastAsia="宋体"/>
              </w:rPr>
            </w:pPr>
          </w:p>
        </w:tc>
        <w:tc>
          <w:tcPr>
            <w:tcW w:w="638" w:type="dxa"/>
            <w:shd w:val="clear" w:color="auto" w:fill="FFFFFF"/>
            <w:vAlign w:val="center"/>
          </w:tcPr>
          <w:p>
            <w:pPr>
              <w:pStyle w:val="14"/>
              <w:jc w:val="center"/>
              <w:rPr>
                <w:rFonts w:eastAsia="宋体"/>
              </w:rPr>
            </w:pPr>
            <w:r>
              <w:rPr>
                <w:rFonts w:hint="eastAsia" w:eastAsia="宋体"/>
              </w:rPr>
              <w:t>目标1</w:t>
            </w:r>
          </w:p>
        </w:tc>
        <w:tc>
          <w:tcPr>
            <w:tcW w:w="638" w:type="dxa"/>
            <w:shd w:val="clear" w:color="auto" w:fill="FFFFFF"/>
            <w:vAlign w:val="center"/>
          </w:tcPr>
          <w:p>
            <w:pPr>
              <w:pStyle w:val="14"/>
              <w:jc w:val="center"/>
              <w:rPr>
                <w:rFonts w:eastAsia="宋体"/>
              </w:rPr>
            </w:pPr>
            <w:r>
              <w:rPr>
                <w:rFonts w:hint="eastAsia" w:eastAsia="宋体"/>
              </w:rPr>
              <w:t>目标2</w:t>
            </w:r>
          </w:p>
        </w:tc>
        <w:tc>
          <w:tcPr>
            <w:tcW w:w="638" w:type="dxa"/>
            <w:shd w:val="clear" w:color="auto" w:fill="FFFFFF"/>
            <w:vAlign w:val="center"/>
          </w:tcPr>
          <w:p>
            <w:pPr>
              <w:pStyle w:val="14"/>
              <w:jc w:val="center"/>
              <w:rPr>
                <w:rFonts w:eastAsia="宋体"/>
              </w:rPr>
            </w:pPr>
            <w:r>
              <w:rPr>
                <w:rFonts w:hint="eastAsia" w:eastAsia="宋体"/>
              </w:rPr>
              <w:t>目标3</w:t>
            </w:r>
          </w:p>
        </w:tc>
        <w:tc>
          <w:tcPr>
            <w:tcW w:w="638" w:type="dxa"/>
            <w:shd w:val="clear" w:color="auto" w:fill="FFFFFF"/>
            <w:vAlign w:val="center"/>
          </w:tcPr>
          <w:p>
            <w:pPr>
              <w:pStyle w:val="14"/>
              <w:jc w:val="center"/>
              <w:rPr>
                <w:rFonts w:eastAsia="宋体"/>
              </w:rPr>
            </w:pPr>
            <w:r>
              <w:rPr>
                <w:rFonts w:hint="eastAsia" w:eastAsia="宋体"/>
              </w:rPr>
              <w:t>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shd w:val="clear" w:color="auto" w:fill="FFFFFF"/>
            <w:tcMar>
              <w:left w:w="57" w:type="dxa"/>
              <w:right w:w="57" w:type="dxa"/>
            </w:tcMar>
            <w:vAlign w:val="center"/>
          </w:tcPr>
          <w:p>
            <w:pPr>
              <w:pStyle w:val="14"/>
              <w:jc w:val="center"/>
              <w:rPr>
                <w:rFonts w:eastAsia="宋体"/>
              </w:rPr>
            </w:pPr>
            <w:r>
              <w:rPr>
                <w:rFonts w:hint="eastAsia" w:eastAsia="宋体"/>
              </w:rPr>
              <w:t>平时表现</w:t>
            </w:r>
          </w:p>
        </w:tc>
        <w:tc>
          <w:tcPr>
            <w:tcW w:w="715" w:type="dxa"/>
            <w:shd w:val="clear" w:color="auto" w:fill="FFFFFF"/>
            <w:vAlign w:val="center"/>
          </w:tcPr>
          <w:p>
            <w:pPr>
              <w:pStyle w:val="14"/>
              <w:jc w:val="center"/>
              <w:rPr>
                <w:rFonts w:eastAsia="宋体"/>
              </w:rPr>
            </w:pPr>
            <w:r>
              <w:rPr>
                <w:rFonts w:hint="eastAsia" w:eastAsia="宋体"/>
              </w:rPr>
              <w:t>20%</w:t>
            </w:r>
          </w:p>
        </w:tc>
        <w:tc>
          <w:tcPr>
            <w:tcW w:w="4820" w:type="dxa"/>
            <w:gridSpan w:val="2"/>
            <w:shd w:val="clear" w:color="auto" w:fill="FFFFFF"/>
            <w:vAlign w:val="center"/>
          </w:tcPr>
          <w:p>
            <w:pPr>
              <w:pStyle w:val="14"/>
              <w:rPr>
                <w:rFonts w:eastAsia="宋体"/>
              </w:rPr>
            </w:pPr>
            <w:r>
              <w:rPr>
                <w:rFonts w:hint="eastAsia" w:eastAsia="宋体"/>
              </w:rPr>
              <w:t>课堂不定期点名，考核能否按时到勤，对于旷课、迟到和早退者适当扣分，根据平时课堂笔记、课堂回答问题等情况确定平时表现分数。</w:t>
            </w:r>
          </w:p>
        </w:tc>
        <w:tc>
          <w:tcPr>
            <w:tcW w:w="638" w:type="dxa"/>
            <w:shd w:val="clear" w:color="auto" w:fill="FFFFFF"/>
            <w:vAlign w:val="center"/>
          </w:tcPr>
          <w:p>
            <w:pPr>
              <w:pStyle w:val="14"/>
              <w:jc w:val="center"/>
              <w:rPr>
                <w:rFonts w:eastAsia="宋体"/>
                <w:highlight w:val="yellow"/>
              </w:rPr>
            </w:pPr>
            <w:r>
              <w:rPr>
                <w:rFonts w:hint="eastAsia" w:eastAsia="宋体"/>
              </w:rPr>
              <w:t>10%</w:t>
            </w:r>
          </w:p>
        </w:tc>
        <w:tc>
          <w:tcPr>
            <w:tcW w:w="638" w:type="dxa"/>
            <w:shd w:val="clear" w:color="auto" w:fill="FFFFFF"/>
            <w:vAlign w:val="center"/>
          </w:tcPr>
          <w:p>
            <w:pPr>
              <w:pStyle w:val="14"/>
              <w:jc w:val="center"/>
              <w:rPr>
                <w:rFonts w:eastAsia="宋体"/>
                <w:highlight w:val="yellow"/>
              </w:rPr>
            </w:pPr>
            <w:r>
              <w:rPr>
                <w:rFonts w:hint="eastAsia" w:eastAsia="宋体"/>
              </w:rPr>
              <w:t>10%</w:t>
            </w:r>
          </w:p>
        </w:tc>
        <w:tc>
          <w:tcPr>
            <w:tcW w:w="638" w:type="dxa"/>
            <w:shd w:val="clear" w:color="auto" w:fill="FFFFFF"/>
            <w:vAlign w:val="center"/>
          </w:tcPr>
          <w:p>
            <w:pPr>
              <w:pStyle w:val="14"/>
              <w:jc w:val="center"/>
              <w:rPr>
                <w:rFonts w:eastAsia="宋体"/>
              </w:rPr>
            </w:pPr>
          </w:p>
        </w:tc>
        <w:tc>
          <w:tcPr>
            <w:tcW w:w="638" w:type="dxa"/>
            <w:shd w:val="clear" w:color="auto" w:fill="FFFFFF"/>
            <w:vAlign w:val="center"/>
          </w:tcPr>
          <w:p>
            <w:pPr>
              <w:pStyle w:val="14"/>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043" w:type="dxa"/>
            <w:vMerge w:val="restart"/>
            <w:tcMar>
              <w:left w:w="57" w:type="dxa"/>
              <w:right w:w="57" w:type="dxa"/>
            </w:tcMar>
            <w:vAlign w:val="center"/>
          </w:tcPr>
          <w:p>
            <w:pPr>
              <w:pStyle w:val="14"/>
              <w:jc w:val="center"/>
              <w:rPr>
                <w:rFonts w:eastAsia="宋体"/>
              </w:rPr>
            </w:pPr>
            <w:r>
              <w:rPr>
                <w:rFonts w:eastAsia="宋体"/>
              </w:rPr>
              <w:t>作</w:t>
            </w:r>
            <w:r>
              <w:rPr>
                <w:rFonts w:hint="eastAsia" w:eastAsia="宋体"/>
              </w:rPr>
              <w:t xml:space="preserve">    </w:t>
            </w:r>
            <w:r>
              <w:rPr>
                <w:rFonts w:eastAsia="宋体"/>
              </w:rPr>
              <w:t>业</w:t>
            </w:r>
          </w:p>
        </w:tc>
        <w:tc>
          <w:tcPr>
            <w:tcW w:w="715" w:type="dxa"/>
            <w:vMerge w:val="restart"/>
            <w:vAlign w:val="center"/>
          </w:tcPr>
          <w:p>
            <w:pPr>
              <w:pStyle w:val="14"/>
              <w:jc w:val="center"/>
              <w:rPr>
                <w:rFonts w:eastAsia="宋体"/>
              </w:rPr>
            </w:pPr>
            <w:r>
              <w:rPr>
                <w:rFonts w:eastAsia="宋体"/>
              </w:rPr>
              <w:t>2</w:t>
            </w:r>
            <w:r>
              <w:rPr>
                <w:rFonts w:hint="eastAsia" w:eastAsia="宋体"/>
              </w:rPr>
              <w:t>0</w:t>
            </w:r>
            <w:r>
              <w:rPr>
                <w:rFonts w:eastAsia="宋体"/>
              </w:rPr>
              <w:t>%</w:t>
            </w:r>
          </w:p>
        </w:tc>
        <w:tc>
          <w:tcPr>
            <w:tcW w:w="4820" w:type="dxa"/>
            <w:gridSpan w:val="2"/>
            <w:vAlign w:val="center"/>
          </w:tcPr>
          <w:p>
            <w:pPr>
              <w:pStyle w:val="14"/>
              <w:rPr>
                <w:rFonts w:eastAsia="宋体"/>
                <w:szCs w:val="21"/>
              </w:rPr>
            </w:pPr>
            <w:r>
              <w:rPr>
                <w:rFonts w:hint="eastAsia" w:eastAsia="宋体"/>
                <w:szCs w:val="21"/>
              </w:rPr>
              <w:t>每章节对应有思考题和习题，考核学生对每节课知识点的复习、理解和掌握度。对每次作业完成情况做记录并百分制打分。</w:t>
            </w:r>
          </w:p>
        </w:tc>
        <w:tc>
          <w:tcPr>
            <w:tcW w:w="638" w:type="dxa"/>
            <w:shd w:val="clear" w:color="auto" w:fill="FFFFFF"/>
            <w:vAlign w:val="center"/>
          </w:tcPr>
          <w:p>
            <w:pPr>
              <w:pStyle w:val="14"/>
              <w:jc w:val="center"/>
              <w:rPr>
                <w:rFonts w:eastAsia="宋体"/>
                <w:color w:val="000000"/>
                <w:szCs w:val="21"/>
              </w:rPr>
            </w:pPr>
            <w:r>
              <w:rPr>
                <w:rFonts w:hint="eastAsia" w:eastAsia="宋体"/>
                <w:color w:val="000000"/>
                <w:szCs w:val="21"/>
              </w:rPr>
              <w:t>5%</w:t>
            </w:r>
          </w:p>
        </w:tc>
        <w:tc>
          <w:tcPr>
            <w:tcW w:w="638" w:type="dxa"/>
            <w:shd w:val="clear" w:color="auto" w:fill="FFFFFF"/>
            <w:vAlign w:val="center"/>
          </w:tcPr>
          <w:p>
            <w:pPr>
              <w:pStyle w:val="14"/>
              <w:jc w:val="center"/>
              <w:rPr>
                <w:rFonts w:eastAsia="宋体"/>
                <w:color w:val="000000"/>
                <w:szCs w:val="21"/>
              </w:rPr>
            </w:pPr>
            <w:r>
              <w:rPr>
                <w:rFonts w:hint="eastAsia" w:eastAsia="宋体"/>
                <w:color w:val="000000"/>
                <w:szCs w:val="21"/>
              </w:rPr>
              <w:t>5%</w:t>
            </w:r>
          </w:p>
        </w:tc>
        <w:tc>
          <w:tcPr>
            <w:tcW w:w="638" w:type="dxa"/>
            <w:shd w:val="clear" w:color="auto" w:fill="FFFFFF"/>
            <w:vAlign w:val="center"/>
          </w:tcPr>
          <w:p>
            <w:pPr>
              <w:pStyle w:val="14"/>
              <w:jc w:val="center"/>
              <w:rPr>
                <w:rFonts w:eastAsia="宋体"/>
                <w:color w:val="000000"/>
                <w:szCs w:val="21"/>
              </w:rPr>
            </w:pPr>
          </w:p>
        </w:tc>
        <w:tc>
          <w:tcPr>
            <w:tcW w:w="638" w:type="dxa"/>
            <w:shd w:val="clear" w:color="auto" w:fill="FFFFFF"/>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043" w:type="dxa"/>
            <w:vMerge w:val="continue"/>
            <w:tcMar>
              <w:left w:w="57" w:type="dxa"/>
              <w:right w:w="57" w:type="dxa"/>
            </w:tcMar>
            <w:vAlign w:val="center"/>
          </w:tcPr>
          <w:p>
            <w:pPr>
              <w:pStyle w:val="14"/>
              <w:jc w:val="center"/>
              <w:rPr>
                <w:rFonts w:eastAsia="宋体"/>
              </w:rPr>
            </w:pPr>
          </w:p>
        </w:tc>
        <w:tc>
          <w:tcPr>
            <w:tcW w:w="715" w:type="dxa"/>
            <w:vMerge w:val="continue"/>
            <w:vAlign w:val="center"/>
          </w:tcPr>
          <w:p>
            <w:pPr>
              <w:pStyle w:val="14"/>
              <w:jc w:val="center"/>
              <w:rPr>
                <w:rFonts w:eastAsia="宋体"/>
              </w:rPr>
            </w:pPr>
          </w:p>
        </w:tc>
        <w:tc>
          <w:tcPr>
            <w:tcW w:w="4820" w:type="dxa"/>
            <w:gridSpan w:val="2"/>
            <w:vAlign w:val="center"/>
          </w:tcPr>
          <w:p>
            <w:pPr>
              <w:pStyle w:val="14"/>
              <w:rPr>
                <w:rFonts w:eastAsia="宋体"/>
                <w:color w:val="000000"/>
                <w:szCs w:val="21"/>
              </w:rPr>
            </w:pPr>
            <w:r>
              <w:rPr>
                <w:rFonts w:hint="eastAsia" w:eastAsia="宋体"/>
                <w:color w:val="000000"/>
                <w:szCs w:val="21"/>
              </w:rPr>
              <w:t>慕课堂随堂测验，考察学生对教学内容的掌握情况，以课堂测试的形式进行。</w:t>
            </w:r>
          </w:p>
        </w:tc>
        <w:tc>
          <w:tcPr>
            <w:tcW w:w="638" w:type="dxa"/>
            <w:shd w:val="clear" w:color="auto" w:fill="FFFFFF"/>
            <w:vAlign w:val="center"/>
          </w:tcPr>
          <w:p>
            <w:pPr>
              <w:pStyle w:val="14"/>
              <w:jc w:val="center"/>
              <w:rPr>
                <w:rFonts w:eastAsia="宋体"/>
                <w:color w:val="000000"/>
                <w:szCs w:val="21"/>
              </w:rPr>
            </w:pPr>
          </w:p>
        </w:tc>
        <w:tc>
          <w:tcPr>
            <w:tcW w:w="638" w:type="dxa"/>
            <w:shd w:val="clear" w:color="auto" w:fill="FFFFFF"/>
            <w:vAlign w:val="center"/>
          </w:tcPr>
          <w:p>
            <w:pPr>
              <w:pStyle w:val="14"/>
              <w:jc w:val="center"/>
              <w:rPr>
                <w:rFonts w:eastAsia="宋体"/>
                <w:color w:val="000000"/>
                <w:szCs w:val="21"/>
              </w:rPr>
            </w:pPr>
            <w:r>
              <w:rPr>
                <w:rFonts w:eastAsia="宋体"/>
                <w:color w:val="000000"/>
                <w:szCs w:val="21"/>
              </w:rPr>
              <w:t>5</w:t>
            </w:r>
            <w:r>
              <w:rPr>
                <w:rFonts w:hint="eastAsia" w:eastAsia="宋体"/>
                <w:color w:val="000000"/>
                <w:szCs w:val="21"/>
              </w:rPr>
              <w:t>%</w:t>
            </w:r>
          </w:p>
        </w:tc>
        <w:tc>
          <w:tcPr>
            <w:tcW w:w="638" w:type="dxa"/>
            <w:shd w:val="clear" w:color="auto" w:fill="FFFFFF"/>
            <w:vAlign w:val="center"/>
          </w:tcPr>
          <w:p>
            <w:pPr>
              <w:pStyle w:val="14"/>
              <w:jc w:val="center"/>
              <w:rPr>
                <w:rFonts w:eastAsia="宋体"/>
                <w:color w:val="000000"/>
                <w:szCs w:val="21"/>
              </w:rPr>
            </w:pPr>
          </w:p>
        </w:tc>
        <w:tc>
          <w:tcPr>
            <w:tcW w:w="638" w:type="dxa"/>
            <w:shd w:val="clear" w:color="auto" w:fill="FFFFFF"/>
            <w:vAlign w:val="center"/>
          </w:tcPr>
          <w:p>
            <w:pPr>
              <w:pStyle w:val="14"/>
              <w:jc w:val="center"/>
              <w:rPr>
                <w:rFonts w:eastAsia="宋体"/>
                <w:color w:val="000000"/>
                <w:szCs w:val="21"/>
              </w:rPr>
            </w:pPr>
            <w:r>
              <w:rPr>
                <w:rFonts w:eastAsia="宋体"/>
                <w:color w:val="000000"/>
                <w:szCs w:val="21"/>
              </w:rPr>
              <w:t>5</w:t>
            </w:r>
            <w:r>
              <w:rPr>
                <w:rFonts w:hint="eastAsia" w:eastAsia="宋体"/>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043" w:type="dxa"/>
            <w:tcMar>
              <w:left w:w="57" w:type="dxa"/>
              <w:right w:w="57" w:type="dxa"/>
            </w:tcMar>
            <w:vAlign w:val="center"/>
          </w:tcPr>
          <w:p>
            <w:pPr>
              <w:pStyle w:val="14"/>
              <w:jc w:val="center"/>
              <w:rPr>
                <w:rFonts w:eastAsia="宋体"/>
              </w:rPr>
            </w:pPr>
            <w:r>
              <w:rPr>
                <w:rFonts w:hint="eastAsia" w:eastAsia="宋体"/>
              </w:rPr>
              <w:t>过程性考核</w:t>
            </w:r>
          </w:p>
        </w:tc>
        <w:tc>
          <w:tcPr>
            <w:tcW w:w="715" w:type="dxa"/>
            <w:vAlign w:val="center"/>
          </w:tcPr>
          <w:p>
            <w:pPr>
              <w:pStyle w:val="14"/>
              <w:jc w:val="center"/>
              <w:rPr>
                <w:rFonts w:eastAsia="宋体"/>
              </w:rPr>
            </w:pPr>
            <w:r>
              <w:rPr>
                <w:rFonts w:hint="eastAsia" w:eastAsia="宋体"/>
              </w:rPr>
              <w:t>1</w:t>
            </w:r>
            <w:r>
              <w:rPr>
                <w:rFonts w:eastAsia="宋体"/>
              </w:rPr>
              <w:t>0</w:t>
            </w:r>
            <w:r>
              <w:rPr>
                <w:rFonts w:hint="eastAsia" w:eastAsia="宋体"/>
              </w:rPr>
              <w:t>%</w:t>
            </w:r>
          </w:p>
        </w:tc>
        <w:tc>
          <w:tcPr>
            <w:tcW w:w="4820" w:type="dxa"/>
            <w:gridSpan w:val="2"/>
            <w:vAlign w:val="center"/>
          </w:tcPr>
          <w:p>
            <w:pPr>
              <w:pStyle w:val="14"/>
              <w:rPr>
                <w:rFonts w:hint="eastAsia" w:eastAsia="宋体"/>
                <w:color w:val="000000"/>
                <w:szCs w:val="21"/>
              </w:rPr>
            </w:pPr>
            <w:r>
              <w:rPr>
                <w:rFonts w:hint="eastAsia" w:eastAsia="宋体"/>
                <w:color w:val="000000"/>
                <w:szCs w:val="21"/>
              </w:rPr>
              <w:t>采用课程大论文的形式，考察学生学完该课程后的收获。</w:t>
            </w:r>
          </w:p>
        </w:tc>
        <w:tc>
          <w:tcPr>
            <w:tcW w:w="638" w:type="dxa"/>
            <w:shd w:val="clear" w:color="auto" w:fill="FFFFFF"/>
            <w:vAlign w:val="center"/>
          </w:tcPr>
          <w:p>
            <w:pPr>
              <w:pStyle w:val="14"/>
              <w:jc w:val="center"/>
              <w:rPr>
                <w:rFonts w:eastAsia="宋体"/>
                <w:color w:val="000000"/>
                <w:szCs w:val="21"/>
              </w:rPr>
            </w:pPr>
          </w:p>
        </w:tc>
        <w:tc>
          <w:tcPr>
            <w:tcW w:w="638" w:type="dxa"/>
            <w:shd w:val="clear" w:color="auto" w:fill="FFFFFF"/>
            <w:vAlign w:val="center"/>
          </w:tcPr>
          <w:p>
            <w:pPr>
              <w:pStyle w:val="14"/>
              <w:jc w:val="center"/>
              <w:rPr>
                <w:rFonts w:hint="eastAsia" w:eastAsia="宋体"/>
                <w:color w:val="000000"/>
                <w:szCs w:val="21"/>
              </w:rPr>
            </w:pPr>
          </w:p>
        </w:tc>
        <w:tc>
          <w:tcPr>
            <w:tcW w:w="638" w:type="dxa"/>
            <w:shd w:val="clear" w:color="auto" w:fill="FFFFFF"/>
            <w:vAlign w:val="center"/>
          </w:tcPr>
          <w:p>
            <w:pPr>
              <w:pStyle w:val="14"/>
              <w:jc w:val="center"/>
              <w:rPr>
                <w:rFonts w:eastAsia="宋体"/>
                <w:color w:val="000000"/>
                <w:szCs w:val="21"/>
              </w:rPr>
            </w:pPr>
            <w:r>
              <w:rPr>
                <w:rFonts w:hint="eastAsia" w:eastAsia="宋体"/>
                <w:color w:val="000000"/>
                <w:szCs w:val="21"/>
              </w:rPr>
              <w:t>5%</w:t>
            </w:r>
          </w:p>
        </w:tc>
        <w:tc>
          <w:tcPr>
            <w:tcW w:w="638" w:type="dxa"/>
            <w:shd w:val="clear" w:color="auto" w:fill="FFFFFF"/>
            <w:vAlign w:val="center"/>
          </w:tcPr>
          <w:p>
            <w:pPr>
              <w:pStyle w:val="14"/>
              <w:jc w:val="center"/>
              <w:rPr>
                <w:rFonts w:hint="eastAsia" w:eastAsia="宋体"/>
                <w:color w:val="000000"/>
                <w:szCs w:val="21"/>
              </w:rPr>
            </w:pPr>
            <w:r>
              <w:rPr>
                <w:rFonts w:hint="eastAsia" w:eastAsia="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043" w:type="dxa"/>
            <w:vMerge w:val="restart"/>
            <w:tcMar>
              <w:left w:w="57" w:type="dxa"/>
              <w:right w:w="57" w:type="dxa"/>
            </w:tcMar>
            <w:vAlign w:val="center"/>
          </w:tcPr>
          <w:p>
            <w:pPr>
              <w:pStyle w:val="14"/>
              <w:jc w:val="center"/>
              <w:rPr>
                <w:rFonts w:eastAsia="宋体"/>
              </w:rPr>
            </w:pPr>
            <w:r>
              <w:rPr>
                <w:rFonts w:eastAsia="宋体"/>
              </w:rPr>
              <w:t>期末</w:t>
            </w:r>
            <w:r>
              <w:rPr>
                <w:rFonts w:hint="eastAsia" w:eastAsia="宋体"/>
              </w:rPr>
              <w:t>试卷</w:t>
            </w:r>
          </w:p>
        </w:tc>
        <w:tc>
          <w:tcPr>
            <w:tcW w:w="715" w:type="dxa"/>
            <w:vMerge w:val="restart"/>
            <w:vAlign w:val="center"/>
          </w:tcPr>
          <w:p>
            <w:pPr>
              <w:pStyle w:val="14"/>
              <w:jc w:val="center"/>
              <w:rPr>
                <w:rFonts w:eastAsia="宋体"/>
              </w:rPr>
            </w:pPr>
            <w:r>
              <w:rPr>
                <w:rFonts w:hint="eastAsia" w:eastAsia="宋体"/>
              </w:rPr>
              <w:t>50</w:t>
            </w:r>
            <w:r>
              <w:rPr>
                <w:rFonts w:eastAsia="宋体"/>
              </w:rPr>
              <w:t>%</w:t>
            </w:r>
            <w:r>
              <w:rPr>
                <w:rFonts w:hint="eastAsia" w:eastAsia="宋体"/>
              </w:rPr>
              <w:t xml:space="preserve"> </w:t>
            </w:r>
          </w:p>
        </w:tc>
        <w:tc>
          <w:tcPr>
            <w:tcW w:w="1560" w:type="dxa"/>
            <w:tcBorders>
              <w:left w:val="single" w:color="auto" w:sz="4" w:space="0"/>
            </w:tcBorders>
            <w:vAlign w:val="center"/>
          </w:tcPr>
          <w:p>
            <w:pPr>
              <w:pStyle w:val="14"/>
              <w:jc w:val="center"/>
              <w:rPr>
                <w:rFonts w:eastAsia="宋体"/>
                <w:color w:val="000000"/>
                <w:szCs w:val="21"/>
              </w:rPr>
            </w:pPr>
            <w:r>
              <w:rPr>
                <w:rFonts w:hint="eastAsia" w:eastAsia="宋体"/>
                <w:color w:val="000000"/>
                <w:szCs w:val="21"/>
              </w:rPr>
              <w:t>题型</w:t>
            </w:r>
          </w:p>
        </w:tc>
        <w:tc>
          <w:tcPr>
            <w:tcW w:w="3260" w:type="dxa"/>
            <w:tcBorders>
              <w:left w:val="single" w:color="auto" w:sz="4" w:space="0"/>
            </w:tcBorders>
            <w:vAlign w:val="center"/>
          </w:tcPr>
          <w:p>
            <w:pPr>
              <w:widowControl/>
              <w:jc w:val="center"/>
            </w:pPr>
            <w:r>
              <w:rPr>
                <w:rFonts w:hint="eastAsia"/>
                <w:color w:val="000000"/>
                <w:szCs w:val="21"/>
              </w:rPr>
              <w:t>考核内容及相应试题</w:t>
            </w:r>
          </w:p>
        </w:tc>
        <w:tc>
          <w:tcPr>
            <w:tcW w:w="2552" w:type="dxa"/>
            <w:gridSpan w:val="4"/>
            <w:tcBorders>
              <w:tl2br w:val="single" w:color="auto" w:sz="4" w:space="0"/>
            </w:tcBorders>
            <w:shd w:val="clear" w:color="auto" w:fill="FFFFFF"/>
          </w:tcPr>
          <w:p>
            <w:pPr>
              <w:pStyle w:val="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tcMar>
              <w:left w:w="57" w:type="dxa"/>
              <w:right w:w="57" w:type="dxa"/>
            </w:tcMar>
            <w:vAlign w:val="center"/>
          </w:tcPr>
          <w:p>
            <w:pPr>
              <w:pStyle w:val="14"/>
              <w:jc w:val="center"/>
              <w:rPr>
                <w:rFonts w:eastAsia="宋体"/>
              </w:rPr>
            </w:pPr>
          </w:p>
        </w:tc>
        <w:tc>
          <w:tcPr>
            <w:tcW w:w="715" w:type="dxa"/>
            <w:vMerge w:val="continue"/>
            <w:vAlign w:val="center"/>
          </w:tcPr>
          <w:p>
            <w:pPr>
              <w:pStyle w:val="14"/>
              <w:jc w:val="center"/>
              <w:rPr>
                <w:rFonts w:eastAsia="宋体"/>
              </w:rPr>
            </w:pPr>
          </w:p>
        </w:tc>
        <w:tc>
          <w:tcPr>
            <w:tcW w:w="1560" w:type="dxa"/>
            <w:tcBorders>
              <w:left w:val="single" w:color="auto" w:sz="4" w:space="0"/>
            </w:tcBorders>
            <w:vAlign w:val="center"/>
          </w:tcPr>
          <w:p>
            <w:pPr>
              <w:pStyle w:val="14"/>
              <w:jc w:val="center"/>
              <w:rPr>
                <w:rFonts w:eastAsia="宋体"/>
                <w:color w:val="000000"/>
                <w:szCs w:val="21"/>
              </w:rPr>
            </w:pPr>
            <w:r>
              <w:rPr>
                <w:rFonts w:hint="eastAsia" w:eastAsia="宋体"/>
                <w:color w:val="000000"/>
                <w:szCs w:val="21"/>
              </w:rPr>
              <w:t>选择题</w:t>
            </w:r>
          </w:p>
        </w:tc>
        <w:tc>
          <w:tcPr>
            <w:tcW w:w="3260" w:type="dxa"/>
            <w:tcBorders>
              <w:left w:val="single" w:color="auto" w:sz="4" w:space="0"/>
            </w:tcBorders>
            <w:vAlign w:val="center"/>
          </w:tcPr>
          <w:p>
            <w:pPr>
              <w:pStyle w:val="14"/>
              <w:rPr>
                <w:rFonts w:eastAsia="宋体"/>
                <w:color w:val="000000"/>
                <w:szCs w:val="21"/>
              </w:rPr>
            </w:pPr>
            <w:r>
              <w:rPr>
                <w:rFonts w:hint="eastAsia" w:eastAsia="宋体"/>
                <w:color w:val="000000"/>
                <w:szCs w:val="21"/>
              </w:rPr>
              <w:t>主要考核化工系统的基本概念、系统自由度的基本概念与计算分析、化工过程的单元模型、化工过程的稳态分析与模拟</w:t>
            </w:r>
          </w:p>
        </w:tc>
        <w:tc>
          <w:tcPr>
            <w:tcW w:w="638" w:type="dxa"/>
            <w:shd w:val="clear" w:color="auto" w:fill="FFFFFF"/>
            <w:vAlign w:val="center"/>
          </w:tcPr>
          <w:p>
            <w:pPr>
              <w:widowControl/>
              <w:jc w:val="center"/>
            </w:pPr>
            <w:r>
              <w:rPr>
                <w:rFonts w:hint="eastAsia"/>
              </w:rPr>
              <w:t>15%</w:t>
            </w:r>
          </w:p>
        </w:tc>
        <w:tc>
          <w:tcPr>
            <w:tcW w:w="638" w:type="dxa"/>
            <w:shd w:val="clear" w:color="auto" w:fill="FFFFFF"/>
            <w:vAlign w:val="center"/>
          </w:tcPr>
          <w:p>
            <w:pPr>
              <w:widowControl/>
              <w:jc w:val="center"/>
            </w:pPr>
          </w:p>
        </w:tc>
        <w:tc>
          <w:tcPr>
            <w:tcW w:w="638" w:type="dxa"/>
            <w:shd w:val="clear" w:color="auto" w:fill="FFFFFF"/>
            <w:vAlign w:val="center"/>
          </w:tcPr>
          <w:p>
            <w:pPr>
              <w:widowControl/>
              <w:jc w:val="center"/>
            </w:pPr>
          </w:p>
        </w:tc>
        <w:tc>
          <w:tcPr>
            <w:tcW w:w="638" w:type="dxa"/>
            <w:shd w:val="clear" w:color="auto" w:fill="FFFFFF"/>
            <w:vAlign w:val="center"/>
          </w:tcPr>
          <w:p>
            <w:pPr>
              <w:widowControl/>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tcMar>
              <w:left w:w="57" w:type="dxa"/>
              <w:right w:w="57" w:type="dxa"/>
            </w:tcMar>
            <w:vAlign w:val="center"/>
          </w:tcPr>
          <w:p>
            <w:pPr>
              <w:pStyle w:val="14"/>
              <w:jc w:val="center"/>
              <w:rPr>
                <w:rFonts w:eastAsia="宋体"/>
              </w:rPr>
            </w:pPr>
          </w:p>
        </w:tc>
        <w:tc>
          <w:tcPr>
            <w:tcW w:w="715" w:type="dxa"/>
            <w:vMerge w:val="continue"/>
            <w:vAlign w:val="center"/>
          </w:tcPr>
          <w:p>
            <w:pPr>
              <w:pStyle w:val="14"/>
              <w:jc w:val="center"/>
              <w:rPr>
                <w:rFonts w:eastAsia="宋体"/>
              </w:rPr>
            </w:pPr>
          </w:p>
        </w:tc>
        <w:tc>
          <w:tcPr>
            <w:tcW w:w="1560" w:type="dxa"/>
            <w:tcBorders>
              <w:left w:val="single" w:color="auto" w:sz="4" w:space="0"/>
            </w:tcBorders>
            <w:vAlign w:val="center"/>
          </w:tcPr>
          <w:p>
            <w:pPr>
              <w:pStyle w:val="14"/>
              <w:jc w:val="center"/>
              <w:rPr>
                <w:rFonts w:eastAsia="宋体"/>
                <w:color w:val="000000"/>
                <w:szCs w:val="21"/>
              </w:rPr>
            </w:pPr>
            <w:r>
              <w:rPr>
                <w:rFonts w:hint="eastAsia" w:eastAsia="宋体"/>
                <w:color w:val="000000"/>
                <w:szCs w:val="21"/>
              </w:rPr>
              <w:t>填空</w:t>
            </w:r>
            <w:r>
              <w:rPr>
                <w:rFonts w:eastAsia="宋体"/>
                <w:color w:val="000000"/>
                <w:szCs w:val="21"/>
              </w:rPr>
              <w:t>题</w:t>
            </w:r>
          </w:p>
        </w:tc>
        <w:tc>
          <w:tcPr>
            <w:tcW w:w="3260" w:type="dxa"/>
            <w:tcBorders>
              <w:left w:val="single" w:color="auto" w:sz="4" w:space="0"/>
            </w:tcBorders>
            <w:vAlign w:val="center"/>
          </w:tcPr>
          <w:p>
            <w:pPr>
              <w:pStyle w:val="14"/>
              <w:rPr>
                <w:rFonts w:eastAsia="宋体"/>
                <w:color w:val="000000"/>
                <w:szCs w:val="21"/>
              </w:rPr>
            </w:pPr>
            <w:r>
              <w:rPr>
                <w:rFonts w:hint="eastAsia" w:eastAsia="宋体"/>
                <w:color w:val="000000"/>
                <w:szCs w:val="21"/>
              </w:rPr>
              <w:t>主要考核化工系统的基本概念、系统自由度的基本概念与计算分析、化工过程的单元模型、化工过程的数学模型与优化</w:t>
            </w:r>
          </w:p>
        </w:tc>
        <w:tc>
          <w:tcPr>
            <w:tcW w:w="638" w:type="dxa"/>
            <w:shd w:val="clear" w:color="auto" w:fill="FFFFFF"/>
            <w:vAlign w:val="center"/>
          </w:tcPr>
          <w:p>
            <w:pPr>
              <w:pStyle w:val="14"/>
              <w:jc w:val="center"/>
              <w:rPr>
                <w:rFonts w:eastAsia="宋体"/>
                <w:color w:val="000000"/>
                <w:szCs w:val="21"/>
              </w:rPr>
            </w:pPr>
            <w:r>
              <w:rPr>
                <w:rFonts w:hint="eastAsia" w:eastAsia="宋体"/>
                <w:color w:val="000000"/>
                <w:szCs w:val="21"/>
              </w:rPr>
              <w:t>15%</w:t>
            </w:r>
          </w:p>
        </w:tc>
        <w:tc>
          <w:tcPr>
            <w:tcW w:w="638" w:type="dxa"/>
            <w:shd w:val="clear" w:color="auto" w:fill="FFFFFF"/>
            <w:vAlign w:val="center"/>
          </w:tcPr>
          <w:p>
            <w:pPr>
              <w:pStyle w:val="14"/>
              <w:jc w:val="center"/>
              <w:rPr>
                <w:rFonts w:eastAsia="宋体"/>
                <w:color w:val="000000"/>
                <w:szCs w:val="21"/>
              </w:rPr>
            </w:pPr>
          </w:p>
        </w:tc>
        <w:tc>
          <w:tcPr>
            <w:tcW w:w="638" w:type="dxa"/>
            <w:shd w:val="clear" w:color="auto" w:fill="FFFFFF"/>
            <w:vAlign w:val="center"/>
          </w:tcPr>
          <w:p>
            <w:pPr>
              <w:pStyle w:val="14"/>
              <w:jc w:val="center"/>
              <w:rPr>
                <w:rFonts w:eastAsia="宋体"/>
                <w:color w:val="000000"/>
                <w:szCs w:val="21"/>
              </w:rPr>
            </w:pPr>
          </w:p>
        </w:tc>
        <w:tc>
          <w:tcPr>
            <w:tcW w:w="638" w:type="dxa"/>
            <w:shd w:val="clear" w:color="auto" w:fill="FFFFFF"/>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tcMar>
              <w:left w:w="57" w:type="dxa"/>
              <w:right w:w="57" w:type="dxa"/>
            </w:tcMar>
            <w:vAlign w:val="center"/>
          </w:tcPr>
          <w:p>
            <w:pPr>
              <w:pStyle w:val="14"/>
              <w:jc w:val="center"/>
              <w:rPr>
                <w:rFonts w:eastAsia="宋体"/>
              </w:rPr>
            </w:pPr>
          </w:p>
        </w:tc>
        <w:tc>
          <w:tcPr>
            <w:tcW w:w="715" w:type="dxa"/>
            <w:vMerge w:val="continue"/>
            <w:vAlign w:val="center"/>
          </w:tcPr>
          <w:p>
            <w:pPr>
              <w:pStyle w:val="14"/>
              <w:jc w:val="center"/>
              <w:rPr>
                <w:rFonts w:eastAsia="宋体"/>
              </w:rPr>
            </w:pPr>
          </w:p>
        </w:tc>
        <w:tc>
          <w:tcPr>
            <w:tcW w:w="1560" w:type="dxa"/>
            <w:tcBorders>
              <w:left w:val="single" w:color="auto" w:sz="4" w:space="0"/>
            </w:tcBorders>
            <w:vAlign w:val="center"/>
          </w:tcPr>
          <w:p>
            <w:pPr>
              <w:pStyle w:val="14"/>
              <w:jc w:val="center"/>
              <w:rPr>
                <w:rFonts w:eastAsia="宋体"/>
                <w:color w:val="000000"/>
                <w:szCs w:val="21"/>
              </w:rPr>
            </w:pPr>
            <w:r>
              <w:rPr>
                <w:rFonts w:hint="eastAsia" w:eastAsia="宋体"/>
                <w:color w:val="000000"/>
                <w:szCs w:val="21"/>
              </w:rPr>
              <w:t>简答</w:t>
            </w:r>
            <w:r>
              <w:rPr>
                <w:rFonts w:eastAsia="宋体"/>
                <w:color w:val="000000"/>
                <w:szCs w:val="21"/>
              </w:rPr>
              <w:t>题</w:t>
            </w:r>
          </w:p>
        </w:tc>
        <w:tc>
          <w:tcPr>
            <w:tcW w:w="3260" w:type="dxa"/>
            <w:tcBorders>
              <w:left w:val="single" w:color="auto" w:sz="4" w:space="0"/>
              <w:bottom w:val="single" w:color="auto" w:sz="4" w:space="0"/>
            </w:tcBorders>
            <w:vAlign w:val="center"/>
          </w:tcPr>
          <w:p>
            <w:pPr>
              <w:pStyle w:val="14"/>
              <w:rPr>
                <w:rFonts w:eastAsia="宋体"/>
                <w:color w:val="000000"/>
                <w:szCs w:val="21"/>
              </w:rPr>
            </w:pPr>
            <w:r>
              <w:rPr>
                <w:rFonts w:hint="eastAsia" w:eastAsia="宋体"/>
                <w:color w:val="000000"/>
                <w:szCs w:val="21"/>
              </w:rPr>
              <w:t>主要考核系统综合分析、换热网络综合</w:t>
            </w:r>
          </w:p>
        </w:tc>
        <w:tc>
          <w:tcPr>
            <w:tcW w:w="638" w:type="dxa"/>
            <w:shd w:val="clear" w:color="auto" w:fill="FFFFFF"/>
            <w:vAlign w:val="center"/>
          </w:tcPr>
          <w:p>
            <w:pPr>
              <w:pStyle w:val="14"/>
              <w:jc w:val="center"/>
              <w:rPr>
                <w:rFonts w:eastAsia="宋体"/>
                <w:color w:val="000000"/>
                <w:szCs w:val="21"/>
              </w:rPr>
            </w:pPr>
          </w:p>
        </w:tc>
        <w:tc>
          <w:tcPr>
            <w:tcW w:w="638" w:type="dxa"/>
            <w:shd w:val="clear" w:color="auto" w:fill="FFFFFF"/>
            <w:vAlign w:val="center"/>
          </w:tcPr>
          <w:p>
            <w:pPr>
              <w:pStyle w:val="14"/>
              <w:jc w:val="center"/>
              <w:rPr>
                <w:rFonts w:eastAsia="宋体"/>
                <w:color w:val="000000"/>
                <w:szCs w:val="21"/>
              </w:rPr>
            </w:pPr>
            <w:r>
              <w:rPr>
                <w:rFonts w:hint="eastAsia" w:eastAsia="宋体"/>
                <w:color w:val="000000"/>
                <w:szCs w:val="21"/>
              </w:rPr>
              <w:t>10%</w:t>
            </w:r>
          </w:p>
        </w:tc>
        <w:tc>
          <w:tcPr>
            <w:tcW w:w="638" w:type="dxa"/>
            <w:shd w:val="clear" w:color="auto" w:fill="FFFFFF"/>
            <w:vAlign w:val="center"/>
          </w:tcPr>
          <w:p>
            <w:pPr>
              <w:pStyle w:val="14"/>
              <w:jc w:val="center"/>
              <w:rPr>
                <w:rFonts w:eastAsia="宋体"/>
                <w:color w:val="000000"/>
                <w:szCs w:val="21"/>
              </w:rPr>
            </w:pPr>
            <w:r>
              <w:rPr>
                <w:rFonts w:hint="eastAsia" w:eastAsia="宋体"/>
                <w:color w:val="000000"/>
                <w:szCs w:val="21"/>
              </w:rPr>
              <w:t>10%</w:t>
            </w:r>
          </w:p>
        </w:tc>
        <w:tc>
          <w:tcPr>
            <w:tcW w:w="638" w:type="dxa"/>
            <w:shd w:val="clear" w:color="auto" w:fill="FFFFFF"/>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043" w:type="dxa"/>
            <w:tcMar>
              <w:left w:w="57" w:type="dxa"/>
              <w:right w:w="57" w:type="dxa"/>
            </w:tcMar>
            <w:vAlign w:val="center"/>
          </w:tcPr>
          <w:p>
            <w:pPr>
              <w:pStyle w:val="14"/>
              <w:jc w:val="center"/>
              <w:rPr>
                <w:rFonts w:eastAsia="宋体"/>
              </w:rPr>
            </w:pPr>
            <w:r>
              <w:rPr>
                <w:rFonts w:hint="eastAsia" w:eastAsia="宋体"/>
              </w:rPr>
              <w:t>合    计</w:t>
            </w:r>
          </w:p>
        </w:tc>
        <w:tc>
          <w:tcPr>
            <w:tcW w:w="715" w:type="dxa"/>
            <w:vAlign w:val="center"/>
          </w:tcPr>
          <w:p>
            <w:pPr>
              <w:pStyle w:val="14"/>
              <w:jc w:val="center"/>
              <w:rPr>
                <w:rFonts w:eastAsia="宋体"/>
              </w:rPr>
            </w:pPr>
            <w:r>
              <w:rPr>
                <w:rFonts w:hint="eastAsia" w:eastAsia="宋体"/>
              </w:rPr>
              <w:t>100%</w:t>
            </w:r>
          </w:p>
        </w:tc>
        <w:tc>
          <w:tcPr>
            <w:tcW w:w="4820" w:type="dxa"/>
            <w:gridSpan w:val="2"/>
            <w:tcBorders>
              <w:left w:val="single" w:color="auto" w:sz="4" w:space="0"/>
            </w:tcBorders>
            <w:vAlign w:val="center"/>
          </w:tcPr>
          <w:p>
            <w:pPr>
              <w:pStyle w:val="14"/>
              <w:rPr>
                <w:rFonts w:eastAsia="宋体"/>
                <w:color w:val="000000"/>
                <w:szCs w:val="21"/>
              </w:rPr>
            </w:pPr>
          </w:p>
        </w:tc>
        <w:tc>
          <w:tcPr>
            <w:tcW w:w="638" w:type="dxa"/>
            <w:shd w:val="clear" w:color="auto" w:fill="FFFFFF"/>
            <w:vAlign w:val="center"/>
          </w:tcPr>
          <w:p>
            <w:pPr>
              <w:pStyle w:val="14"/>
              <w:jc w:val="center"/>
              <w:rPr>
                <w:rFonts w:eastAsia="宋体"/>
                <w:color w:val="000000"/>
                <w:szCs w:val="21"/>
              </w:rPr>
            </w:pPr>
            <w:r>
              <w:rPr>
                <w:rFonts w:hint="eastAsia" w:eastAsia="宋体"/>
                <w:color w:val="000000"/>
                <w:szCs w:val="21"/>
              </w:rPr>
              <w:t>45%</w:t>
            </w:r>
          </w:p>
        </w:tc>
        <w:tc>
          <w:tcPr>
            <w:tcW w:w="638" w:type="dxa"/>
            <w:shd w:val="clear" w:color="auto" w:fill="FFFFFF"/>
            <w:vAlign w:val="center"/>
          </w:tcPr>
          <w:p>
            <w:pPr>
              <w:pStyle w:val="14"/>
              <w:jc w:val="center"/>
              <w:rPr>
                <w:rFonts w:eastAsia="宋体"/>
                <w:color w:val="000000"/>
                <w:szCs w:val="21"/>
              </w:rPr>
            </w:pPr>
            <w:r>
              <w:rPr>
                <w:rFonts w:hint="eastAsia" w:eastAsia="宋体"/>
                <w:color w:val="000000"/>
                <w:szCs w:val="21"/>
              </w:rPr>
              <w:t>3</w:t>
            </w:r>
            <w:r>
              <w:rPr>
                <w:rFonts w:eastAsia="宋体"/>
                <w:color w:val="000000"/>
                <w:szCs w:val="21"/>
              </w:rPr>
              <w:t>0</w:t>
            </w:r>
            <w:r>
              <w:rPr>
                <w:rFonts w:hint="eastAsia" w:eastAsia="宋体"/>
                <w:color w:val="000000"/>
                <w:szCs w:val="21"/>
              </w:rPr>
              <w:t>%</w:t>
            </w:r>
          </w:p>
        </w:tc>
        <w:tc>
          <w:tcPr>
            <w:tcW w:w="638" w:type="dxa"/>
            <w:shd w:val="clear" w:color="auto" w:fill="FFFFFF"/>
            <w:vAlign w:val="center"/>
          </w:tcPr>
          <w:p>
            <w:pPr>
              <w:pStyle w:val="14"/>
              <w:jc w:val="center"/>
              <w:rPr>
                <w:rFonts w:eastAsia="宋体"/>
                <w:color w:val="000000"/>
                <w:szCs w:val="21"/>
              </w:rPr>
            </w:pPr>
            <w:r>
              <w:rPr>
                <w:rFonts w:hint="eastAsia" w:eastAsia="宋体"/>
                <w:color w:val="000000"/>
                <w:szCs w:val="21"/>
              </w:rPr>
              <w:t>1</w:t>
            </w:r>
            <w:r>
              <w:rPr>
                <w:rFonts w:eastAsia="宋体"/>
                <w:color w:val="000000"/>
                <w:szCs w:val="21"/>
              </w:rPr>
              <w:t>5</w:t>
            </w:r>
            <w:r>
              <w:rPr>
                <w:rFonts w:hint="eastAsia" w:eastAsia="宋体"/>
                <w:color w:val="000000"/>
                <w:szCs w:val="21"/>
              </w:rPr>
              <w:t>%</w:t>
            </w:r>
          </w:p>
        </w:tc>
        <w:tc>
          <w:tcPr>
            <w:tcW w:w="638" w:type="dxa"/>
            <w:shd w:val="clear" w:color="auto" w:fill="FFFFFF"/>
            <w:vAlign w:val="center"/>
          </w:tcPr>
          <w:p>
            <w:pPr>
              <w:pStyle w:val="14"/>
              <w:jc w:val="center"/>
              <w:rPr>
                <w:rFonts w:eastAsia="宋体"/>
                <w:color w:val="000000"/>
                <w:szCs w:val="21"/>
              </w:rPr>
            </w:pPr>
            <w:r>
              <w:rPr>
                <w:rFonts w:hint="eastAsia" w:eastAsia="宋体"/>
                <w:color w:val="000000"/>
                <w:szCs w:val="21"/>
              </w:rPr>
              <w:t>10%</w:t>
            </w:r>
          </w:p>
        </w:tc>
      </w:tr>
    </w:tbl>
    <w:p>
      <w:pPr>
        <w:spacing w:line="360" w:lineRule="auto"/>
        <w:rPr>
          <w:sz w:val="24"/>
          <w:szCs w:val="22"/>
        </w:rPr>
      </w:pPr>
      <w:r>
        <w:rPr>
          <w:rFonts w:hint="eastAsia"/>
          <w:sz w:val="24"/>
          <w:szCs w:val="22"/>
        </w:rPr>
        <w:t xml:space="preserve">备注：1. </w:t>
      </w:r>
      <w:r>
        <w:rPr>
          <w:sz w:val="24"/>
          <w:szCs w:val="22"/>
        </w:rPr>
        <w:t>课程目标达成度计算方法如下：</w:t>
      </w:r>
    </w:p>
    <w:p>
      <w:pPr>
        <w:spacing w:line="360" w:lineRule="auto"/>
        <w:jc w:val="center"/>
        <w:rPr>
          <w:sz w:val="24"/>
          <w:szCs w:val="22"/>
        </w:rPr>
      </w:pPr>
      <w:r>
        <w:rPr>
          <w:position w:val="-26"/>
          <w:sz w:val="24"/>
          <w:szCs w:val="22"/>
        </w:rPr>
        <w:object>
          <v:shape id="_x0000_i1032" o:spt="75" type="#_x0000_t75" style="height:32.5pt;width:337pt;" o:ole="t" filled="f" o:preferrelative="t" stroked="f" coordsize="21600,21600">
            <v:path/>
            <v:fill on="f" focussize="0,0"/>
            <v:stroke on="f" joinstyle="miter"/>
            <v:imagedata r:id="rId20" o:title=""/>
            <o:lock v:ext="edit" aspectratio="t"/>
            <w10:wrap type="none"/>
            <w10:anchorlock/>
          </v:shape>
          <o:OLEObject Type="Embed" ProgID="Equation.DSMT4" ShapeID="_x0000_i1032" DrawAspect="Content" ObjectID="_1468075735" r:id="rId33">
            <o:LockedField>false</o:LockedField>
          </o:OLEObject>
        </w:object>
      </w:r>
    </w:p>
    <w:p>
      <w:pPr>
        <w:spacing w:line="360" w:lineRule="auto"/>
        <w:ind w:firstLine="720" w:firstLineChars="300"/>
        <w:rPr>
          <w:sz w:val="24"/>
          <w:szCs w:val="22"/>
        </w:rPr>
      </w:pPr>
      <w:r>
        <w:rPr>
          <w:rFonts w:hint="eastAsia"/>
          <w:sz w:val="24"/>
          <w:szCs w:val="22"/>
        </w:rPr>
        <w:t>2. 作业包括课后习题、单元测试、调研报告、课程论文、案例分析、网络课堂学习等等。</w:t>
      </w:r>
    </w:p>
    <w:p>
      <w:pPr>
        <w:spacing w:line="360" w:lineRule="auto"/>
        <w:rPr>
          <w:b/>
          <w:sz w:val="28"/>
          <w:szCs w:val="28"/>
        </w:rPr>
      </w:pPr>
      <w:r>
        <w:rPr>
          <w:b/>
          <w:sz w:val="28"/>
          <w:szCs w:val="28"/>
        </w:rPr>
        <w:t>六、</w:t>
      </w:r>
      <w:r>
        <w:rPr>
          <w:rFonts w:hint="eastAsia"/>
          <w:b/>
          <w:sz w:val="28"/>
          <w:szCs w:val="28"/>
        </w:rPr>
        <w:t>有关说明</w:t>
      </w:r>
    </w:p>
    <w:p>
      <w:pPr>
        <w:spacing w:line="360" w:lineRule="auto"/>
        <w:ind w:firstLine="482" w:firstLineChars="200"/>
        <w:rPr>
          <w:b/>
          <w:color w:val="000000"/>
          <w:sz w:val="24"/>
        </w:rPr>
      </w:pPr>
      <w:r>
        <w:rPr>
          <w:rFonts w:hint="eastAsia"/>
          <w:b/>
          <w:color w:val="000000"/>
          <w:sz w:val="24"/>
        </w:rPr>
        <w:t>（一）持续改进</w:t>
      </w:r>
    </w:p>
    <w:p>
      <w:pPr>
        <w:autoSpaceDE w:val="0"/>
        <w:autoSpaceDN w:val="0"/>
        <w:adjustRightInd w:val="0"/>
        <w:spacing w:line="360" w:lineRule="auto"/>
        <w:ind w:firstLine="480" w:firstLineChars="200"/>
        <w:jc w:val="left"/>
        <w:rPr>
          <w:kern w:val="0"/>
          <w:sz w:val="24"/>
          <w:szCs w:val="21"/>
        </w:rPr>
      </w:pPr>
      <w:r>
        <w:rPr>
          <w:rFonts w:hint="eastAsia"/>
          <w:kern w:val="0"/>
          <w:sz w:val="24"/>
          <w:szCs w:val="21"/>
        </w:rPr>
        <w:t>本课程根据课后作业、考勤、期末考试等考核情况，以及学生、教学督导的反馈意见，及时对教学中不足之处进行改进，并在下一轮课程教学中改进提高。针对课程目标设计出课程考核的方式、内容和评分标准，确保课程内容与教学方式能有效实现课程目标，使得考核结果能够证明课程目标达成。</w:t>
      </w:r>
    </w:p>
    <w:p>
      <w:pPr>
        <w:spacing w:line="360" w:lineRule="auto"/>
        <w:ind w:firstLine="482" w:firstLineChars="200"/>
        <w:rPr>
          <w:b/>
          <w:color w:val="000000"/>
          <w:sz w:val="24"/>
        </w:rPr>
      </w:pPr>
      <w:r>
        <w:rPr>
          <w:rFonts w:hint="eastAsia"/>
          <w:b/>
          <w:color w:val="000000"/>
          <w:sz w:val="24"/>
        </w:rPr>
        <w:t>（二）</w:t>
      </w:r>
      <w:r>
        <w:rPr>
          <w:b/>
          <w:color w:val="000000"/>
          <w:sz w:val="24"/>
        </w:rPr>
        <w:t>参考书目及学习资料</w:t>
      </w:r>
    </w:p>
    <w:p>
      <w:pPr>
        <w:autoSpaceDE w:val="0"/>
        <w:autoSpaceDN w:val="0"/>
        <w:adjustRightInd w:val="0"/>
        <w:spacing w:line="360" w:lineRule="auto"/>
        <w:ind w:firstLine="480" w:firstLineChars="200"/>
        <w:rPr>
          <w:kern w:val="0"/>
          <w:sz w:val="24"/>
          <w:szCs w:val="21"/>
        </w:rPr>
      </w:pPr>
      <w:r>
        <w:rPr>
          <w:rFonts w:hint="eastAsia"/>
          <w:kern w:val="0"/>
          <w:sz w:val="24"/>
          <w:szCs w:val="21"/>
        </w:rPr>
        <w:t>[</w:t>
      </w:r>
      <w:r>
        <w:rPr>
          <w:kern w:val="0"/>
          <w:sz w:val="24"/>
          <w:szCs w:val="21"/>
        </w:rPr>
        <w:t>1</w:t>
      </w:r>
      <w:r>
        <w:rPr>
          <w:rFonts w:hint="eastAsia"/>
          <w:kern w:val="0"/>
          <w:sz w:val="24"/>
          <w:szCs w:val="21"/>
        </w:rPr>
        <w:t>] 王弘轼，《化工过程系统工程》，清华大学出版社，2006</w:t>
      </w:r>
    </w:p>
    <w:p>
      <w:pPr>
        <w:autoSpaceDE w:val="0"/>
        <w:autoSpaceDN w:val="0"/>
        <w:adjustRightInd w:val="0"/>
        <w:spacing w:line="360" w:lineRule="auto"/>
        <w:ind w:firstLine="480" w:firstLineChars="200"/>
        <w:rPr>
          <w:kern w:val="0"/>
          <w:sz w:val="24"/>
          <w:szCs w:val="21"/>
        </w:rPr>
      </w:pPr>
      <w:r>
        <w:rPr>
          <w:rFonts w:hint="eastAsia"/>
          <w:kern w:val="0"/>
          <w:sz w:val="24"/>
          <w:szCs w:val="21"/>
        </w:rPr>
        <w:t>[</w:t>
      </w:r>
      <w:r>
        <w:rPr>
          <w:kern w:val="0"/>
          <w:sz w:val="24"/>
          <w:szCs w:val="21"/>
        </w:rPr>
        <w:t>2</w:t>
      </w:r>
      <w:r>
        <w:rPr>
          <w:rFonts w:hint="eastAsia"/>
          <w:kern w:val="0"/>
          <w:sz w:val="24"/>
          <w:szCs w:val="21"/>
        </w:rPr>
        <w:t>] 冯宵，《化工节能原理与技术》（第三版），化学工业出版社，2009</w:t>
      </w:r>
    </w:p>
    <w:p>
      <w:pPr>
        <w:autoSpaceDE w:val="0"/>
        <w:autoSpaceDN w:val="0"/>
        <w:adjustRightInd w:val="0"/>
        <w:spacing w:line="360" w:lineRule="auto"/>
        <w:ind w:firstLine="480" w:firstLineChars="200"/>
        <w:rPr>
          <w:kern w:val="0"/>
          <w:sz w:val="24"/>
          <w:szCs w:val="21"/>
        </w:rPr>
      </w:pPr>
      <w:r>
        <w:rPr>
          <w:rFonts w:hint="eastAsia"/>
          <w:kern w:val="0"/>
          <w:sz w:val="24"/>
          <w:szCs w:val="21"/>
        </w:rPr>
        <w:t>[3]</w:t>
      </w:r>
      <w:r>
        <w:rPr>
          <w:kern w:val="0"/>
          <w:sz w:val="24"/>
          <w:szCs w:val="21"/>
        </w:rPr>
        <w:t xml:space="preserve"> </w:t>
      </w:r>
      <w:r>
        <w:rPr>
          <w:rFonts w:hint="eastAsia"/>
          <w:kern w:val="0"/>
          <w:sz w:val="24"/>
          <w:szCs w:val="21"/>
        </w:rPr>
        <w:t>姚平经，</w:t>
      </w:r>
      <w:r>
        <w:rPr>
          <w:kern w:val="0"/>
          <w:sz w:val="24"/>
          <w:szCs w:val="21"/>
        </w:rPr>
        <w:t>《</w:t>
      </w:r>
      <w:r>
        <w:rPr>
          <w:rFonts w:hint="eastAsia"/>
          <w:kern w:val="0"/>
          <w:sz w:val="24"/>
          <w:szCs w:val="21"/>
        </w:rPr>
        <w:t>过程系统工程</w:t>
      </w:r>
      <w:r>
        <w:rPr>
          <w:kern w:val="0"/>
          <w:sz w:val="24"/>
          <w:szCs w:val="21"/>
        </w:rPr>
        <w:t>》</w:t>
      </w:r>
      <w:r>
        <w:rPr>
          <w:rFonts w:hint="eastAsia"/>
          <w:kern w:val="0"/>
          <w:sz w:val="24"/>
          <w:szCs w:val="21"/>
        </w:rPr>
        <w:t>，华东理工大学</w:t>
      </w:r>
      <w:r>
        <w:rPr>
          <w:kern w:val="0"/>
          <w:sz w:val="24"/>
          <w:szCs w:val="21"/>
        </w:rPr>
        <w:t>出版社</w:t>
      </w:r>
      <w:r>
        <w:rPr>
          <w:rFonts w:hint="eastAsia"/>
          <w:kern w:val="0"/>
          <w:sz w:val="24"/>
          <w:szCs w:val="21"/>
        </w:rPr>
        <w:t>，2009</w:t>
      </w:r>
    </w:p>
    <w:p>
      <w:pPr>
        <w:autoSpaceDE w:val="0"/>
        <w:autoSpaceDN w:val="0"/>
        <w:adjustRightInd w:val="0"/>
        <w:spacing w:line="360" w:lineRule="auto"/>
        <w:ind w:firstLine="480" w:firstLineChars="200"/>
        <w:rPr>
          <w:kern w:val="0"/>
          <w:sz w:val="24"/>
          <w:szCs w:val="21"/>
        </w:rPr>
      </w:pPr>
      <w:r>
        <w:rPr>
          <w:rFonts w:hint="eastAsia"/>
          <w:kern w:val="0"/>
          <w:sz w:val="24"/>
          <w:szCs w:val="21"/>
        </w:rPr>
        <w:t>[4]</w:t>
      </w:r>
      <w:r>
        <w:rPr>
          <w:kern w:val="0"/>
          <w:sz w:val="24"/>
          <w:szCs w:val="21"/>
        </w:rPr>
        <w:t xml:space="preserve"> </w:t>
      </w:r>
      <w:r>
        <w:rPr>
          <w:rFonts w:hint="eastAsia"/>
          <w:kern w:val="0"/>
          <w:sz w:val="24"/>
          <w:szCs w:val="21"/>
        </w:rPr>
        <w:t>姚平经，</w:t>
      </w:r>
      <w:r>
        <w:rPr>
          <w:kern w:val="0"/>
          <w:sz w:val="24"/>
          <w:szCs w:val="21"/>
        </w:rPr>
        <w:t>《</w:t>
      </w:r>
      <w:r>
        <w:rPr>
          <w:rFonts w:hint="eastAsia"/>
          <w:kern w:val="0"/>
          <w:sz w:val="24"/>
          <w:szCs w:val="21"/>
        </w:rPr>
        <w:t>化工过程系统工程</w:t>
      </w:r>
      <w:r>
        <w:rPr>
          <w:kern w:val="0"/>
          <w:sz w:val="24"/>
          <w:szCs w:val="21"/>
        </w:rPr>
        <w:t>》</w:t>
      </w:r>
      <w:r>
        <w:rPr>
          <w:rFonts w:hint="eastAsia"/>
          <w:kern w:val="0"/>
          <w:sz w:val="24"/>
          <w:szCs w:val="21"/>
        </w:rPr>
        <w:t>，大连理工大学</w:t>
      </w:r>
      <w:r>
        <w:rPr>
          <w:kern w:val="0"/>
          <w:sz w:val="24"/>
          <w:szCs w:val="21"/>
        </w:rPr>
        <w:t>出版社</w:t>
      </w:r>
      <w:r>
        <w:rPr>
          <w:rFonts w:hint="eastAsia"/>
          <w:kern w:val="0"/>
          <w:sz w:val="24"/>
          <w:szCs w:val="21"/>
        </w:rPr>
        <w:t>，1992</w:t>
      </w:r>
    </w:p>
    <w:p>
      <w:pPr>
        <w:autoSpaceDE w:val="0"/>
        <w:autoSpaceDN w:val="0"/>
        <w:adjustRightInd w:val="0"/>
        <w:spacing w:line="360" w:lineRule="auto"/>
        <w:ind w:right="480"/>
        <w:jc w:val="right"/>
        <w:rPr>
          <w:kern w:val="0"/>
          <w:sz w:val="24"/>
          <w:szCs w:val="21"/>
        </w:rPr>
      </w:pPr>
      <w:r>
        <w:rPr>
          <w:kern w:val="0"/>
          <w:sz w:val="24"/>
          <w:szCs w:val="21"/>
        </w:rPr>
        <w:t>执笔人：</w:t>
      </w:r>
      <w:r>
        <w:rPr>
          <w:rFonts w:hint="eastAsia"/>
          <w:kern w:val="0"/>
          <w:sz w:val="24"/>
          <w:szCs w:val="21"/>
        </w:rPr>
        <w:t>陈依漪</w:t>
      </w:r>
    </w:p>
    <w:p>
      <w:pPr>
        <w:wordWrap w:val="0"/>
        <w:autoSpaceDE w:val="0"/>
        <w:autoSpaceDN w:val="0"/>
        <w:adjustRightInd w:val="0"/>
        <w:spacing w:line="360" w:lineRule="auto"/>
        <w:ind w:right="480"/>
        <w:jc w:val="center"/>
        <w:rPr>
          <w:rFonts w:hint="eastAsia" w:eastAsia="宋体"/>
          <w:kern w:val="0"/>
          <w:sz w:val="24"/>
          <w:szCs w:val="21"/>
          <w:lang w:eastAsia="zh-CN"/>
        </w:rPr>
      </w:pPr>
      <w:r>
        <w:rPr>
          <w:rFonts w:hint="eastAsia"/>
          <w:kern w:val="0"/>
          <w:sz w:val="24"/>
          <w:szCs w:val="21"/>
          <w:lang w:val="en-US" w:eastAsia="zh-CN"/>
        </w:rPr>
        <w:t xml:space="preserve">                                                    </w:t>
      </w:r>
      <w:r>
        <w:rPr>
          <w:kern w:val="0"/>
          <w:sz w:val="24"/>
          <w:szCs w:val="21"/>
        </w:rPr>
        <w:t>审定人：</w:t>
      </w:r>
      <w:r>
        <w:rPr>
          <w:rFonts w:hint="eastAsia"/>
          <w:kern w:val="0"/>
          <w:sz w:val="24"/>
          <w:szCs w:val="21"/>
          <w:lang w:eastAsia="zh-CN"/>
        </w:rPr>
        <w:t>魏雪姣</w:t>
      </w:r>
    </w:p>
    <w:p>
      <w:pPr>
        <w:wordWrap w:val="0"/>
        <w:autoSpaceDE w:val="0"/>
        <w:autoSpaceDN w:val="0"/>
        <w:adjustRightInd w:val="0"/>
        <w:spacing w:line="360" w:lineRule="auto"/>
        <w:ind w:right="480"/>
        <w:jc w:val="center"/>
        <w:rPr>
          <w:rFonts w:hint="eastAsia" w:eastAsia="宋体"/>
          <w:kern w:val="0"/>
          <w:sz w:val="24"/>
          <w:szCs w:val="21"/>
          <w:lang w:eastAsia="zh-CN"/>
        </w:rPr>
      </w:pPr>
      <w:r>
        <w:rPr>
          <w:rFonts w:hint="eastAsia"/>
          <w:kern w:val="0"/>
          <w:sz w:val="24"/>
          <w:szCs w:val="21"/>
          <w:lang w:val="en-US" w:eastAsia="zh-CN"/>
        </w:rPr>
        <w:t xml:space="preserve">                                                    </w:t>
      </w:r>
      <w:r>
        <w:rPr>
          <w:kern w:val="0"/>
          <w:sz w:val="24"/>
          <w:szCs w:val="21"/>
        </w:rPr>
        <w:t>审批人：</w:t>
      </w:r>
      <w:r>
        <w:rPr>
          <w:rFonts w:hint="eastAsia"/>
          <w:kern w:val="0"/>
          <w:sz w:val="24"/>
          <w:szCs w:val="21"/>
          <w:lang w:eastAsia="zh-CN"/>
        </w:rPr>
        <w:t>吴泽颖</w:t>
      </w:r>
    </w:p>
    <w:p>
      <w:pPr>
        <w:autoSpaceDE w:val="0"/>
        <w:autoSpaceDN w:val="0"/>
        <w:adjustRightInd w:val="0"/>
        <w:spacing w:line="360" w:lineRule="auto"/>
        <w:ind w:right="480"/>
        <w:jc w:val="right"/>
        <w:rPr>
          <w:sz w:val="24"/>
        </w:rPr>
      </w:pPr>
      <w:r>
        <w:rPr>
          <w:rFonts w:hint="eastAsia"/>
          <w:kern w:val="0"/>
          <w:sz w:val="24"/>
          <w:szCs w:val="21"/>
        </w:rPr>
        <w:t>202</w:t>
      </w:r>
      <w:r>
        <w:rPr>
          <w:kern w:val="0"/>
          <w:sz w:val="24"/>
          <w:szCs w:val="21"/>
        </w:rPr>
        <w:t>1</w:t>
      </w:r>
      <w:r>
        <w:rPr>
          <w:rFonts w:hint="eastAsia"/>
          <w:kern w:val="0"/>
          <w:sz w:val="24"/>
          <w:szCs w:val="21"/>
        </w:rPr>
        <w:t>年</w:t>
      </w:r>
      <w:r>
        <w:rPr>
          <w:rFonts w:hint="eastAsia"/>
          <w:kern w:val="0"/>
          <w:sz w:val="24"/>
          <w:szCs w:val="21"/>
          <w:lang w:val="en-US" w:eastAsia="zh-CN"/>
        </w:rPr>
        <w:t>9</w:t>
      </w:r>
      <w:r>
        <w:rPr>
          <w:rFonts w:hint="eastAsia"/>
          <w:kern w:val="0"/>
          <w:sz w:val="24"/>
          <w:szCs w:val="21"/>
        </w:rPr>
        <w:t>月1日</w:t>
      </w:r>
    </w:p>
    <w:p/>
    <w:p>
      <w:pPr>
        <w:autoSpaceDE w:val="0"/>
        <w:autoSpaceDN w:val="0"/>
        <w:spacing w:line="360" w:lineRule="auto"/>
        <w:ind w:firstLine="6090" w:firstLineChars="2900"/>
        <w:jc w:val="left"/>
        <w:rPr>
          <w:rFonts w:hint="eastAsia" w:ascii="Times New Roman" w:hAnsi="Times New Roman"/>
          <w:kern w:val="0"/>
        </w:rPr>
      </w:pPr>
    </w:p>
    <w:p>
      <w:pPr>
        <w:autoSpaceDE w:val="0"/>
        <w:autoSpaceDN w:val="0"/>
        <w:spacing w:line="360" w:lineRule="auto"/>
        <w:ind w:firstLine="6090" w:firstLineChars="2900"/>
        <w:jc w:val="left"/>
        <w:rPr>
          <w:rFonts w:hint="eastAsia" w:ascii="Times New Roman" w:hAnsi="Times New Roman"/>
          <w:kern w:val="0"/>
        </w:rPr>
      </w:pPr>
    </w:p>
    <w:p>
      <w:pPr>
        <w:autoSpaceDE w:val="0"/>
        <w:autoSpaceDN w:val="0"/>
        <w:spacing w:line="360" w:lineRule="auto"/>
        <w:ind w:firstLine="6090" w:firstLineChars="2900"/>
        <w:jc w:val="left"/>
        <w:rPr>
          <w:rFonts w:hint="eastAsia" w:ascii="Times New Roman" w:hAnsi="Times New Roman"/>
          <w:kern w:val="0"/>
        </w:rPr>
      </w:pPr>
    </w:p>
    <w:p>
      <w:pPr>
        <w:autoSpaceDE w:val="0"/>
        <w:autoSpaceDN w:val="0"/>
        <w:spacing w:line="360" w:lineRule="auto"/>
        <w:ind w:firstLine="6090" w:firstLineChars="2900"/>
        <w:jc w:val="left"/>
        <w:rPr>
          <w:rFonts w:hint="eastAsia" w:ascii="Times New Roman" w:hAnsi="Times New Roman"/>
          <w:kern w:val="0"/>
        </w:rPr>
      </w:pPr>
    </w:p>
    <w:p>
      <w:pPr>
        <w:autoSpaceDE w:val="0"/>
        <w:autoSpaceDN w:val="0"/>
        <w:spacing w:line="360" w:lineRule="auto"/>
        <w:ind w:firstLine="6090" w:firstLineChars="2900"/>
        <w:jc w:val="left"/>
        <w:rPr>
          <w:rFonts w:hint="eastAsia" w:ascii="Times New Roman" w:hAnsi="Times New Roman"/>
          <w:kern w:val="0"/>
        </w:rPr>
      </w:pPr>
    </w:p>
    <w:p>
      <w:pPr>
        <w:autoSpaceDE w:val="0"/>
        <w:autoSpaceDN w:val="0"/>
        <w:spacing w:line="360" w:lineRule="auto"/>
        <w:ind w:firstLine="6090" w:firstLineChars="2900"/>
        <w:jc w:val="left"/>
        <w:rPr>
          <w:rFonts w:hint="eastAsia" w:ascii="Times New Roman" w:hAnsi="Times New Roman"/>
          <w:kern w:val="0"/>
        </w:rPr>
      </w:pPr>
    </w:p>
    <w:p>
      <w:pPr>
        <w:autoSpaceDE w:val="0"/>
        <w:autoSpaceDN w:val="0"/>
        <w:spacing w:line="360" w:lineRule="auto"/>
        <w:ind w:firstLine="6090" w:firstLineChars="2900"/>
        <w:jc w:val="left"/>
        <w:rPr>
          <w:rFonts w:hint="eastAsia" w:ascii="Times New Roman" w:hAnsi="Times New Roman"/>
          <w:kern w:val="0"/>
        </w:rPr>
      </w:pPr>
    </w:p>
    <w:p>
      <w:pPr>
        <w:autoSpaceDE w:val="0"/>
        <w:autoSpaceDN w:val="0"/>
        <w:spacing w:line="360" w:lineRule="auto"/>
        <w:ind w:firstLine="6090" w:firstLineChars="2900"/>
        <w:jc w:val="left"/>
        <w:rPr>
          <w:rFonts w:hint="eastAsia" w:ascii="Times New Roman" w:hAnsi="Times New Roman"/>
          <w:kern w:val="0"/>
        </w:rPr>
      </w:pPr>
    </w:p>
    <w:p>
      <w:pPr>
        <w:autoSpaceDE w:val="0"/>
        <w:autoSpaceDN w:val="0"/>
        <w:spacing w:line="360" w:lineRule="auto"/>
        <w:ind w:firstLine="6090" w:firstLineChars="2900"/>
        <w:jc w:val="left"/>
        <w:rPr>
          <w:rFonts w:hint="eastAsia" w:ascii="Times New Roman" w:hAnsi="Times New Roman"/>
          <w:kern w:val="0"/>
        </w:rPr>
      </w:pPr>
    </w:p>
    <w:p>
      <w:pPr>
        <w:autoSpaceDE w:val="0"/>
        <w:autoSpaceDN w:val="0"/>
        <w:spacing w:line="360" w:lineRule="auto"/>
        <w:ind w:firstLine="6090" w:firstLineChars="2900"/>
        <w:jc w:val="left"/>
        <w:rPr>
          <w:rFonts w:hint="eastAsia" w:ascii="Times New Roman" w:hAnsi="Times New Roman"/>
          <w:kern w:val="0"/>
        </w:rPr>
      </w:pPr>
    </w:p>
    <w:p>
      <w:pPr>
        <w:autoSpaceDE w:val="0"/>
        <w:autoSpaceDN w:val="0"/>
        <w:spacing w:line="360" w:lineRule="auto"/>
        <w:ind w:firstLine="6090" w:firstLineChars="2900"/>
        <w:jc w:val="left"/>
        <w:rPr>
          <w:rFonts w:hint="eastAsia" w:ascii="Times New Roman" w:hAnsi="Times New Roman"/>
          <w:kern w:val="0"/>
        </w:rPr>
      </w:pPr>
    </w:p>
    <w:p>
      <w:pPr>
        <w:autoSpaceDE w:val="0"/>
        <w:autoSpaceDN w:val="0"/>
        <w:spacing w:line="360" w:lineRule="auto"/>
        <w:ind w:firstLine="6090" w:firstLineChars="2900"/>
        <w:jc w:val="left"/>
        <w:rPr>
          <w:rFonts w:hint="eastAsia" w:ascii="Times New Roman" w:hAnsi="Times New Roman"/>
          <w:kern w:val="0"/>
        </w:rPr>
      </w:pPr>
    </w:p>
    <w:p>
      <w:pPr>
        <w:autoSpaceDE w:val="0"/>
        <w:autoSpaceDN w:val="0"/>
        <w:spacing w:line="360" w:lineRule="auto"/>
        <w:ind w:firstLine="6090" w:firstLineChars="2900"/>
        <w:jc w:val="left"/>
        <w:rPr>
          <w:rFonts w:hint="eastAsia" w:ascii="Times New Roman" w:hAnsi="Times New Roman"/>
          <w:kern w:val="0"/>
        </w:rPr>
      </w:pPr>
    </w:p>
    <w:p>
      <w:pPr>
        <w:autoSpaceDE w:val="0"/>
        <w:autoSpaceDN w:val="0"/>
        <w:spacing w:line="360" w:lineRule="auto"/>
        <w:ind w:firstLine="6090" w:firstLineChars="2900"/>
        <w:jc w:val="left"/>
        <w:rPr>
          <w:rFonts w:hint="eastAsia" w:ascii="Times New Roman" w:hAnsi="Times New Roman"/>
          <w:kern w:val="0"/>
        </w:rPr>
      </w:pPr>
    </w:p>
    <w:p>
      <w:pPr>
        <w:autoSpaceDE w:val="0"/>
        <w:autoSpaceDN w:val="0"/>
        <w:spacing w:line="360" w:lineRule="auto"/>
        <w:ind w:firstLine="6090" w:firstLineChars="2900"/>
        <w:jc w:val="left"/>
        <w:rPr>
          <w:rFonts w:hint="eastAsia" w:ascii="Times New Roman" w:hAnsi="Times New Roman"/>
          <w:kern w:val="0"/>
        </w:rPr>
      </w:pPr>
    </w:p>
    <w:p>
      <w:pPr>
        <w:autoSpaceDE w:val="0"/>
        <w:autoSpaceDN w:val="0"/>
        <w:spacing w:line="360" w:lineRule="auto"/>
        <w:ind w:firstLine="6090" w:firstLineChars="2900"/>
        <w:jc w:val="left"/>
        <w:rPr>
          <w:rFonts w:hint="eastAsia" w:ascii="Times New Roman" w:hAnsi="Times New Roman"/>
          <w:kern w:val="0"/>
        </w:rPr>
      </w:pPr>
    </w:p>
    <w:p>
      <w:pPr>
        <w:autoSpaceDE w:val="0"/>
        <w:autoSpaceDN w:val="0"/>
        <w:spacing w:line="360" w:lineRule="auto"/>
        <w:ind w:firstLine="6090" w:firstLineChars="2900"/>
        <w:jc w:val="left"/>
        <w:rPr>
          <w:rFonts w:hint="eastAsia" w:ascii="Times New Roman" w:hAnsi="Times New Roman"/>
          <w:kern w:val="0"/>
        </w:rPr>
      </w:pPr>
    </w:p>
    <w:p>
      <w:pPr>
        <w:autoSpaceDE w:val="0"/>
        <w:autoSpaceDN w:val="0"/>
        <w:spacing w:line="360" w:lineRule="auto"/>
        <w:ind w:firstLine="6090" w:firstLineChars="2900"/>
        <w:jc w:val="left"/>
        <w:rPr>
          <w:rFonts w:hint="eastAsia" w:ascii="Times New Roman" w:hAnsi="Times New Roman"/>
          <w:kern w:val="0"/>
        </w:rPr>
      </w:pPr>
    </w:p>
    <w:p>
      <w:pPr>
        <w:autoSpaceDE w:val="0"/>
        <w:autoSpaceDN w:val="0"/>
        <w:spacing w:line="360" w:lineRule="auto"/>
        <w:ind w:firstLine="6090" w:firstLineChars="2900"/>
        <w:jc w:val="left"/>
        <w:rPr>
          <w:rFonts w:hint="eastAsia" w:ascii="Times New Roman" w:hAnsi="Times New Roman"/>
          <w:kern w:val="0"/>
        </w:rPr>
      </w:pPr>
    </w:p>
    <w:p>
      <w:pPr>
        <w:autoSpaceDE w:val="0"/>
        <w:autoSpaceDN w:val="0"/>
        <w:spacing w:line="360" w:lineRule="auto"/>
        <w:ind w:firstLine="6090" w:firstLineChars="2900"/>
        <w:jc w:val="left"/>
        <w:rPr>
          <w:rFonts w:hint="eastAsia" w:ascii="Times New Roman" w:hAnsi="Times New Roman"/>
          <w:kern w:val="0"/>
        </w:rPr>
      </w:pPr>
    </w:p>
    <w:p>
      <w:pPr>
        <w:autoSpaceDE w:val="0"/>
        <w:autoSpaceDN w:val="0"/>
        <w:spacing w:line="360" w:lineRule="auto"/>
        <w:ind w:firstLine="6090" w:firstLineChars="2900"/>
        <w:jc w:val="left"/>
        <w:rPr>
          <w:rFonts w:hint="eastAsia" w:ascii="Times New Roman" w:hAnsi="Times New Roman"/>
          <w:kern w:val="0"/>
        </w:rPr>
      </w:pPr>
    </w:p>
    <w:p>
      <w:pPr>
        <w:pStyle w:val="3"/>
        <w:bidi w:val="0"/>
        <w:jc w:val="center"/>
        <w:rPr>
          <w:rFonts w:hint="eastAsia"/>
          <w:lang w:val="en-US" w:eastAsia="zh-CN"/>
        </w:rPr>
      </w:pPr>
      <w:bookmarkStart w:id="210" w:name="_Toc57385494"/>
      <w:bookmarkStart w:id="211" w:name="_Toc57386057"/>
      <w:bookmarkStart w:id="212" w:name="_Toc57387675"/>
      <w:bookmarkStart w:id="213" w:name="_Toc57384480"/>
      <w:bookmarkStart w:id="214" w:name="_Toc57621333"/>
      <w:bookmarkStart w:id="215" w:name="_Toc57361320"/>
      <w:bookmarkStart w:id="216" w:name="_Toc57384873"/>
      <w:bookmarkStart w:id="217" w:name="_Toc57387406"/>
      <w:bookmarkStart w:id="218" w:name="_Toc57361902"/>
      <w:bookmarkStart w:id="219" w:name="_Toc57364622"/>
    </w:p>
    <w:p>
      <w:pPr>
        <w:pStyle w:val="3"/>
        <w:bidi w:val="0"/>
        <w:jc w:val="center"/>
        <w:rPr>
          <w:lang w:val="en-US" w:eastAsia="zh-CN"/>
        </w:rPr>
      </w:pPr>
      <w:bookmarkStart w:id="220" w:name="_Toc17414"/>
      <w:bookmarkStart w:id="221" w:name="_Toc16142"/>
      <w:r>
        <w:rPr>
          <w:rFonts w:hint="eastAsia"/>
          <w:lang w:val="en-US" w:eastAsia="zh-CN"/>
        </w:rPr>
        <w:t>化工技术经济与管理课程教学大纲</w:t>
      </w:r>
      <w:bookmarkEnd w:id="210"/>
      <w:bookmarkEnd w:id="211"/>
      <w:bookmarkEnd w:id="212"/>
      <w:bookmarkEnd w:id="213"/>
      <w:bookmarkEnd w:id="214"/>
      <w:bookmarkEnd w:id="215"/>
      <w:bookmarkEnd w:id="216"/>
      <w:bookmarkEnd w:id="217"/>
      <w:bookmarkEnd w:id="218"/>
      <w:bookmarkEnd w:id="219"/>
      <w:bookmarkEnd w:id="220"/>
      <w:bookmarkEnd w:id="221"/>
    </w:p>
    <w:p>
      <w:pPr>
        <w:jc w:val="center"/>
        <w:rPr>
          <w:b/>
          <w:bCs/>
          <w:sz w:val="30"/>
        </w:rPr>
      </w:pPr>
      <w:r>
        <w:rPr>
          <w:rFonts w:hint="eastAsia"/>
          <w:b/>
          <w:bCs/>
          <w:sz w:val="30"/>
        </w:rPr>
        <w:t>（</w:t>
      </w:r>
      <w:r>
        <w:rPr>
          <w:b/>
          <w:bCs/>
          <w:sz w:val="30"/>
        </w:rPr>
        <w:t>Economy and Management of Chemical Technology</w:t>
      </w:r>
      <w:r>
        <w:rPr>
          <w:rFonts w:hint="eastAsia"/>
          <w:b/>
          <w:bCs/>
          <w:sz w:val="30"/>
        </w:rPr>
        <w:t>）</w:t>
      </w:r>
    </w:p>
    <w:p>
      <w:pPr>
        <w:spacing w:line="360" w:lineRule="auto"/>
        <w:rPr>
          <w:b/>
          <w:sz w:val="28"/>
          <w:szCs w:val="28"/>
        </w:rPr>
      </w:pPr>
      <w:r>
        <w:rPr>
          <w:rFonts w:hint="eastAsia"/>
          <w:b/>
          <w:sz w:val="28"/>
          <w:szCs w:val="28"/>
        </w:rPr>
        <w:t>一、课程概况</w:t>
      </w:r>
    </w:p>
    <w:p>
      <w:pPr>
        <w:spacing w:line="360" w:lineRule="auto"/>
        <w:ind w:firstLine="482" w:firstLineChars="200"/>
        <w:rPr>
          <w:b/>
          <w:sz w:val="28"/>
          <w:szCs w:val="28"/>
        </w:rPr>
      </w:pPr>
      <w:r>
        <w:rPr>
          <w:rFonts w:hint="eastAsia"/>
          <w:b/>
          <w:bCs/>
          <w:kern w:val="0"/>
          <w:sz w:val="24"/>
        </w:rPr>
        <w:t>课程代码</w:t>
      </w:r>
      <w:r>
        <w:rPr>
          <w:rFonts w:hint="eastAsia"/>
          <w:b/>
          <w:kern w:val="0"/>
          <w:sz w:val="24"/>
        </w:rPr>
        <w:t>：</w:t>
      </w:r>
      <w:r>
        <w:rPr>
          <w:b/>
          <w:kern w:val="0"/>
          <w:sz w:val="24"/>
        </w:rPr>
        <w:t>2501039</w:t>
      </w:r>
    </w:p>
    <w:p>
      <w:pPr>
        <w:spacing w:line="360" w:lineRule="auto"/>
        <w:ind w:firstLine="482" w:firstLineChars="200"/>
        <w:rPr>
          <w:rFonts w:hint="eastAsia"/>
          <w:b/>
          <w:kern w:val="0"/>
          <w:sz w:val="24"/>
          <w:lang w:val="en-US" w:eastAsia="zh-CN"/>
        </w:rPr>
      </w:pPr>
      <w:r>
        <w:rPr>
          <w:rFonts w:hint="eastAsia"/>
          <w:b/>
          <w:bCs/>
          <w:kern w:val="0"/>
          <w:sz w:val="24"/>
        </w:rPr>
        <w:t>学</w:t>
      </w:r>
      <w:r>
        <w:rPr>
          <w:b/>
          <w:bCs/>
          <w:kern w:val="0"/>
          <w:sz w:val="24"/>
        </w:rPr>
        <w:t xml:space="preserve">    </w:t>
      </w:r>
      <w:r>
        <w:rPr>
          <w:rFonts w:hint="eastAsia"/>
          <w:b/>
          <w:bCs/>
          <w:kern w:val="0"/>
          <w:sz w:val="24"/>
        </w:rPr>
        <w:t>分</w:t>
      </w:r>
      <w:r>
        <w:rPr>
          <w:rFonts w:hint="eastAsia"/>
          <w:b/>
          <w:kern w:val="0"/>
          <w:sz w:val="24"/>
        </w:rPr>
        <w:t>：</w:t>
      </w:r>
      <w:r>
        <w:rPr>
          <w:rFonts w:hint="eastAsia"/>
          <w:b/>
          <w:kern w:val="0"/>
          <w:sz w:val="24"/>
          <w:lang w:val="en-US" w:eastAsia="zh-CN"/>
        </w:rPr>
        <w:t>1.5</w:t>
      </w:r>
    </w:p>
    <w:p>
      <w:pPr>
        <w:spacing w:line="360" w:lineRule="auto"/>
        <w:ind w:firstLine="482" w:firstLineChars="200"/>
        <w:rPr>
          <w:rFonts w:hint="eastAsia"/>
          <w:b/>
          <w:kern w:val="0"/>
          <w:sz w:val="24"/>
          <w:lang w:val="en-US" w:eastAsia="zh-CN"/>
        </w:rPr>
      </w:pPr>
      <w:r>
        <w:rPr>
          <w:rFonts w:hint="eastAsia"/>
          <w:b/>
          <w:bCs/>
          <w:kern w:val="0"/>
          <w:sz w:val="24"/>
        </w:rPr>
        <w:t>学</w:t>
      </w:r>
      <w:r>
        <w:rPr>
          <w:b/>
          <w:bCs/>
          <w:kern w:val="0"/>
          <w:sz w:val="24"/>
        </w:rPr>
        <w:t xml:space="preserve">    </w:t>
      </w:r>
      <w:r>
        <w:rPr>
          <w:rFonts w:hint="eastAsia"/>
          <w:b/>
          <w:bCs/>
          <w:kern w:val="0"/>
          <w:sz w:val="24"/>
        </w:rPr>
        <w:t>时</w:t>
      </w:r>
      <w:r>
        <w:rPr>
          <w:rFonts w:hint="eastAsia"/>
          <w:b/>
          <w:kern w:val="0"/>
          <w:sz w:val="24"/>
        </w:rPr>
        <w:t>：</w:t>
      </w:r>
      <w:r>
        <w:rPr>
          <w:rFonts w:hint="eastAsia"/>
          <w:b/>
          <w:kern w:val="0"/>
          <w:sz w:val="24"/>
          <w:lang w:val="en-US" w:eastAsia="zh-CN"/>
        </w:rPr>
        <w:t>24</w:t>
      </w:r>
    </w:p>
    <w:p>
      <w:pPr>
        <w:spacing w:line="360" w:lineRule="auto"/>
        <w:ind w:firstLine="482" w:firstLineChars="200"/>
        <w:rPr>
          <w:bCs/>
          <w:kern w:val="0"/>
          <w:sz w:val="24"/>
        </w:rPr>
      </w:pPr>
      <w:r>
        <w:rPr>
          <w:rFonts w:hint="eastAsia"/>
          <w:b/>
          <w:bCs/>
          <w:kern w:val="0"/>
          <w:sz w:val="24"/>
        </w:rPr>
        <w:t>先修课程</w:t>
      </w:r>
      <w:r>
        <w:rPr>
          <w:rFonts w:hint="eastAsia"/>
          <w:b/>
          <w:kern w:val="0"/>
          <w:sz w:val="24"/>
        </w:rPr>
        <w:t>：</w:t>
      </w:r>
      <w:r>
        <w:rPr>
          <w:rFonts w:hint="eastAsia"/>
          <w:bCs/>
          <w:kern w:val="0"/>
          <w:sz w:val="24"/>
        </w:rPr>
        <w:t>化工原理、化工设计</w:t>
      </w:r>
    </w:p>
    <w:p>
      <w:pPr>
        <w:spacing w:line="360" w:lineRule="auto"/>
        <w:ind w:firstLine="482" w:firstLineChars="200"/>
        <w:rPr>
          <w:kern w:val="0"/>
          <w:sz w:val="24"/>
        </w:rPr>
      </w:pPr>
      <w:r>
        <w:rPr>
          <w:rFonts w:hint="eastAsia"/>
          <w:b/>
          <w:bCs/>
          <w:kern w:val="0"/>
          <w:sz w:val="24"/>
        </w:rPr>
        <w:t>适用专业</w:t>
      </w:r>
      <w:r>
        <w:rPr>
          <w:rFonts w:hint="eastAsia"/>
          <w:b/>
          <w:kern w:val="0"/>
          <w:sz w:val="24"/>
        </w:rPr>
        <w:t>：</w:t>
      </w:r>
      <w:r>
        <w:rPr>
          <w:rFonts w:hint="eastAsia"/>
          <w:sz w:val="24"/>
        </w:rPr>
        <w:t>化学工程与工艺、应用化学</w:t>
      </w:r>
    </w:p>
    <w:p>
      <w:pPr>
        <w:spacing w:line="360" w:lineRule="auto"/>
        <w:ind w:firstLine="482" w:firstLineChars="200"/>
        <w:rPr>
          <w:sz w:val="24"/>
        </w:rPr>
      </w:pPr>
      <w:r>
        <w:rPr>
          <w:rFonts w:hint="eastAsia"/>
          <w:b/>
          <w:bCs/>
          <w:kern w:val="0"/>
          <w:sz w:val="24"/>
        </w:rPr>
        <w:t>教</w:t>
      </w:r>
      <w:r>
        <w:rPr>
          <w:b/>
          <w:bCs/>
          <w:kern w:val="0"/>
          <w:sz w:val="24"/>
        </w:rPr>
        <w:t xml:space="preserve">    </w:t>
      </w:r>
      <w:r>
        <w:rPr>
          <w:rFonts w:hint="eastAsia"/>
          <w:b/>
          <w:bCs/>
          <w:kern w:val="0"/>
          <w:sz w:val="24"/>
        </w:rPr>
        <w:t>材</w:t>
      </w:r>
      <w:r>
        <w:rPr>
          <w:rFonts w:hint="eastAsia"/>
          <w:b/>
          <w:kern w:val="0"/>
          <w:sz w:val="24"/>
        </w:rPr>
        <w:t>：</w:t>
      </w:r>
      <w:r>
        <w:rPr>
          <w:rFonts w:hint="eastAsia"/>
          <w:kern w:val="0"/>
          <w:sz w:val="24"/>
        </w:rPr>
        <w:t>《化工技术经济》，宋航等编著，</w:t>
      </w:r>
      <w:r>
        <w:rPr>
          <w:kern w:val="0"/>
          <w:sz w:val="24"/>
        </w:rPr>
        <w:t xml:space="preserve"> </w:t>
      </w:r>
      <w:r>
        <w:rPr>
          <w:rFonts w:hint="eastAsia"/>
          <w:kern w:val="0"/>
          <w:sz w:val="24"/>
        </w:rPr>
        <w:t>科学出版社，</w:t>
      </w:r>
      <w:r>
        <w:rPr>
          <w:kern w:val="0"/>
          <w:sz w:val="24"/>
        </w:rPr>
        <w:t>2004</w:t>
      </w:r>
      <w:r>
        <w:rPr>
          <w:rFonts w:hint="eastAsia"/>
          <w:kern w:val="0"/>
          <w:sz w:val="24"/>
        </w:rPr>
        <w:t>年</w:t>
      </w:r>
    </w:p>
    <w:p>
      <w:pPr>
        <w:spacing w:line="360" w:lineRule="auto"/>
        <w:ind w:firstLine="482" w:firstLineChars="200"/>
        <w:rPr>
          <w:kern w:val="0"/>
          <w:sz w:val="24"/>
        </w:rPr>
      </w:pPr>
      <w:r>
        <w:rPr>
          <w:rFonts w:hint="eastAsia"/>
          <w:b/>
          <w:bCs/>
          <w:kern w:val="0"/>
          <w:sz w:val="24"/>
        </w:rPr>
        <w:t>课程归口：</w:t>
      </w:r>
      <w:r>
        <w:rPr>
          <w:rFonts w:hint="eastAsia"/>
          <w:bCs/>
          <w:kern w:val="0"/>
          <w:sz w:val="24"/>
        </w:rPr>
        <w:t>化工与材料学院</w:t>
      </w:r>
    </w:p>
    <w:p>
      <w:pPr>
        <w:spacing w:line="360" w:lineRule="auto"/>
        <w:ind w:firstLine="482" w:firstLineChars="200"/>
        <w:rPr>
          <w:bCs/>
          <w:kern w:val="0"/>
          <w:sz w:val="24"/>
        </w:rPr>
      </w:pPr>
      <w:r>
        <w:rPr>
          <w:rFonts w:hint="eastAsia"/>
          <w:b/>
          <w:bCs/>
          <w:kern w:val="0"/>
          <w:sz w:val="24"/>
        </w:rPr>
        <w:t>课程团队：</w:t>
      </w:r>
      <w:r>
        <w:rPr>
          <w:rFonts w:hint="eastAsia"/>
          <w:bCs/>
          <w:kern w:val="0"/>
          <w:sz w:val="24"/>
        </w:rPr>
        <w:t>魏雪姣</w:t>
      </w:r>
      <w:r>
        <w:rPr>
          <w:bCs/>
          <w:kern w:val="0"/>
          <w:sz w:val="24"/>
        </w:rPr>
        <w:t xml:space="preserve"> </w:t>
      </w:r>
    </w:p>
    <w:p>
      <w:pPr>
        <w:spacing w:line="300" w:lineRule="auto"/>
        <w:ind w:firstLine="482" w:firstLineChars="200"/>
        <w:rPr>
          <w:bCs/>
          <w:color w:val="000000"/>
          <w:sz w:val="24"/>
        </w:rPr>
      </w:pPr>
      <w:r>
        <w:rPr>
          <w:rFonts w:hint="eastAsia"/>
          <w:b/>
          <w:bCs/>
          <w:kern w:val="0"/>
          <w:sz w:val="24"/>
        </w:rPr>
        <w:t>课程性质与任务：</w:t>
      </w:r>
      <w:r>
        <w:rPr>
          <w:rFonts w:hint="eastAsia"/>
          <w:bCs/>
          <w:color w:val="000000"/>
          <w:sz w:val="24"/>
        </w:rPr>
        <w:t>本课程是化学工程与工艺专业的一门专业选修课，讲授化工管理及经济学的相关知识，如经济效益、成本、税收、资金时间价值、经济评价方法以及资源与资源配置等。通过本课程的教学，使学生熟悉与化工相关的技术标准、知识产权、产业政策和法律法规，了解企业</w:t>
      </w:r>
      <w:r>
        <w:rPr>
          <w:bCs/>
          <w:color w:val="000000"/>
          <w:sz w:val="24"/>
        </w:rPr>
        <w:t>HSE</w:t>
      </w:r>
      <w:r>
        <w:rPr>
          <w:rFonts w:hint="eastAsia"/>
          <w:bCs/>
          <w:color w:val="000000"/>
          <w:sz w:val="24"/>
        </w:rPr>
        <w:t>管理体系；能够识别，量化和分析化工新产品、新技术、新工艺的开发和应对社会、健康、安全、法律及文化潜在的影响；能够在化学工程问题分析中运用工程管理与经济决策方法，掌握项目可行性研究的方法和内容，具备一定的经济预测和风险决策的能力。</w:t>
      </w:r>
    </w:p>
    <w:p>
      <w:pPr>
        <w:spacing w:line="360" w:lineRule="auto"/>
        <w:rPr>
          <w:b/>
          <w:sz w:val="28"/>
          <w:szCs w:val="28"/>
        </w:rPr>
      </w:pPr>
      <w:r>
        <w:rPr>
          <w:rFonts w:hint="eastAsia"/>
          <w:b/>
          <w:sz w:val="28"/>
          <w:szCs w:val="28"/>
        </w:rPr>
        <w:t>二、课程目标及对毕业要求观测点的支撑</w:t>
      </w:r>
    </w:p>
    <w:tbl>
      <w:tblPr>
        <w:tblStyle w:val="1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118"/>
        <w:gridCol w:w="2292"/>
        <w:gridCol w:w="3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38" w:type="dxa"/>
            <w:tcBorders>
              <w:top w:val="single" w:color="auto" w:sz="4" w:space="0"/>
              <w:left w:val="single" w:color="auto" w:sz="4" w:space="0"/>
              <w:bottom w:val="single" w:color="auto" w:sz="4" w:space="0"/>
              <w:right w:val="single" w:color="auto" w:sz="4" w:space="0"/>
            </w:tcBorders>
            <w:noWrap/>
            <w:vAlign w:val="center"/>
          </w:tcPr>
          <w:p>
            <w:pPr>
              <w:widowControl/>
              <w:jc w:val="center"/>
              <w:rPr>
                <w:b/>
                <w:bCs/>
                <w:kern w:val="0"/>
                <w:szCs w:val="21"/>
              </w:rPr>
            </w:pPr>
            <w:r>
              <w:rPr>
                <w:rFonts w:hint="eastAsia"/>
                <w:b/>
                <w:bCs/>
                <w:kern w:val="0"/>
                <w:szCs w:val="21"/>
              </w:rPr>
              <w:t>序号</w:t>
            </w:r>
          </w:p>
        </w:tc>
        <w:tc>
          <w:tcPr>
            <w:tcW w:w="3118" w:type="dxa"/>
            <w:tcBorders>
              <w:top w:val="single" w:color="auto" w:sz="4" w:space="0"/>
              <w:left w:val="single" w:color="auto" w:sz="4" w:space="0"/>
              <w:bottom w:val="single" w:color="auto" w:sz="4" w:space="0"/>
              <w:right w:val="single" w:color="auto" w:sz="4" w:space="0"/>
            </w:tcBorders>
            <w:noWrap/>
            <w:vAlign w:val="center"/>
          </w:tcPr>
          <w:p>
            <w:pPr>
              <w:widowControl/>
              <w:jc w:val="center"/>
              <w:rPr>
                <w:b/>
                <w:bCs/>
                <w:kern w:val="0"/>
                <w:szCs w:val="21"/>
              </w:rPr>
            </w:pPr>
            <w:r>
              <w:rPr>
                <w:rFonts w:hint="eastAsia"/>
                <w:b/>
                <w:bCs/>
                <w:kern w:val="0"/>
                <w:szCs w:val="21"/>
              </w:rPr>
              <w:t>课程目标</w:t>
            </w:r>
          </w:p>
        </w:tc>
        <w:tc>
          <w:tcPr>
            <w:tcW w:w="2292" w:type="dxa"/>
            <w:tcBorders>
              <w:top w:val="single" w:color="auto" w:sz="4" w:space="0"/>
              <w:left w:val="single" w:color="auto" w:sz="4" w:space="0"/>
              <w:bottom w:val="single" w:color="auto" w:sz="4" w:space="0"/>
              <w:right w:val="single" w:color="auto" w:sz="4" w:space="0"/>
            </w:tcBorders>
            <w:noWrap/>
            <w:vAlign w:val="center"/>
          </w:tcPr>
          <w:p>
            <w:pPr>
              <w:widowControl/>
              <w:jc w:val="center"/>
              <w:rPr>
                <w:b/>
                <w:bCs/>
                <w:kern w:val="0"/>
                <w:szCs w:val="21"/>
              </w:rPr>
            </w:pPr>
            <w:r>
              <w:rPr>
                <w:rFonts w:hint="eastAsia"/>
                <w:b/>
                <w:bCs/>
                <w:kern w:val="0"/>
                <w:szCs w:val="21"/>
              </w:rPr>
              <w:t>支撑毕业要求观测点</w:t>
            </w:r>
          </w:p>
        </w:tc>
        <w:tc>
          <w:tcPr>
            <w:tcW w:w="3066" w:type="dxa"/>
            <w:tcBorders>
              <w:top w:val="single" w:color="auto" w:sz="4" w:space="0"/>
              <w:left w:val="single" w:color="auto" w:sz="4" w:space="0"/>
              <w:bottom w:val="single" w:color="auto" w:sz="4" w:space="0"/>
              <w:right w:val="single" w:color="auto" w:sz="4" w:space="0"/>
            </w:tcBorders>
            <w:noWrap/>
            <w:vAlign w:val="center"/>
          </w:tcPr>
          <w:p>
            <w:pPr>
              <w:widowControl/>
              <w:jc w:val="center"/>
              <w:rPr>
                <w:b/>
                <w:bCs/>
                <w:kern w:val="0"/>
                <w:szCs w:val="21"/>
              </w:rPr>
            </w:pPr>
            <w:r>
              <w:rPr>
                <w:rFonts w:hint="eastAsia"/>
                <w:b/>
                <w:bCs/>
                <w:kern w:val="0"/>
                <w:szCs w:val="21"/>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38" w:type="dxa"/>
            <w:tcBorders>
              <w:top w:val="single" w:color="auto" w:sz="4" w:space="0"/>
              <w:left w:val="single" w:color="auto" w:sz="4" w:space="0"/>
              <w:bottom w:val="single" w:color="auto" w:sz="4" w:space="0"/>
              <w:right w:val="single" w:color="auto" w:sz="4" w:space="0"/>
            </w:tcBorders>
            <w:noWrap/>
            <w:vAlign w:val="center"/>
          </w:tcPr>
          <w:p>
            <w:pPr>
              <w:widowControl/>
              <w:jc w:val="center"/>
              <w:rPr>
                <w:kern w:val="0"/>
                <w:szCs w:val="21"/>
              </w:rPr>
            </w:pPr>
            <w:r>
              <w:rPr>
                <w:kern w:val="0"/>
                <w:szCs w:val="21"/>
              </w:rPr>
              <w:t>1</w:t>
            </w:r>
          </w:p>
        </w:tc>
        <w:tc>
          <w:tcPr>
            <w:tcW w:w="3118" w:type="dxa"/>
            <w:tcBorders>
              <w:top w:val="single" w:color="auto" w:sz="4" w:space="0"/>
              <w:left w:val="single" w:color="auto" w:sz="4" w:space="0"/>
              <w:bottom w:val="single" w:color="auto" w:sz="4" w:space="0"/>
              <w:right w:val="single" w:color="auto" w:sz="4" w:space="0"/>
            </w:tcBorders>
            <w:noWrap/>
            <w:vAlign w:val="center"/>
          </w:tcPr>
          <w:p>
            <w:pPr>
              <w:rPr>
                <w:kern w:val="0"/>
                <w:szCs w:val="21"/>
              </w:rPr>
            </w:pPr>
            <w:r>
              <w:rPr>
                <w:rFonts w:hint="eastAsia"/>
                <w:b/>
                <w:kern w:val="0"/>
                <w:szCs w:val="21"/>
              </w:rPr>
              <w:t>目标</w:t>
            </w:r>
            <w:r>
              <w:rPr>
                <w:b/>
                <w:kern w:val="0"/>
                <w:szCs w:val="21"/>
              </w:rPr>
              <w:t>1</w:t>
            </w:r>
            <w:r>
              <w:rPr>
                <w:rFonts w:hint="eastAsia"/>
                <w:b/>
                <w:kern w:val="0"/>
                <w:szCs w:val="21"/>
              </w:rPr>
              <w:t>：</w:t>
            </w:r>
            <w:r>
              <w:rPr>
                <w:rFonts w:hint="eastAsia"/>
                <w:kern w:val="0"/>
                <w:szCs w:val="21"/>
              </w:rPr>
              <w:t>能够对化工技术经济中化工管理及经济学的相关知识，如经济效益、成本、税收、资金时间价值、经济评价方法以及资源与资源配置有深入了解。</w:t>
            </w:r>
          </w:p>
          <w:p>
            <w:pPr>
              <w:rPr>
                <w:kern w:val="0"/>
                <w:szCs w:val="21"/>
              </w:rPr>
            </w:pPr>
          </w:p>
        </w:tc>
        <w:tc>
          <w:tcPr>
            <w:tcW w:w="2292" w:type="dxa"/>
            <w:tcBorders>
              <w:top w:val="single" w:color="auto" w:sz="4" w:space="0"/>
              <w:left w:val="single" w:color="auto" w:sz="4" w:space="0"/>
              <w:bottom w:val="single" w:color="auto" w:sz="4" w:space="0"/>
              <w:right w:val="single" w:color="auto" w:sz="4" w:space="0"/>
            </w:tcBorders>
            <w:noWrap/>
            <w:vAlign w:val="center"/>
          </w:tcPr>
          <w:p>
            <w:pPr>
              <w:widowControl/>
              <w:rPr>
                <w:kern w:val="0"/>
                <w:szCs w:val="21"/>
              </w:rPr>
            </w:pPr>
            <w:r>
              <w:rPr>
                <w:rFonts w:hint="eastAsia"/>
                <w:b/>
                <w:szCs w:val="21"/>
              </w:rPr>
              <w:t>观测点</w:t>
            </w:r>
            <w:r>
              <w:rPr>
                <w:b/>
                <w:szCs w:val="21"/>
              </w:rPr>
              <w:t>3.1</w:t>
            </w:r>
            <w:r>
              <w:rPr>
                <w:rFonts w:hint="eastAsia"/>
                <w:szCs w:val="21"/>
              </w:rPr>
              <w:t>：能够在安全、环境、法律等现实的约束下，通过技术经济评价对设计方案的可行性进行论证。</w:t>
            </w:r>
          </w:p>
        </w:tc>
        <w:tc>
          <w:tcPr>
            <w:tcW w:w="3066" w:type="dxa"/>
            <w:tcBorders>
              <w:top w:val="single" w:color="auto" w:sz="4" w:space="0"/>
              <w:left w:val="single" w:color="auto" w:sz="4" w:space="0"/>
              <w:bottom w:val="single" w:color="auto" w:sz="4" w:space="0"/>
              <w:right w:val="single" w:color="auto" w:sz="4" w:space="0"/>
            </w:tcBorders>
            <w:noWrap/>
            <w:vAlign w:val="center"/>
          </w:tcPr>
          <w:p>
            <w:pPr>
              <w:widowControl/>
              <w:rPr>
                <w:kern w:val="0"/>
                <w:szCs w:val="21"/>
              </w:rPr>
            </w:pPr>
            <w:r>
              <w:rPr>
                <w:rFonts w:hint="eastAsia"/>
                <w:b/>
                <w:szCs w:val="21"/>
              </w:rPr>
              <w:t>毕业要求</w:t>
            </w:r>
            <w:r>
              <w:rPr>
                <w:b/>
                <w:szCs w:val="21"/>
              </w:rPr>
              <w:t>3</w:t>
            </w:r>
            <w:r>
              <w:rPr>
                <w:rFonts w:hint="eastAsia"/>
                <w:kern w:val="0"/>
                <w:szCs w:val="21"/>
              </w:rPr>
              <w:t>设计</w:t>
            </w:r>
            <w:r>
              <w:rPr>
                <w:kern w:val="0"/>
                <w:szCs w:val="21"/>
              </w:rPr>
              <w:t>/</w:t>
            </w:r>
            <w:r>
              <w:rPr>
                <w:rFonts w:hint="eastAsia"/>
                <w:kern w:val="0"/>
                <w:szCs w:val="21"/>
              </w:rPr>
              <w:t>开发方案：能够设计针对化学工程与工艺领域复杂工程问题的解决方案，设计满足特定需求的系统、单元（部件）或工艺流程，并能够在设计环节中体现创新意识，考虑社会、健康、安全、法律、文化以及环境等因素</w:t>
            </w: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38" w:type="dxa"/>
            <w:tcBorders>
              <w:top w:val="single" w:color="auto" w:sz="4" w:space="0"/>
              <w:left w:val="single" w:color="auto" w:sz="4" w:space="0"/>
              <w:bottom w:val="single" w:color="auto" w:sz="4" w:space="0"/>
              <w:right w:val="single" w:color="auto" w:sz="4" w:space="0"/>
            </w:tcBorders>
            <w:noWrap/>
            <w:vAlign w:val="center"/>
          </w:tcPr>
          <w:p>
            <w:pPr>
              <w:widowControl/>
              <w:jc w:val="center"/>
              <w:rPr>
                <w:kern w:val="0"/>
                <w:szCs w:val="21"/>
              </w:rPr>
            </w:pPr>
            <w:r>
              <w:rPr>
                <w:kern w:val="0"/>
                <w:szCs w:val="21"/>
              </w:rPr>
              <w:t>2</w:t>
            </w:r>
          </w:p>
        </w:tc>
        <w:tc>
          <w:tcPr>
            <w:tcW w:w="3118" w:type="dxa"/>
            <w:tcBorders>
              <w:top w:val="single" w:color="auto" w:sz="4" w:space="0"/>
              <w:left w:val="single" w:color="auto" w:sz="4" w:space="0"/>
              <w:bottom w:val="single" w:color="auto" w:sz="4" w:space="0"/>
              <w:right w:val="single" w:color="auto" w:sz="4" w:space="0"/>
            </w:tcBorders>
            <w:noWrap/>
            <w:vAlign w:val="center"/>
          </w:tcPr>
          <w:p>
            <w:pPr>
              <w:widowControl/>
              <w:rPr>
                <w:kern w:val="0"/>
                <w:szCs w:val="21"/>
              </w:rPr>
            </w:pPr>
            <w:r>
              <w:rPr>
                <w:rFonts w:hint="eastAsia"/>
                <w:b/>
                <w:kern w:val="0"/>
                <w:szCs w:val="21"/>
              </w:rPr>
              <w:t>目标</w:t>
            </w:r>
            <w:r>
              <w:rPr>
                <w:b/>
                <w:kern w:val="0"/>
                <w:szCs w:val="21"/>
              </w:rPr>
              <w:t>2</w:t>
            </w:r>
            <w:r>
              <w:rPr>
                <w:rFonts w:hint="eastAsia"/>
                <w:b/>
                <w:kern w:val="0"/>
                <w:szCs w:val="21"/>
              </w:rPr>
              <w:t>：</w:t>
            </w:r>
            <w:r>
              <w:rPr>
                <w:rFonts w:hint="eastAsia"/>
                <w:kern w:val="0"/>
                <w:szCs w:val="21"/>
              </w:rPr>
              <w:t>能够熟悉与化工相关的技术标准、知识产权、产业政策和法律法规，了解企业</w:t>
            </w:r>
            <w:r>
              <w:rPr>
                <w:kern w:val="0"/>
                <w:szCs w:val="21"/>
              </w:rPr>
              <w:t>HSE</w:t>
            </w:r>
            <w:r>
              <w:rPr>
                <w:rFonts w:hint="eastAsia"/>
                <w:kern w:val="0"/>
                <w:szCs w:val="21"/>
              </w:rPr>
              <w:t>管理体系，能够识别，量化和分析化工新产品、新技术、新工艺的开发和应对社会、健康、安全、法律及文化潜在的影响。</w:t>
            </w:r>
          </w:p>
        </w:tc>
        <w:tc>
          <w:tcPr>
            <w:tcW w:w="2292" w:type="dxa"/>
            <w:tcBorders>
              <w:top w:val="single" w:color="auto" w:sz="4" w:space="0"/>
              <w:left w:val="single" w:color="auto" w:sz="4" w:space="0"/>
              <w:bottom w:val="single" w:color="auto" w:sz="4" w:space="0"/>
              <w:right w:val="single" w:color="auto" w:sz="4" w:space="0"/>
            </w:tcBorders>
            <w:noWrap/>
            <w:vAlign w:val="center"/>
          </w:tcPr>
          <w:p>
            <w:pPr>
              <w:widowControl/>
              <w:rPr>
                <w:kern w:val="0"/>
                <w:szCs w:val="21"/>
              </w:rPr>
            </w:pPr>
            <w:r>
              <w:rPr>
                <w:rFonts w:hint="eastAsia"/>
                <w:b/>
                <w:color w:val="000000"/>
                <w:kern w:val="0"/>
                <w:szCs w:val="21"/>
              </w:rPr>
              <w:t>观测点</w:t>
            </w:r>
            <w:r>
              <w:rPr>
                <w:b/>
                <w:szCs w:val="21"/>
              </w:rPr>
              <w:t>6.2</w:t>
            </w:r>
            <w:r>
              <w:rPr>
                <w:rFonts w:hint="eastAsia"/>
                <w:szCs w:val="21"/>
              </w:rPr>
              <w:t>：</w:t>
            </w:r>
            <w:r>
              <w:rPr>
                <w:rFonts w:hint="eastAsia"/>
                <w:color w:val="000000"/>
                <w:kern w:val="0"/>
                <w:szCs w:val="21"/>
              </w:rPr>
              <w:t>熟悉与化工相关的技术标准、知识产权、产业政策和法律法规，了解企业管理体系。</w:t>
            </w:r>
          </w:p>
        </w:tc>
        <w:tc>
          <w:tcPr>
            <w:tcW w:w="3066" w:type="dxa"/>
            <w:tcBorders>
              <w:top w:val="single" w:color="auto" w:sz="4" w:space="0"/>
              <w:left w:val="single" w:color="auto" w:sz="4" w:space="0"/>
              <w:bottom w:val="single" w:color="auto" w:sz="4" w:space="0"/>
              <w:right w:val="single" w:color="auto" w:sz="4" w:space="0"/>
            </w:tcBorders>
            <w:noWrap/>
            <w:vAlign w:val="center"/>
          </w:tcPr>
          <w:p>
            <w:pPr>
              <w:widowControl/>
              <w:rPr>
                <w:kern w:val="0"/>
                <w:szCs w:val="21"/>
              </w:rPr>
            </w:pPr>
            <w:r>
              <w:rPr>
                <w:rFonts w:hint="eastAsia"/>
                <w:b/>
                <w:color w:val="000000"/>
                <w:kern w:val="0"/>
                <w:szCs w:val="21"/>
              </w:rPr>
              <w:t>毕业要求</w:t>
            </w:r>
            <w:r>
              <w:rPr>
                <w:b/>
                <w:color w:val="000000"/>
                <w:kern w:val="0"/>
                <w:szCs w:val="21"/>
              </w:rPr>
              <w:t>6</w:t>
            </w:r>
            <w:r>
              <w:rPr>
                <w:rFonts w:hint="eastAsia"/>
                <w:kern w:val="0"/>
                <w:szCs w:val="21"/>
              </w:rPr>
              <w:t>工程与社会：能够基于化学工程与工艺领域工程相关背景知识进行合理分析，评价专业工程实践和复杂工程问题解决方案对社会、健康、安全、法律以及文化的影响，并理解应承担的责任。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38" w:type="dxa"/>
            <w:tcBorders>
              <w:top w:val="single" w:color="auto" w:sz="4" w:space="0"/>
              <w:left w:val="single" w:color="auto" w:sz="4" w:space="0"/>
              <w:bottom w:val="single" w:color="auto" w:sz="4" w:space="0"/>
              <w:right w:val="single" w:color="auto" w:sz="4" w:space="0"/>
            </w:tcBorders>
            <w:noWrap/>
            <w:vAlign w:val="center"/>
          </w:tcPr>
          <w:p>
            <w:pPr>
              <w:widowControl/>
              <w:jc w:val="center"/>
              <w:rPr>
                <w:kern w:val="0"/>
                <w:szCs w:val="21"/>
              </w:rPr>
            </w:pPr>
            <w:r>
              <w:rPr>
                <w:kern w:val="0"/>
                <w:szCs w:val="21"/>
              </w:rPr>
              <w:t>3</w:t>
            </w:r>
          </w:p>
        </w:tc>
        <w:tc>
          <w:tcPr>
            <w:tcW w:w="3118" w:type="dxa"/>
            <w:tcBorders>
              <w:top w:val="single" w:color="auto" w:sz="4" w:space="0"/>
              <w:left w:val="single" w:color="auto" w:sz="4" w:space="0"/>
              <w:bottom w:val="single" w:color="auto" w:sz="4" w:space="0"/>
              <w:right w:val="single" w:color="auto" w:sz="4" w:space="0"/>
            </w:tcBorders>
            <w:noWrap/>
            <w:vAlign w:val="center"/>
          </w:tcPr>
          <w:p>
            <w:pPr>
              <w:widowControl/>
              <w:rPr>
                <w:kern w:val="0"/>
                <w:szCs w:val="21"/>
              </w:rPr>
            </w:pPr>
            <w:r>
              <w:rPr>
                <w:rFonts w:hint="eastAsia"/>
                <w:b/>
                <w:kern w:val="0"/>
                <w:szCs w:val="21"/>
              </w:rPr>
              <w:t>目标</w:t>
            </w:r>
            <w:r>
              <w:rPr>
                <w:b/>
                <w:kern w:val="0"/>
                <w:szCs w:val="21"/>
              </w:rPr>
              <w:t>3</w:t>
            </w:r>
            <w:r>
              <w:rPr>
                <w:rFonts w:hint="eastAsia"/>
                <w:b/>
                <w:kern w:val="0"/>
                <w:szCs w:val="21"/>
              </w:rPr>
              <w:t>：</w:t>
            </w:r>
            <w:r>
              <w:rPr>
                <w:rFonts w:hint="eastAsia"/>
                <w:kern w:val="0"/>
                <w:szCs w:val="21"/>
              </w:rPr>
              <w:t>能够掌握化学工程问题分析中运用工程管理与经济决策方法，能够掌握项目可行性研究的方法和内容，具备一定的经济预测和风险决策的能力。</w:t>
            </w:r>
          </w:p>
        </w:tc>
        <w:tc>
          <w:tcPr>
            <w:tcW w:w="2292" w:type="dxa"/>
            <w:tcBorders>
              <w:top w:val="single" w:color="auto" w:sz="4" w:space="0"/>
              <w:left w:val="single" w:color="auto" w:sz="4" w:space="0"/>
              <w:bottom w:val="single" w:color="auto" w:sz="4" w:space="0"/>
              <w:right w:val="single" w:color="auto" w:sz="4" w:space="0"/>
            </w:tcBorders>
            <w:noWrap/>
            <w:vAlign w:val="center"/>
          </w:tcPr>
          <w:p>
            <w:pPr>
              <w:rPr>
                <w:szCs w:val="21"/>
              </w:rPr>
            </w:pPr>
            <w:r>
              <w:rPr>
                <w:rFonts w:hint="eastAsia"/>
                <w:b/>
                <w:kern w:val="0"/>
                <w:szCs w:val="21"/>
              </w:rPr>
              <w:t>观测点</w:t>
            </w:r>
            <w:r>
              <w:rPr>
                <w:b/>
                <w:szCs w:val="21"/>
              </w:rPr>
              <w:t>11.1</w:t>
            </w:r>
            <w:r>
              <w:rPr>
                <w:rFonts w:hint="eastAsia"/>
                <w:szCs w:val="21"/>
              </w:rPr>
              <w:t>：</w:t>
            </w:r>
            <w:r>
              <w:rPr>
                <w:rFonts w:hint="eastAsia" w:ascii="宋体" w:hAnsi="宋体"/>
                <w:color w:val="000000"/>
                <w:kern w:val="0"/>
              </w:rPr>
              <w:t>掌握化工管理及经济学相关的知识</w:t>
            </w:r>
            <w:r>
              <w:rPr>
                <w:rFonts w:hint="eastAsia"/>
                <w:shd w:val="clear" w:color="auto" w:fill="FFFFFF"/>
              </w:rPr>
              <w:t>。</w:t>
            </w:r>
          </w:p>
        </w:tc>
        <w:tc>
          <w:tcPr>
            <w:tcW w:w="3066" w:type="dxa"/>
            <w:tcBorders>
              <w:top w:val="single" w:color="auto" w:sz="4" w:space="0"/>
              <w:left w:val="single" w:color="auto" w:sz="4" w:space="0"/>
              <w:bottom w:val="single" w:color="auto" w:sz="4" w:space="0"/>
              <w:right w:val="single" w:color="auto" w:sz="4" w:space="0"/>
            </w:tcBorders>
            <w:noWrap/>
            <w:vAlign w:val="center"/>
          </w:tcPr>
          <w:p>
            <w:pPr>
              <w:rPr>
                <w:szCs w:val="21"/>
              </w:rPr>
            </w:pPr>
            <w:r>
              <w:rPr>
                <w:rFonts w:hint="eastAsia"/>
                <w:b/>
                <w:color w:val="000000"/>
                <w:kern w:val="0"/>
                <w:szCs w:val="21"/>
              </w:rPr>
              <w:t>毕业要求</w:t>
            </w:r>
            <w:r>
              <w:rPr>
                <w:b/>
                <w:color w:val="000000"/>
                <w:kern w:val="0"/>
                <w:szCs w:val="21"/>
              </w:rPr>
              <w:t>11</w:t>
            </w:r>
            <w:r>
              <w:rPr>
                <w:rFonts w:hint="eastAsia" w:ascii="宋体" w:hAnsi="宋体"/>
                <w:color w:val="000000"/>
                <w:kern w:val="0"/>
              </w:rPr>
              <w:t>项目管理：理解并掌握</w:t>
            </w:r>
            <w:r>
              <w:rPr>
                <w:rFonts w:hint="eastAsia" w:ascii="宋体" w:hAnsi="宋体"/>
              </w:rPr>
              <w:t>化学工程与工艺领域</w:t>
            </w:r>
            <w:r>
              <w:rPr>
                <w:rFonts w:hint="eastAsia" w:ascii="宋体" w:hAnsi="宋体"/>
                <w:color w:val="000000"/>
                <w:kern w:val="0"/>
              </w:rPr>
              <w:t>工程管理原理与经济决策方法，并能在多学科环境中应用。</w:t>
            </w:r>
          </w:p>
          <w:p>
            <w:pPr>
              <w:widowControl/>
              <w:rPr>
                <w:kern w:val="0"/>
                <w:szCs w:val="21"/>
              </w:rPr>
            </w:pPr>
          </w:p>
        </w:tc>
      </w:tr>
    </w:tbl>
    <w:p>
      <w:pPr>
        <w:spacing w:line="360" w:lineRule="auto"/>
        <w:rPr>
          <w:b/>
          <w:sz w:val="28"/>
          <w:szCs w:val="28"/>
        </w:rPr>
      </w:pPr>
      <w:r>
        <w:rPr>
          <w:rFonts w:hint="eastAsia"/>
          <w:b/>
          <w:sz w:val="28"/>
          <w:szCs w:val="28"/>
        </w:rPr>
        <w:t>三、教学内容及要求</w:t>
      </w:r>
    </w:p>
    <w:tbl>
      <w:tblPr>
        <w:tblStyle w:val="10"/>
        <w:tblW w:w="9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2632"/>
        <w:gridCol w:w="1134"/>
        <w:gridCol w:w="2028"/>
        <w:gridCol w:w="699"/>
        <w:gridCol w:w="975"/>
        <w:gridCol w:w="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tcBorders>
              <w:top w:val="single" w:color="auto" w:sz="4" w:space="0"/>
              <w:left w:val="single" w:color="auto" w:sz="4" w:space="0"/>
              <w:bottom w:val="single" w:color="auto" w:sz="4" w:space="0"/>
              <w:right w:val="single" w:color="auto" w:sz="4" w:space="0"/>
            </w:tcBorders>
            <w:noWrap w:val="0"/>
            <w:vAlign w:val="center"/>
          </w:tcPr>
          <w:p>
            <w:pPr>
              <w:jc w:val="center"/>
              <w:rPr>
                <w:b/>
                <w:bCs/>
                <w:szCs w:val="21"/>
              </w:rPr>
            </w:pPr>
            <w:r>
              <w:rPr>
                <w:rFonts w:hint="eastAsia"/>
                <w:b/>
                <w:bCs/>
                <w:szCs w:val="21"/>
              </w:rPr>
              <w:t>序号</w:t>
            </w:r>
          </w:p>
        </w:tc>
        <w:tc>
          <w:tcPr>
            <w:tcW w:w="2632" w:type="dxa"/>
            <w:tcBorders>
              <w:top w:val="single" w:color="auto" w:sz="4" w:space="0"/>
              <w:left w:val="single" w:color="auto" w:sz="4" w:space="0"/>
              <w:bottom w:val="single" w:color="auto" w:sz="4" w:space="0"/>
              <w:right w:val="single" w:color="auto" w:sz="4" w:space="0"/>
            </w:tcBorders>
            <w:noWrap w:val="0"/>
            <w:vAlign w:val="center"/>
          </w:tcPr>
          <w:p>
            <w:pPr>
              <w:jc w:val="center"/>
              <w:rPr>
                <w:b/>
                <w:bCs/>
                <w:szCs w:val="21"/>
              </w:rPr>
            </w:pPr>
            <w:r>
              <w:rPr>
                <w:rFonts w:hint="eastAsia"/>
                <w:b/>
                <w:bCs/>
                <w:szCs w:val="21"/>
              </w:rPr>
              <w:t>教学内容</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jc w:val="center"/>
              <w:rPr>
                <w:b/>
                <w:bCs/>
                <w:szCs w:val="21"/>
              </w:rPr>
            </w:pPr>
            <w:r>
              <w:rPr>
                <w:rFonts w:hint="eastAsia"/>
                <w:b/>
                <w:bCs/>
                <w:szCs w:val="21"/>
              </w:rPr>
              <w:t>思政元素</w:t>
            </w:r>
          </w:p>
          <w:p>
            <w:pPr>
              <w:jc w:val="center"/>
              <w:rPr>
                <w:b/>
                <w:bCs/>
                <w:szCs w:val="21"/>
              </w:rPr>
            </w:pPr>
          </w:p>
        </w:tc>
        <w:tc>
          <w:tcPr>
            <w:tcW w:w="2028" w:type="dxa"/>
            <w:tcBorders>
              <w:top w:val="single" w:color="auto" w:sz="4" w:space="0"/>
              <w:left w:val="single" w:color="auto" w:sz="4" w:space="0"/>
              <w:bottom w:val="single" w:color="auto" w:sz="4" w:space="0"/>
              <w:right w:val="single" w:color="auto" w:sz="4" w:space="0"/>
            </w:tcBorders>
            <w:noWrap w:val="0"/>
            <w:vAlign w:val="center"/>
          </w:tcPr>
          <w:p>
            <w:pPr>
              <w:jc w:val="center"/>
              <w:rPr>
                <w:b/>
                <w:bCs/>
                <w:szCs w:val="21"/>
              </w:rPr>
            </w:pPr>
            <w:r>
              <w:rPr>
                <w:rFonts w:hint="eastAsia"/>
                <w:b/>
                <w:bCs/>
                <w:szCs w:val="21"/>
              </w:rPr>
              <w:t>预期学习成果</w:t>
            </w:r>
          </w:p>
          <w:p>
            <w:pPr>
              <w:jc w:val="center"/>
              <w:rPr>
                <w:b/>
                <w:bCs/>
                <w:szCs w:val="21"/>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b/>
                <w:bCs/>
                <w:szCs w:val="21"/>
              </w:rPr>
            </w:pPr>
            <w:r>
              <w:rPr>
                <w:rFonts w:hint="eastAsia"/>
                <w:b/>
                <w:bCs/>
                <w:szCs w:val="21"/>
              </w:rPr>
              <w:t>教学学时</w:t>
            </w:r>
          </w:p>
        </w:tc>
        <w:tc>
          <w:tcPr>
            <w:tcW w:w="975" w:type="dxa"/>
            <w:tcBorders>
              <w:top w:val="single" w:color="auto" w:sz="4" w:space="0"/>
              <w:left w:val="single" w:color="auto" w:sz="4" w:space="0"/>
              <w:bottom w:val="single" w:color="auto" w:sz="4" w:space="0"/>
              <w:right w:val="single" w:color="auto" w:sz="4" w:space="0"/>
            </w:tcBorders>
            <w:noWrap w:val="0"/>
            <w:vAlign w:val="center"/>
          </w:tcPr>
          <w:p>
            <w:pPr>
              <w:jc w:val="center"/>
              <w:rPr>
                <w:b/>
                <w:bCs/>
                <w:szCs w:val="21"/>
              </w:rPr>
            </w:pPr>
            <w:r>
              <w:rPr>
                <w:rFonts w:hint="eastAsia"/>
                <w:b/>
                <w:bCs/>
                <w:szCs w:val="21"/>
              </w:rPr>
              <w:t>教学方式</w:t>
            </w:r>
          </w:p>
        </w:tc>
        <w:tc>
          <w:tcPr>
            <w:tcW w:w="925" w:type="dxa"/>
            <w:tcBorders>
              <w:top w:val="single" w:color="auto" w:sz="4" w:space="0"/>
              <w:left w:val="single" w:color="auto" w:sz="4" w:space="0"/>
              <w:bottom w:val="single" w:color="auto" w:sz="4" w:space="0"/>
              <w:right w:val="single" w:color="auto" w:sz="4" w:space="0"/>
            </w:tcBorders>
            <w:noWrap w:val="0"/>
            <w:vAlign w:val="center"/>
          </w:tcPr>
          <w:p>
            <w:pPr>
              <w:jc w:val="center"/>
              <w:rPr>
                <w:b/>
                <w:bCs/>
                <w:szCs w:val="21"/>
              </w:rPr>
            </w:pPr>
            <w:r>
              <w:rPr>
                <w:rFonts w:hint="eastAsia"/>
                <w:b/>
                <w:bCs/>
                <w:szCs w:val="21"/>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1</w:t>
            </w:r>
          </w:p>
        </w:tc>
        <w:tc>
          <w:tcPr>
            <w:tcW w:w="2632" w:type="dxa"/>
            <w:tcBorders>
              <w:top w:val="single" w:color="auto" w:sz="4" w:space="0"/>
              <w:left w:val="single" w:color="auto" w:sz="4" w:space="0"/>
              <w:bottom w:val="single" w:color="auto" w:sz="4" w:space="0"/>
              <w:right w:val="single" w:color="auto" w:sz="4" w:space="0"/>
            </w:tcBorders>
            <w:noWrap w:val="0"/>
            <w:vAlign w:val="center"/>
          </w:tcPr>
          <w:p>
            <w:pPr>
              <w:rPr>
                <w:b/>
                <w:kern w:val="0"/>
                <w:szCs w:val="21"/>
              </w:rPr>
            </w:pPr>
            <w:r>
              <w:rPr>
                <w:rFonts w:hint="eastAsia"/>
                <w:b/>
                <w:kern w:val="0"/>
                <w:szCs w:val="21"/>
              </w:rPr>
              <w:t>绪论</w:t>
            </w:r>
          </w:p>
          <w:p>
            <w:pPr>
              <w:rPr>
                <w:kern w:val="0"/>
                <w:szCs w:val="21"/>
              </w:rPr>
            </w:pPr>
            <w:r>
              <w:rPr>
                <w:rFonts w:hint="eastAsia"/>
                <w:kern w:val="0"/>
                <w:szCs w:val="21"/>
              </w:rPr>
              <w:t>化学工业的概念、特点及地位；化工技术经济学的形成、特点及作用</w:t>
            </w:r>
          </w:p>
          <w:p>
            <w:pPr>
              <w:rPr>
                <w:bCs/>
                <w:kern w:val="0"/>
                <w:szCs w:val="21"/>
              </w:rPr>
            </w:pPr>
            <w:r>
              <w:rPr>
                <w:rFonts w:hint="eastAsia"/>
                <w:b/>
                <w:kern w:val="0"/>
                <w:szCs w:val="21"/>
              </w:rPr>
              <w:t>重点和难点：</w:t>
            </w:r>
            <w:r>
              <w:rPr>
                <w:rFonts w:hint="eastAsia"/>
                <w:kern w:val="0"/>
                <w:szCs w:val="21"/>
              </w:rPr>
              <w:t>化工技术经济学的形成、特点及作用</w:t>
            </w:r>
          </w:p>
          <w:p>
            <w:pPr>
              <w:rPr>
                <w:bCs/>
                <w:kern w:val="0"/>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rPr>
                <w:kern w:val="0"/>
                <w:szCs w:val="21"/>
              </w:rPr>
            </w:pPr>
            <w:r>
              <w:rPr>
                <w:rFonts w:hint="eastAsia"/>
                <w:kern w:val="0"/>
                <w:szCs w:val="21"/>
              </w:rPr>
              <w:t>了解中国化工企业管理的发展历史，体会中国经济发展的政策变化</w:t>
            </w:r>
          </w:p>
        </w:tc>
        <w:tc>
          <w:tcPr>
            <w:tcW w:w="2028"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rPr>
                <w:kern w:val="0"/>
                <w:szCs w:val="21"/>
              </w:rPr>
            </w:pPr>
            <w:r>
              <w:rPr>
                <w:rFonts w:hint="eastAsia"/>
                <w:kern w:val="0"/>
                <w:szCs w:val="21"/>
              </w:rPr>
              <w:t>了解技术经济学研究的内容和方法，技术经济学研究的内容和方法。</w:t>
            </w: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2</w:t>
            </w:r>
          </w:p>
        </w:tc>
        <w:tc>
          <w:tcPr>
            <w:tcW w:w="975" w:type="dxa"/>
            <w:tcBorders>
              <w:top w:val="single" w:color="auto" w:sz="4" w:space="0"/>
              <w:left w:val="single" w:color="auto" w:sz="4" w:space="0"/>
              <w:bottom w:val="single" w:color="auto" w:sz="4" w:space="0"/>
              <w:right w:val="single" w:color="auto" w:sz="4" w:space="0"/>
            </w:tcBorders>
            <w:noWrap w:val="0"/>
            <w:vAlign w:val="center"/>
          </w:tcPr>
          <w:p>
            <w:pPr>
              <w:rPr>
                <w:szCs w:val="21"/>
              </w:rPr>
            </w:pPr>
          </w:p>
        </w:tc>
        <w:tc>
          <w:tcPr>
            <w:tcW w:w="925" w:type="dxa"/>
            <w:tcBorders>
              <w:top w:val="single" w:color="auto" w:sz="4" w:space="0"/>
              <w:left w:val="single" w:color="auto" w:sz="4" w:space="0"/>
              <w:bottom w:val="single" w:color="auto" w:sz="4" w:space="0"/>
              <w:right w:val="single" w:color="auto" w:sz="4" w:space="0"/>
            </w:tcBorders>
            <w:noWrap w:val="0"/>
            <w:vAlign w:val="center"/>
          </w:tcPr>
          <w:p>
            <w:pPr>
              <w:jc w:val="center"/>
              <w:rPr>
                <w:b/>
                <w:kern w:val="0"/>
                <w:szCs w:val="21"/>
              </w:rPr>
            </w:pPr>
            <w:r>
              <w:rPr>
                <w:rFonts w:hint="eastAsia"/>
                <w:b/>
                <w:kern w:val="0"/>
                <w:szCs w:val="21"/>
              </w:rPr>
              <w:t>目标</w:t>
            </w:r>
            <w:r>
              <w:rPr>
                <w:b/>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2</w:t>
            </w:r>
          </w:p>
        </w:tc>
        <w:tc>
          <w:tcPr>
            <w:tcW w:w="2632" w:type="dxa"/>
            <w:tcBorders>
              <w:top w:val="single" w:color="auto" w:sz="4" w:space="0"/>
              <w:left w:val="single" w:color="auto" w:sz="4" w:space="0"/>
              <w:bottom w:val="single" w:color="auto" w:sz="4" w:space="0"/>
              <w:right w:val="single" w:color="auto" w:sz="4" w:space="0"/>
            </w:tcBorders>
            <w:noWrap w:val="0"/>
            <w:vAlign w:val="center"/>
          </w:tcPr>
          <w:p>
            <w:pPr>
              <w:rPr>
                <w:b/>
                <w:kern w:val="0"/>
                <w:szCs w:val="21"/>
              </w:rPr>
            </w:pPr>
            <w:r>
              <w:rPr>
                <w:rFonts w:hint="eastAsia"/>
                <w:b/>
                <w:kern w:val="0"/>
                <w:szCs w:val="21"/>
              </w:rPr>
              <w:t>化工技术经济分析的基本要素</w:t>
            </w:r>
          </w:p>
          <w:p>
            <w:pPr>
              <w:rPr>
                <w:bCs/>
                <w:kern w:val="0"/>
                <w:szCs w:val="21"/>
              </w:rPr>
            </w:pPr>
            <w:r>
              <w:rPr>
                <w:rFonts w:hint="eastAsia"/>
                <w:bCs/>
                <w:kern w:val="0"/>
                <w:szCs w:val="21"/>
              </w:rPr>
              <w:t>经济效益、投资和融资、固定资产的折旧、产品成本与项目成本、销售收入、税金和利润</w:t>
            </w:r>
          </w:p>
          <w:p>
            <w:pPr>
              <w:rPr>
                <w:b/>
                <w:kern w:val="0"/>
                <w:szCs w:val="21"/>
              </w:rPr>
            </w:pPr>
            <w:r>
              <w:rPr>
                <w:rFonts w:hint="eastAsia"/>
                <w:b/>
                <w:kern w:val="0"/>
                <w:szCs w:val="21"/>
              </w:rPr>
              <w:t>重点和难点：</w:t>
            </w:r>
            <w:r>
              <w:rPr>
                <w:rFonts w:hint="eastAsia"/>
                <w:bCs/>
                <w:kern w:val="0"/>
                <w:szCs w:val="21"/>
              </w:rPr>
              <w:t>产品成本与项目成本、销售收入、税金和利润</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rPr>
                <w:kern w:val="0"/>
                <w:szCs w:val="21"/>
              </w:rPr>
            </w:pPr>
          </w:p>
        </w:tc>
        <w:tc>
          <w:tcPr>
            <w:tcW w:w="2028"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rPr>
                <w:kern w:val="0"/>
                <w:szCs w:val="21"/>
              </w:rPr>
            </w:pPr>
            <w:r>
              <w:rPr>
                <w:rFonts w:hint="eastAsia"/>
                <w:kern w:val="0"/>
                <w:szCs w:val="21"/>
              </w:rPr>
              <w:t>掌握经济效益的概念和构成以及一般指标，了解其他基本要素的概念并利用基本关系核算基本要素以及基本要素的相互关系和计算方法。</w:t>
            </w: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szCs w:val="21"/>
                <w:lang w:eastAsia="zh-CN"/>
              </w:rPr>
            </w:pPr>
            <w:r>
              <w:rPr>
                <w:rFonts w:hint="eastAsia"/>
                <w:szCs w:val="21"/>
                <w:lang w:val="en-US" w:eastAsia="zh-CN"/>
              </w:rPr>
              <w:t>2</w:t>
            </w:r>
          </w:p>
        </w:tc>
        <w:tc>
          <w:tcPr>
            <w:tcW w:w="975" w:type="dxa"/>
            <w:tcBorders>
              <w:top w:val="single" w:color="auto" w:sz="4" w:space="0"/>
              <w:left w:val="single" w:color="auto" w:sz="4" w:space="0"/>
              <w:bottom w:val="single" w:color="auto" w:sz="4" w:space="0"/>
              <w:right w:val="single" w:color="auto" w:sz="4" w:space="0"/>
            </w:tcBorders>
            <w:noWrap w:val="0"/>
            <w:vAlign w:val="center"/>
          </w:tcPr>
          <w:p>
            <w:pPr>
              <w:rPr>
                <w:szCs w:val="21"/>
              </w:rPr>
            </w:pPr>
            <w:r>
              <w:rPr>
                <w:rFonts w:hint="eastAsia"/>
                <w:szCs w:val="21"/>
              </w:rPr>
              <w:t>讲授</w:t>
            </w:r>
            <w:r>
              <w:rPr>
                <w:szCs w:val="21"/>
              </w:rPr>
              <w:t>/</w:t>
            </w:r>
            <w:r>
              <w:rPr>
                <w:rFonts w:hint="eastAsia"/>
                <w:szCs w:val="21"/>
              </w:rPr>
              <w:t>讨论</w:t>
            </w:r>
            <w:r>
              <w:rPr>
                <w:szCs w:val="21"/>
              </w:rPr>
              <w:t>/</w:t>
            </w:r>
            <w:r>
              <w:rPr>
                <w:rFonts w:hint="eastAsia"/>
                <w:szCs w:val="21"/>
              </w:rPr>
              <w:t>实例教学等</w:t>
            </w:r>
          </w:p>
        </w:tc>
        <w:tc>
          <w:tcPr>
            <w:tcW w:w="92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b/>
                <w:kern w:val="0"/>
                <w:szCs w:val="21"/>
              </w:rPr>
              <w:t>目标</w:t>
            </w:r>
            <w:r>
              <w:rPr>
                <w:b/>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3</w:t>
            </w:r>
          </w:p>
        </w:tc>
        <w:tc>
          <w:tcPr>
            <w:tcW w:w="2632" w:type="dxa"/>
            <w:tcBorders>
              <w:top w:val="single" w:color="auto" w:sz="4" w:space="0"/>
              <w:left w:val="single" w:color="auto" w:sz="4" w:space="0"/>
              <w:bottom w:val="single" w:color="auto" w:sz="4" w:space="0"/>
              <w:right w:val="single" w:color="auto" w:sz="4" w:space="0"/>
            </w:tcBorders>
            <w:noWrap w:val="0"/>
            <w:vAlign w:val="center"/>
          </w:tcPr>
          <w:p>
            <w:pPr>
              <w:rPr>
                <w:kern w:val="0"/>
                <w:szCs w:val="21"/>
              </w:rPr>
            </w:pPr>
            <w:r>
              <w:rPr>
                <w:rFonts w:hint="eastAsia"/>
                <w:b/>
                <w:kern w:val="0"/>
                <w:szCs w:val="21"/>
              </w:rPr>
              <w:t>化工技术经济的基本原理：</w:t>
            </w:r>
            <w:r>
              <w:rPr>
                <w:rFonts w:hint="eastAsia"/>
                <w:kern w:val="0"/>
                <w:szCs w:val="21"/>
              </w:rPr>
              <w:t>可比性原则及资金的时间价值、现金流量及现金流量图、资金等效值及其计算、项目组织</w:t>
            </w:r>
          </w:p>
          <w:p>
            <w:pPr>
              <w:rPr>
                <w:kern w:val="0"/>
                <w:szCs w:val="21"/>
              </w:rPr>
            </w:pPr>
            <w:r>
              <w:rPr>
                <w:rFonts w:hint="eastAsia"/>
                <w:b/>
                <w:kern w:val="0"/>
                <w:szCs w:val="21"/>
              </w:rPr>
              <w:t>重点和难点：</w:t>
            </w:r>
            <w:r>
              <w:rPr>
                <w:rFonts w:hint="eastAsia"/>
                <w:kern w:val="0"/>
                <w:szCs w:val="21"/>
              </w:rPr>
              <w:t>现金流量及现金流量图、资金等效值及其计算</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rPr>
                <w:szCs w:val="21"/>
              </w:rPr>
            </w:pPr>
          </w:p>
        </w:tc>
        <w:tc>
          <w:tcPr>
            <w:tcW w:w="2028" w:type="dxa"/>
            <w:tcBorders>
              <w:top w:val="single" w:color="auto" w:sz="4" w:space="0"/>
              <w:left w:val="single" w:color="auto" w:sz="4" w:space="0"/>
              <w:bottom w:val="single" w:color="auto" w:sz="4" w:space="0"/>
              <w:right w:val="single" w:color="auto" w:sz="4" w:space="0"/>
            </w:tcBorders>
            <w:noWrap w:val="0"/>
            <w:vAlign w:val="center"/>
          </w:tcPr>
          <w:p>
            <w:pPr>
              <w:rPr>
                <w:szCs w:val="21"/>
              </w:rPr>
            </w:pPr>
            <w:r>
              <w:rPr>
                <w:rFonts w:hint="eastAsia"/>
                <w:kern w:val="0"/>
                <w:szCs w:val="21"/>
              </w:rPr>
              <w:t>掌握现金流量图绘制和资金等效值计算</w:t>
            </w: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szCs w:val="21"/>
                <w:lang w:eastAsia="zh-CN"/>
              </w:rPr>
            </w:pPr>
            <w:r>
              <w:rPr>
                <w:rFonts w:hint="eastAsia"/>
                <w:szCs w:val="21"/>
                <w:lang w:val="en-US" w:eastAsia="zh-CN"/>
              </w:rPr>
              <w:t>2</w:t>
            </w:r>
          </w:p>
        </w:tc>
        <w:tc>
          <w:tcPr>
            <w:tcW w:w="975" w:type="dxa"/>
            <w:tcBorders>
              <w:top w:val="single" w:color="auto" w:sz="4" w:space="0"/>
              <w:left w:val="single" w:color="auto" w:sz="4" w:space="0"/>
              <w:bottom w:val="single" w:color="auto" w:sz="4" w:space="0"/>
              <w:right w:val="single" w:color="auto" w:sz="4" w:space="0"/>
            </w:tcBorders>
            <w:noWrap w:val="0"/>
            <w:vAlign w:val="center"/>
          </w:tcPr>
          <w:p>
            <w:pPr>
              <w:rPr>
                <w:szCs w:val="21"/>
              </w:rPr>
            </w:pPr>
            <w:r>
              <w:rPr>
                <w:rFonts w:hint="eastAsia"/>
                <w:szCs w:val="21"/>
              </w:rPr>
              <w:t>讲授</w:t>
            </w:r>
            <w:r>
              <w:rPr>
                <w:szCs w:val="21"/>
              </w:rPr>
              <w:t>/</w:t>
            </w:r>
            <w:r>
              <w:rPr>
                <w:rFonts w:hint="eastAsia"/>
                <w:szCs w:val="21"/>
              </w:rPr>
              <w:t>实验</w:t>
            </w:r>
            <w:r>
              <w:rPr>
                <w:szCs w:val="21"/>
              </w:rPr>
              <w:t>/</w:t>
            </w:r>
            <w:r>
              <w:rPr>
                <w:rFonts w:hint="eastAsia"/>
                <w:szCs w:val="21"/>
              </w:rPr>
              <w:t>讨论</w:t>
            </w:r>
            <w:r>
              <w:rPr>
                <w:szCs w:val="21"/>
              </w:rPr>
              <w:t>/</w:t>
            </w:r>
            <w:r>
              <w:rPr>
                <w:rFonts w:hint="eastAsia"/>
                <w:szCs w:val="21"/>
              </w:rPr>
              <w:t>等</w:t>
            </w:r>
          </w:p>
        </w:tc>
        <w:tc>
          <w:tcPr>
            <w:tcW w:w="925" w:type="dxa"/>
            <w:tcBorders>
              <w:top w:val="single" w:color="auto" w:sz="4" w:space="0"/>
              <w:left w:val="single" w:color="auto" w:sz="4" w:space="0"/>
              <w:bottom w:val="single" w:color="auto" w:sz="4" w:space="0"/>
              <w:right w:val="single" w:color="auto" w:sz="4" w:space="0"/>
            </w:tcBorders>
            <w:noWrap w:val="0"/>
            <w:vAlign w:val="center"/>
          </w:tcPr>
          <w:p>
            <w:pPr>
              <w:jc w:val="center"/>
              <w:rPr>
                <w:kern w:val="0"/>
                <w:szCs w:val="21"/>
              </w:rPr>
            </w:pPr>
            <w:r>
              <w:rPr>
                <w:rFonts w:hint="eastAsia"/>
                <w:b/>
                <w:kern w:val="0"/>
                <w:szCs w:val="21"/>
              </w:rPr>
              <w:t>目标</w:t>
            </w:r>
            <w:r>
              <w:rPr>
                <w:b/>
                <w:kern w:val="0"/>
                <w:szCs w:val="21"/>
              </w:rPr>
              <w:t>2</w:t>
            </w:r>
          </w:p>
          <w:p>
            <w:pPr>
              <w:jc w:val="center"/>
              <w:rPr>
                <w:szCs w:val="21"/>
              </w:rPr>
            </w:pPr>
            <w:r>
              <w:rPr>
                <w:rFonts w:hint="eastAsia"/>
                <w:b/>
                <w:kern w:val="0"/>
                <w:szCs w:val="21"/>
              </w:rPr>
              <w:t>目标</w:t>
            </w:r>
            <w:r>
              <w:rPr>
                <w:b/>
                <w:kern w:val="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4</w:t>
            </w:r>
          </w:p>
        </w:tc>
        <w:tc>
          <w:tcPr>
            <w:tcW w:w="2632" w:type="dxa"/>
            <w:tcBorders>
              <w:top w:val="single" w:color="auto" w:sz="4" w:space="0"/>
              <w:left w:val="single" w:color="auto" w:sz="4" w:space="0"/>
              <w:bottom w:val="single" w:color="auto" w:sz="4" w:space="0"/>
              <w:right w:val="single" w:color="auto" w:sz="4" w:space="0"/>
            </w:tcBorders>
            <w:noWrap w:val="0"/>
            <w:vAlign w:val="center"/>
          </w:tcPr>
          <w:p>
            <w:pPr>
              <w:rPr>
                <w:kern w:val="0"/>
                <w:szCs w:val="21"/>
              </w:rPr>
            </w:pPr>
            <w:r>
              <w:rPr>
                <w:rFonts w:hint="eastAsia"/>
                <w:b/>
                <w:kern w:val="0"/>
                <w:szCs w:val="21"/>
              </w:rPr>
              <w:t>经济评价方法：</w:t>
            </w:r>
            <w:r>
              <w:rPr>
                <w:rFonts w:hint="eastAsia"/>
                <w:kern w:val="0"/>
                <w:szCs w:val="21"/>
              </w:rPr>
              <w:t>静态评估方法、动态评价方法、多方案评价及选择、各种评价方案小结</w:t>
            </w:r>
          </w:p>
          <w:p>
            <w:pPr>
              <w:rPr>
                <w:kern w:val="0"/>
                <w:szCs w:val="21"/>
              </w:rPr>
            </w:pPr>
            <w:r>
              <w:rPr>
                <w:rFonts w:hint="eastAsia"/>
                <w:b/>
                <w:kern w:val="0"/>
                <w:szCs w:val="21"/>
              </w:rPr>
              <w:t>重点和难点：</w:t>
            </w:r>
            <w:r>
              <w:rPr>
                <w:rFonts w:hint="eastAsia"/>
                <w:kern w:val="0"/>
                <w:szCs w:val="21"/>
              </w:rPr>
              <w:t>动态评价方法、多方案评价及选择</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rPr>
                <w:szCs w:val="21"/>
              </w:rPr>
            </w:pPr>
          </w:p>
        </w:tc>
        <w:tc>
          <w:tcPr>
            <w:tcW w:w="2028" w:type="dxa"/>
            <w:tcBorders>
              <w:top w:val="single" w:color="auto" w:sz="4" w:space="0"/>
              <w:left w:val="single" w:color="auto" w:sz="4" w:space="0"/>
              <w:bottom w:val="single" w:color="auto" w:sz="4" w:space="0"/>
              <w:right w:val="single" w:color="auto" w:sz="4" w:space="0"/>
            </w:tcBorders>
            <w:noWrap w:val="0"/>
            <w:vAlign w:val="center"/>
          </w:tcPr>
          <w:p>
            <w:pPr>
              <w:rPr>
                <w:szCs w:val="21"/>
              </w:rPr>
            </w:pPr>
            <w:r>
              <w:rPr>
                <w:rFonts w:hint="eastAsia"/>
                <w:kern w:val="0"/>
                <w:szCs w:val="21"/>
              </w:rPr>
              <w:t>掌握静态和动态经济。</w:t>
            </w: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szCs w:val="21"/>
                <w:lang w:eastAsia="zh-CN"/>
              </w:rPr>
            </w:pPr>
            <w:r>
              <w:rPr>
                <w:rFonts w:hint="eastAsia"/>
                <w:szCs w:val="21"/>
                <w:lang w:val="en-US" w:eastAsia="zh-CN"/>
              </w:rPr>
              <w:t>2</w:t>
            </w:r>
          </w:p>
        </w:tc>
        <w:tc>
          <w:tcPr>
            <w:tcW w:w="975" w:type="dxa"/>
            <w:tcBorders>
              <w:top w:val="single" w:color="auto" w:sz="4" w:space="0"/>
              <w:left w:val="single" w:color="auto" w:sz="4" w:space="0"/>
              <w:bottom w:val="single" w:color="auto" w:sz="4" w:space="0"/>
              <w:right w:val="single" w:color="auto" w:sz="4" w:space="0"/>
            </w:tcBorders>
            <w:noWrap w:val="0"/>
            <w:vAlign w:val="center"/>
          </w:tcPr>
          <w:p>
            <w:pPr>
              <w:rPr>
                <w:szCs w:val="21"/>
              </w:rPr>
            </w:pPr>
            <w:r>
              <w:rPr>
                <w:rFonts w:hint="eastAsia"/>
                <w:szCs w:val="21"/>
              </w:rPr>
              <w:t>讲授</w:t>
            </w:r>
            <w:r>
              <w:rPr>
                <w:szCs w:val="21"/>
              </w:rPr>
              <w:t>/</w:t>
            </w:r>
            <w:r>
              <w:rPr>
                <w:rFonts w:hint="eastAsia"/>
                <w:szCs w:val="21"/>
              </w:rPr>
              <w:t>讨论</w:t>
            </w:r>
            <w:r>
              <w:rPr>
                <w:szCs w:val="21"/>
              </w:rPr>
              <w:t>/</w:t>
            </w:r>
            <w:r>
              <w:rPr>
                <w:rFonts w:hint="eastAsia"/>
                <w:szCs w:val="21"/>
              </w:rPr>
              <w:t>等</w:t>
            </w:r>
          </w:p>
        </w:tc>
        <w:tc>
          <w:tcPr>
            <w:tcW w:w="92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b/>
                <w:kern w:val="0"/>
                <w:szCs w:val="21"/>
              </w:rPr>
              <w:t>目标</w:t>
            </w:r>
            <w:r>
              <w:rPr>
                <w:b/>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5</w:t>
            </w:r>
          </w:p>
        </w:tc>
        <w:tc>
          <w:tcPr>
            <w:tcW w:w="2632" w:type="dxa"/>
            <w:tcBorders>
              <w:top w:val="single" w:color="auto" w:sz="4" w:space="0"/>
              <w:left w:val="single" w:color="auto" w:sz="4" w:space="0"/>
              <w:bottom w:val="single" w:color="auto" w:sz="4" w:space="0"/>
              <w:right w:val="single" w:color="auto" w:sz="4" w:space="0"/>
            </w:tcBorders>
            <w:noWrap w:val="0"/>
            <w:vAlign w:val="center"/>
          </w:tcPr>
          <w:p>
            <w:pPr>
              <w:rPr>
                <w:kern w:val="0"/>
                <w:szCs w:val="21"/>
              </w:rPr>
            </w:pPr>
            <w:r>
              <w:rPr>
                <w:rFonts w:hint="eastAsia"/>
                <w:b/>
                <w:kern w:val="0"/>
                <w:szCs w:val="21"/>
              </w:rPr>
              <w:t>不定性分析及风险决策：</w:t>
            </w:r>
            <w:r>
              <w:rPr>
                <w:rFonts w:hint="eastAsia"/>
                <w:kern w:val="0"/>
                <w:szCs w:val="21"/>
              </w:rPr>
              <w:t>盈亏平衡分析、敏感性分析</w:t>
            </w:r>
          </w:p>
          <w:p>
            <w:pPr>
              <w:rPr>
                <w:kern w:val="0"/>
                <w:szCs w:val="21"/>
              </w:rPr>
            </w:pPr>
            <w:r>
              <w:rPr>
                <w:rFonts w:hint="eastAsia"/>
                <w:kern w:val="0"/>
                <w:szCs w:val="21"/>
              </w:rPr>
              <w:t>、概率分析、风险决策</w:t>
            </w:r>
          </w:p>
          <w:p>
            <w:pPr>
              <w:rPr>
                <w:kern w:val="0"/>
                <w:szCs w:val="21"/>
              </w:rPr>
            </w:pPr>
            <w:r>
              <w:rPr>
                <w:rFonts w:hint="eastAsia"/>
                <w:b/>
                <w:kern w:val="0"/>
                <w:szCs w:val="21"/>
              </w:rPr>
              <w:t>重点和难点：</w:t>
            </w:r>
            <w:r>
              <w:rPr>
                <w:rFonts w:hint="eastAsia"/>
                <w:kern w:val="0"/>
                <w:szCs w:val="21"/>
              </w:rPr>
              <w:t>敏感性分析</w:t>
            </w:r>
          </w:p>
          <w:p>
            <w:pPr>
              <w:rPr>
                <w:kern w:val="0"/>
                <w:szCs w:val="21"/>
              </w:rPr>
            </w:pPr>
            <w:r>
              <w:rPr>
                <w:rFonts w:hint="eastAsia"/>
                <w:kern w:val="0"/>
                <w:szCs w:val="21"/>
              </w:rPr>
              <w:t>、概率分析、风险决策</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rPr>
                <w:szCs w:val="21"/>
              </w:rPr>
            </w:pPr>
          </w:p>
        </w:tc>
        <w:tc>
          <w:tcPr>
            <w:tcW w:w="2028"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rPr>
                <w:szCs w:val="21"/>
              </w:rPr>
            </w:pPr>
            <w:r>
              <w:rPr>
                <w:rFonts w:hint="eastAsia"/>
                <w:kern w:val="0"/>
                <w:szCs w:val="21"/>
              </w:rPr>
              <w:t>掌握三种不确定性分析方法。</w:t>
            </w: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szCs w:val="21"/>
                <w:lang w:eastAsia="zh-CN"/>
              </w:rPr>
            </w:pPr>
            <w:r>
              <w:rPr>
                <w:rFonts w:hint="eastAsia"/>
                <w:szCs w:val="21"/>
                <w:lang w:val="en-US" w:eastAsia="zh-CN"/>
              </w:rPr>
              <w:t>2</w:t>
            </w:r>
          </w:p>
        </w:tc>
        <w:tc>
          <w:tcPr>
            <w:tcW w:w="975" w:type="dxa"/>
            <w:tcBorders>
              <w:top w:val="single" w:color="auto" w:sz="4" w:space="0"/>
              <w:left w:val="single" w:color="auto" w:sz="4" w:space="0"/>
              <w:bottom w:val="single" w:color="auto" w:sz="4" w:space="0"/>
              <w:right w:val="single" w:color="auto" w:sz="4" w:space="0"/>
            </w:tcBorders>
            <w:noWrap w:val="0"/>
            <w:vAlign w:val="center"/>
          </w:tcPr>
          <w:p>
            <w:pPr>
              <w:rPr>
                <w:szCs w:val="21"/>
              </w:rPr>
            </w:pPr>
            <w:r>
              <w:rPr>
                <w:rFonts w:hint="eastAsia"/>
                <w:szCs w:val="21"/>
              </w:rPr>
              <w:t>讲授</w:t>
            </w:r>
            <w:r>
              <w:rPr>
                <w:szCs w:val="21"/>
              </w:rPr>
              <w:t>/</w:t>
            </w:r>
            <w:r>
              <w:rPr>
                <w:rFonts w:hint="eastAsia"/>
                <w:szCs w:val="21"/>
              </w:rPr>
              <w:t>实验</w:t>
            </w:r>
            <w:r>
              <w:rPr>
                <w:szCs w:val="21"/>
              </w:rPr>
              <w:t>/</w:t>
            </w:r>
            <w:r>
              <w:rPr>
                <w:rFonts w:hint="eastAsia"/>
                <w:szCs w:val="21"/>
              </w:rPr>
              <w:t>讨论</w:t>
            </w:r>
            <w:r>
              <w:rPr>
                <w:szCs w:val="21"/>
              </w:rPr>
              <w:t>/</w:t>
            </w:r>
            <w:r>
              <w:rPr>
                <w:rFonts w:hint="eastAsia"/>
                <w:szCs w:val="21"/>
              </w:rPr>
              <w:t>等</w:t>
            </w:r>
          </w:p>
        </w:tc>
        <w:tc>
          <w:tcPr>
            <w:tcW w:w="925" w:type="dxa"/>
            <w:tcBorders>
              <w:top w:val="single" w:color="auto" w:sz="4" w:space="0"/>
              <w:left w:val="single" w:color="auto" w:sz="4" w:space="0"/>
              <w:bottom w:val="single" w:color="auto" w:sz="4" w:space="0"/>
              <w:right w:val="single" w:color="auto" w:sz="4" w:space="0"/>
            </w:tcBorders>
            <w:noWrap w:val="0"/>
            <w:vAlign w:val="center"/>
          </w:tcPr>
          <w:p>
            <w:pPr>
              <w:jc w:val="center"/>
              <w:rPr>
                <w:kern w:val="0"/>
                <w:szCs w:val="21"/>
              </w:rPr>
            </w:pPr>
            <w:r>
              <w:rPr>
                <w:rFonts w:hint="eastAsia"/>
                <w:b/>
                <w:kern w:val="0"/>
                <w:szCs w:val="21"/>
              </w:rPr>
              <w:t>目标</w:t>
            </w:r>
            <w:r>
              <w:rPr>
                <w:b/>
                <w:kern w:val="0"/>
                <w:szCs w:val="21"/>
              </w:rPr>
              <w:t>2</w:t>
            </w:r>
          </w:p>
          <w:p>
            <w:pPr>
              <w:jc w:val="center"/>
              <w:rPr>
                <w:szCs w:val="21"/>
              </w:rPr>
            </w:pPr>
            <w:r>
              <w:rPr>
                <w:rFonts w:hint="eastAsia"/>
                <w:b/>
                <w:kern w:val="0"/>
                <w:szCs w:val="21"/>
              </w:rPr>
              <w:t>目标</w:t>
            </w:r>
            <w:r>
              <w:rPr>
                <w:b/>
                <w:kern w:val="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6</w:t>
            </w:r>
          </w:p>
        </w:tc>
        <w:tc>
          <w:tcPr>
            <w:tcW w:w="2632" w:type="dxa"/>
            <w:tcBorders>
              <w:top w:val="single" w:color="auto" w:sz="4" w:space="0"/>
              <w:left w:val="single" w:color="auto" w:sz="4" w:space="0"/>
              <w:bottom w:val="single" w:color="auto" w:sz="4" w:space="0"/>
              <w:right w:val="single" w:color="auto" w:sz="4" w:space="0"/>
            </w:tcBorders>
            <w:noWrap w:val="0"/>
            <w:vAlign w:val="center"/>
          </w:tcPr>
          <w:p>
            <w:pPr>
              <w:rPr>
                <w:kern w:val="0"/>
                <w:szCs w:val="21"/>
              </w:rPr>
            </w:pPr>
            <w:r>
              <w:rPr>
                <w:rFonts w:hint="eastAsia"/>
                <w:b/>
                <w:kern w:val="0"/>
                <w:szCs w:val="21"/>
              </w:rPr>
              <w:t>技术经济预测方法：</w:t>
            </w:r>
            <w:r>
              <w:rPr>
                <w:rFonts w:hint="eastAsia"/>
                <w:kern w:val="0"/>
                <w:szCs w:val="21"/>
              </w:rPr>
              <w:t>预测的概念、作用、特点、分类及基本步骤、定性预测的方法、定量预测的方法</w:t>
            </w:r>
          </w:p>
          <w:p>
            <w:pPr>
              <w:rPr>
                <w:kern w:val="0"/>
                <w:szCs w:val="21"/>
              </w:rPr>
            </w:pPr>
            <w:r>
              <w:rPr>
                <w:rFonts w:hint="eastAsia"/>
                <w:b/>
                <w:kern w:val="0"/>
                <w:szCs w:val="21"/>
              </w:rPr>
              <w:t>重点和难点：</w:t>
            </w:r>
            <w:r>
              <w:rPr>
                <w:rFonts w:hint="eastAsia"/>
                <w:kern w:val="0"/>
                <w:szCs w:val="21"/>
              </w:rPr>
              <w:t>定量预测的方法</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rPr>
                <w:szCs w:val="21"/>
              </w:rPr>
            </w:pPr>
          </w:p>
        </w:tc>
        <w:tc>
          <w:tcPr>
            <w:tcW w:w="2028" w:type="dxa"/>
            <w:tcBorders>
              <w:top w:val="single" w:color="auto" w:sz="4" w:space="0"/>
              <w:left w:val="single" w:color="auto" w:sz="4" w:space="0"/>
              <w:bottom w:val="single" w:color="auto" w:sz="4" w:space="0"/>
              <w:right w:val="single" w:color="auto" w:sz="4" w:space="0"/>
            </w:tcBorders>
            <w:noWrap w:val="0"/>
            <w:vAlign w:val="center"/>
          </w:tcPr>
          <w:p>
            <w:pPr>
              <w:rPr>
                <w:szCs w:val="21"/>
              </w:rPr>
            </w:pPr>
            <w:r>
              <w:rPr>
                <w:rFonts w:hint="eastAsia"/>
                <w:kern w:val="0"/>
                <w:szCs w:val="21"/>
              </w:rPr>
              <w:t>掌握预测的基础、方法和可靠性及时间序列法和回归分析法计算。</w:t>
            </w: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szCs w:val="21"/>
                <w:lang w:eastAsia="zh-CN"/>
              </w:rPr>
            </w:pPr>
            <w:r>
              <w:rPr>
                <w:rFonts w:hint="eastAsia"/>
                <w:szCs w:val="21"/>
                <w:lang w:val="en-US" w:eastAsia="zh-CN"/>
              </w:rPr>
              <w:t>2</w:t>
            </w:r>
          </w:p>
        </w:tc>
        <w:tc>
          <w:tcPr>
            <w:tcW w:w="975" w:type="dxa"/>
            <w:tcBorders>
              <w:top w:val="single" w:color="auto" w:sz="4" w:space="0"/>
              <w:left w:val="single" w:color="auto" w:sz="4" w:space="0"/>
              <w:bottom w:val="single" w:color="auto" w:sz="4" w:space="0"/>
              <w:right w:val="single" w:color="auto" w:sz="4" w:space="0"/>
            </w:tcBorders>
            <w:noWrap w:val="0"/>
            <w:vAlign w:val="center"/>
          </w:tcPr>
          <w:p>
            <w:pPr>
              <w:rPr>
                <w:szCs w:val="21"/>
              </w:rPr>
            </w:pPr>
            <w:r>
              <w:rPr>
                <w:rFonts w:hint="eastAsia"/>
                <w:szCs w:val="21"/>
              </w:rPr>
              <w:t>讲授</w:t>
            </w:r>
            <w:r>
              <w:rPr>
                <w:szCs w:val="21"/>
              </w:rPr>
              <w:t>/</w:t>
            </w:r>
            <w:r>
              <w:rPr>
                <w:rFonts w:hint="eastAsia"/>
                <w:szCs w:val="21"/>
              </w:rPr>
              <w:t>讨论</w:t>
            </w:r>
            <w:r>
              <w:rPr>
                <w:szCs w:val="21"/>
              </w:rPr>
              <w:t>/</w:t>
            </w:r>
            <w:r>
              <w:rPr>
                <w:rFonts w:hint="eastAsia"/>
                <w:szCs w:val="21"/>
              </w:rPr>
              <w:t>等</w:t>
            </w:r>
          </w:p>
        </w:tc>
        <w:tc>
          <w:tcPr>
            <w:tcW w:w="925"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b/>
                <w:kern w:val="0"/>
                <w:szCs w:val="21"/>
              </w:rPr>
              <w:t>目标</w:t>
            </w:r>
            <w:r>
              <w:rPr>
                <w:b/>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7</w:t>
            </w:r>
          </w:p>
        </w:tc>
        <w:tc>
          <w:tcPr>
            <w:tcW w:w="2632" w:type="dxa"/>
            <w:tcBorders>
              <w:top w:val="single" w:color="auto" w:sz="4" w:space="0"/>
              <w:left w:val="single" w:color="auto" w:sz="4" w:space="0"/>
              <w:bottom w:val="single" w:color="auto" w:sz="4" w:space="0"/>
              <w:right w:val="single" w:color="auto" w:sz="4" w:space="0"/>
            </w:tcBorders>
            <w:noWrap w:val="0"/>
            <w:vAlign w:val="center"/>
          </w:tcPr>
          <w:p>
            <w:pPr>
              <w:rPr>
                <w:kern w:val="0"/>
                <w:szCs w:val="21"/>
              </w:rPr>
            </w:pPr>
            <w:r>
              <w:rPr>
                <w:rFonts w:hint="eastAsia"/>
                <w:b/>
                <w:kern w:val="0"/>
                <w:szCs w:val="21"/>
              </w:rPr>
              <w:t>项目可行性分析：</w:t>
            </w:r>
            <w:r>
              <w:rPr>
                <w:rFonts w:hint="eastAsia"/>
                <w:kern w:val="0"/>
                <w:szCs w:val="21"/>
              </w:rPr>
              <w:t>可行性研究概述、市场研究和生产规模、原料路线和工艺技术的选择、厂址选择、投资和资金筹措，项目的财务评价，项目的国民经济评价、工程项目的经济评价</w:t>
            </w:r>
          </w:p>
          <w:p>
            <w:pPr>
              <w:rPr>
                <w:kern w:val="0"/>
                <w:szCs w:val="21"/>
              </w:rPr>
            </w:pPr>
            <w:r>
              <w:rPr>
                <w:rFonts w:hint="eastAsia"/>
                <w:b/>
                <w:kern w:val="0"/>
                <w:szCs w:val="21"/>
              </w:rPr>
              <w:t>重点和难点：</w:t>
            </w:r>
            <w:r>
              <w:rPr>
                <w:rFonts w:hint="eastAsia"/>
                <w:kern w:val="0"/>
                <w:szCs w:val="21"/>
              </w:rPr>
              <w:t>项目的财务评价，项目的国民经济评价、工程项目的经济评价</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rPr>
                <w:kern w:val="0"/>
                <w:szCs w:val="21"/>
              </w:rPr>
            </w:pPr>
          </w:p>
        </w:tc>
        <w:tc>
          <w:tcPr>
            <w:tcW w:w="2028" w:type="dxa"/>
            <w:tcBorders>
              <w:top w:val="single" w:color="auto" w:sz="4" w:space="0"/>
              <w:left w:val="single" w:color="auto" w:sz="4" w:space="0"/>
              <w:bottom w:val="single" w:color="auto" w:sz="4" w:space="0"/>
              <w:right w:val="single" w:color="auto" w:sz="4" w:space="0"/>
            </w:tcBorders>
            <w:noWrap w:val="0"/>
            <w:vAlign w:val="center"/>
          </w:tcPr>
          <w:p>
            <w:pPr>
              <w:rPr>
                <w:kern w:val="0"/>
                <w:szCs w:val="21"/>
              </w:rPr>
            </w:pPr>
            <w:r>
              <w:rPr>
                <w:rFonts w:hint="eastAsia"/>
                <w:kern w:val="0"/>
                <w:szCs w:val="21"/>
              </w:rPr>
              <w:t>掌握项目可行性研究的步骤以及可行性报告的形成，可行性研究的内容及步骤。</w:t>
            </w: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4</w:t>
            </w:r>
          </w:p>
        </w:tc>
        <w:tc>
          <w:tcPr>
            <w:tcW w:w="975" w:type="dxa"/>
            <w:tcBorders>
              <w:top w:val="single" w:color="auto" w:sz="4" w:space="0"/>
              <w:left w:val="single" w:color="auto" w:sz="4" w:space="0"/>
              <w:bottom w:val="single" w:color="auto" w:sz="4" w:space="0"/>
              <w:right w:val="single" w:color="auto" w:sz="4" w:space="0"/>
            </w:tcBorders>
            <w:noWrap w:val="0"/>
            <w:vAlign w:val="center"/>
          </w:tcPr>
          <w:p>
            <w:pPr>
              <w:rPr>
                <w:szCs w:val="21"/>
              </w:rPr>
            </w:pPr>
            <w:r>
              <w:rPr>
                <w:rFonts w:hint="eastAsia"/>
                <w:szCs w:val="21"/>
              </w:rPr>
              <w:t>讲授</w:t>
            </w:r>
            <w:r>
              <w:rPr>
                <w:szCs w:val="21"/>
              </w:rPr>
              <w:t>/</w:t>
            </w:r>
            <w:r>
              <w:rPr>
                <w:rFonts w:hint="eastAsia"/>
                <w:szCs w:val="21"/>
              </w:rPr>
              <w:t>实验</w:t>
            </w:r>
            <w:r>
              <w:rPr>
                <w:szCs w:val="21"/>
              </w:rPr>
              <w:t>/</w:t>
            </w:r>
            <w:r>
              <w:rPr>
                <w:rFonts w:hint="eastAsia"/>
                <w:szCs w:val="21"/>
              </w:rPr>
              <w:t>讨论</w:t>
            </w:r>
            <w:r>
              <w:rPr>
                <w:szCs w:val="21"/>
              </w:rPr>
              <w:t>/</w:t>
            </w:r>
            <w:r>
              <w:rPr>
                <w:rFonts w:hint="eastAsia"/>
                <w:szCs w:val="21"/>
              </w:rPr>
              <w:t>等</w:t>
            </w:r>
          </w:p>
        </w:tc>
        <w:tc>
          <w:tcPr>
            <w:tcW w:w="925" w:type="dxa"/>
            <w:tcBorders>
              <w:top w:val="single" w:color="auto" w:sz="4" w:space="0"/>
              <w:left w:val="single" w:color="auto" w:sz="4" w:space="0"/>
              <w:bottom w:val="single" w:color="auto" w:sz="4" w:space="0"/>
              <w:right w:val="single" w:color="auto" w:sz="4" w:space="0"/>
            </w:tcBorders>
            <w:noWrap w:val="0"/>
            <w:vAlign w:val="center"/>
          </w:tcPr>
          <w:p>
            <w:pPr>
              <w:jc w:val="center"/>
              <w:rPr>
                <w:kern w:val="0"/>
                <w:szCs w:val="21"/>
              </w:rPr>
            </w:pPr>
            <w:r>
              <w:rPr>
                <w:rFonts w:hint="eastAsia"/>
                <w:b/>
                <w:kern w:val="0"/>
                <w:szCs w:val="21"/>
              </w:rPr>
              <w:t>目标</w:t>
            </w:r>
            <w:r>
              <w:rPr>
                <w:b/>
                <w:kern w:val="0"/>
                <w:szCs w:val="21"/>
              </w:rPr>
              <w:t>2</w:t>
            </w:r>
          </w:p>
          <w:p>
            <w:pPr>
              <w:jc w:val="center"/>
              <w:rPr>
                <w:szCs w:val="21"/>
              </w:rPr>
            </w:pPr>
            <w:r>
              <w:rPr>
                <w:rFonts w:hint="eastAsia"/>
                <w:b/>
                <w:kern w:val="0"/>
                <w:szCs w:val="21"/>
              </w:rPr>
              <w:t>目标</w:t>
            </w:r>
            <w:r>
              <w:rPr>
                <w:b/>
                <w:kern w:val="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8</w:t>
            </w:r>
          </w:p>
        </w:tc>
        <w:tc>
          <w:tcPr>
            <w:tcW w:w="2632" w:type="dxa"/>
            <w:tcBorders>
              <w:top w:val="single" w:color="auto" w:sz="4" w:space="0"/>
              <w:left w:val="single" w:color="auto" w:sz="4" w:space="0"/>
              <w:bottom w:val="single" w:color="auto" w:sz="4" w:space="0"/>
              <w:right w:val="single" w:color="auto" w:sz="4" w:space="0"/>
            </w:tcBorders>
            <w:noWrap w:val="0"/>
            <w:vAlign w:val="center"/>
          </w:tcPr>
          <w:p>
            <w:pPr>
              <w:rPr>
                <w:kern w:val="0"/>
                <w:szCs w:val="21"/>
              </w:rPr>
            </w:pPr>
            <w:r>
              <w:rPr>
                <w:rFonts w:hint="eastAsia"/>
                <w:b/>
                <w:kern w:val="0"/>
                <w:szCs w:val="21"/>
              </w:rPr>
              <w:t>技术改造和设备更新的技术经济分析：</w:t>
            </w:r>
            <w:r>
              <w:rPr>
                <w:rFonts w:hint="eastAsia"/>
                <w:kern w:val="0"/>
                <w:szCs w:val="21"/>
              </w:rPr>
              <w:t>技术改造的含义、特点、类型、内容及基本原则；技术改造项目的经济评价；设备更新概述、设备寿命和经济寿命的计算、设备更新决策。</w:t>
            </w:r>
          </w:p>
          <w:p>
            <w:pPr>
              <w:rPr>
                <w:kern w:val="0"/>
                <w:szCs w:val="21"/>
              </w:rPr>
            </w:pPr>
            <w:r>
              <w:rPr>
                <w:rFonts w:hint="eastAsia"/>
                <w:b/>
                <w:kern w:val="0"/>
                <w:szCs w:val="21"/>
              </w:rPr>
              <w:t>重点和难点：</w:t>
            </w:r>
            <w:r>
              <w:rPr>
                <w:rFonts w:hint="eastAsia"/>
                <w:kern w:val="0"/>
                <w:szCs w:val="21"/>
              </w:rPr>
              <w:t>设备寿命和经济寿命的计算、设备更新决策</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rPr>
                <w:kern w:val="0"/>
                <w:szCs w:val="21"/>
              </w:rPr>
            </w:pPr>
          </w:p>
        </w:tc>
        <w:tc>
          <w:tcPr>
            <w:tcW w:w="2028" w:type="dxa"/>
            <w:tcBorders>
              <w:top w:val="single" w:color="auto" w:sz="4" w:space="0"/>
              <w:left w:val="single" w:color="auto" w:sz="4" w:space="0"/>
              <w:bottom w:val="single" w:color="auto" w:sz="4" w:space="0"/>
              <w:right w:val="single" w:color="auto" w:sz="4" w:space="0"/>
            </w:tcBorders>
            <w:noWrap w:val="0"/>
            <w:vAlign w:val="center"/>
          </w:tcPr>
          <w:p>
            <w:pPr>
              <w:rPr>
                <w:kern w:val="0"/>
                <w:szCs w:val="21"/>
              </w:rPr>
            </w:pPr>
            <w:r>
              <w:rPr>
                <w:rFonts w:hint="eastAsia"/>
                <w:kern w:val="0"/>
                <w:szCs w:val="21"/>
              </w:rPr>
              <w:t>掌握技术改造的含义、特点、类型和基本原则和设备更新决则及技术改造的含义、特点、类型和基本原则和设备更新决则。</w:t>
            </w: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4</w:t>
            </w:r>
          </w:p>
        </w:tc>
        <w:tc>
          <w:tcPr>
            <w:tcW w:w="975" w:type="dxa"/>
            <w:tcBorders>
              <w:top w:val="single" w:color="auto" w:sz="4" w:space="0"/>
              <w:left w:val="single" w:color="auto" w:sz="4" w:space="0"/>
              <w:bottom w:val="single" w:color="auto" w:sz="4" w:space="0"/>
              <w:right w:val="single" w:color="auto" w:sz="4" w:space="0"/>
            </w:tcBorders>
            <w:noWrap w:val="0"/>
            <w:vAlign w:val="center"/>
          </w:tcPr>
          <w:p>
            <w:pPr>
              <w:rPr>
                <w:szCs w:val="21"/>
              </w:rPr>
            </w:pPr>
            <w:r>
              <w:rPr>
                <w:rFonts w:hint="eastAsia"/>
                <w:szCs w:val="21"/>
              </w:rPr>
              <w:t>讲授</w:t>
            </w:r>
            <w:r>
              <w:rPr>
                <w:szCs w:val="21"/>
              </w:rPr>
              <w:t>/</w:t>
            </w:r>
            <w:r>
              <w:rPr>
                <w:rFonts w:hint="eastAsia"/>
                <w:szCs w:val="21"/>
              </w:rPr>
              <w:t>讨论</w:t>
            </w:r>
            <w:r>
              <w:rPr>
                <w:szCs w:val="21"/>
              </w:rPr>
              <w:t>/</w:t>
            </w:r>
            <w:r>
              <w:rPr>
                <w:rFonts w:hint="eastAsia"/>
                <w:szCs w:val="21"/>
              </w:rPr>
              <w:t>等</w:t>
            </w:r>
          </w:p>
        </w:tc>
        <w:tc>
          <w:tcPr>
            <w:tcW w:w="925" w:type="dxa"/>
            <w:tcBorders>
              <w:top w:val="single" w:color="auto" w:sz="4" w:space="0"/>
              <w:left w:val="single" w:color="auto" w:sz="4" w:space="0"/>
              <w:bottom w:val="single" w:color="auto" w:sz="4" w:space="0"/>
              <w:right w:val="single" w:color="auto" w:sz="4" w:space="0"/>
            </w:tcBorders>
            <w:noWrap w:val="0"/>
            <w:vAlign w:val="center"/>
          </w:tcPr>
          <w:p>
            <w:pPr>
              <w:jc w:val="center"/>
              <w:rPr>
                <w:kern w:val="0"/>
                <w:szCs w:val="21"/>
              </w:rPr>
            </w:pPr>
            <w:r>
              <w:rPr>
                <w:rFonts w:hint="eastAsia"/>
                <w:b/>
                <w:kern w:val="0"/>
                <w:szCs w:val="21"/>
              </w:rPr>
              <w:t>目标</w:t>
            </w:r>
            <w:r>
              <w:rPr>
                <w:b/>
                <w:kern w:val="0"/>
                <w:szCs w:val="21"/>
              </w:rPr>
              <w:t>2</w:t>
            </w:r>
          </w:p>
          <w:p>
            <w:pPr>
              <w:jc w:val="center"/>
              <w:rPr>
                <w:szCs w:val="21"/>
              </w:rPr>
            </w:pPr>
            <w:r>
              <w:rPr>
                <w:rFonts w:hint="eastAsia"/>
                <w:b/>
                <w:kern w:val="0"/>
                <w:szCs w:val="21"/>
              </w:rPr>
              <w:t>目标</w:t>
            </w:r>
            <w:r>
              <w:rPr>
                <w:b/>
                <w:kern w:val="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9</w:t>
            </w:r>
          </w:p>
        </w:tc>
        <w:tc>
          <w:tcPr>
            <w:tcW w:w="2632" w:type="dxa"/>
            <w:tcBorders>
              <w:top w:val="single" w:color="auto" w:sz="4" w:space="0"/>
              <w:left w:val="single" w:color="auto" w:sz="4" w:space="0"/>
              <w:bottom w:val="single" w:color="auto" w:sz="4" w:space="0"/>
              <w:right w:val="single" w:color="auto" w:sz="4" w:space="0"/>
            </w:tcBorders>
            <w:noWrap w:val="0"/>
            <w:vAlign w:val="center"/>
          </w:tcPr>
          <w:p>
            <w:pPr>
              <w:rPr>
                <w:kern w:val="0"/>
                <w:szCs w:val="21"/>
              </w:rPr>
            </w:pPr>
            <w:r>
              <w:rPr>
                <w:rFonts w:hint="eastAsia"/>
                <w:b/>
                <w:kern w:val="0"/>
                <w:szCs w:val="21"/>
              </w:rPr>
              <w:t>技术创新与研究开发技术经济分析：</w:t>
            </w:r>
            <w:r>
              <w:rPr>
                <w:rFonts w:hint="eastAsia"/>
                <w:kern w:val="0"/>
                <w:szCs w:val="21"/>
              </w:rPr>
              <w:t>技术创新的概念、作用、分类、模式和技术创新能力的评价；产品创新</w:t>
            </w:r>
            <w:r>
              <w:rPr>
                <w:kern w:val="0"/>
                <w:szCs w:val="21"/>
              </w:rPr>
              <w:t>-</w:t>
            </w:r>
            <w:r>
              <w:rPr>
                <w:rFonts w:hint="eastAsia"/>
                <w:kern w:val="0"/>
                <w:szCs w:val="21"/>
              </w:rPr>
              <w:t>新产品开发；化工研究开发技术经济分析。</w:t>
            </w:r>
          </w:p>
          <w:p>
            <w:pPr>
              <w:rPr>
                <w:kern w:val="0"/>
                <w:szCs w:val="21"/>
              </w:rPr>
            </w:pPr>
            <w:r>
              <w:rPr>
                <w:rFonts w:hint="eastAsia"/>
                <w:b/>
                <w:kern w:val="0"/>
                <w:szCs w:val="21"/>
              </w:rPr>
              <w:t>重点和难点：</w:t>
            </w:r>
            <w:r>
              <w:rPr>
                <w:rFonts w:hint="eastAsia"/>
                <w:kern w:val="0"/>
                <w:szCs w:val="21"/>
              </w:rPr>
              <w:t>产品创新</w:t>
            </w:r>
            <w:r>
              <w:rPr>
                <w:kern w:val="0"/>
                <w:szCs w:val="21"/>
              </w:rPr>
              <w:t>-</w:t>
            </w:r>
            <w:r>
              <w:rPr>
                <w:rFonts w:hint="eastAsia"/>
                <w:kern w:val="0"/>
                <w:szCs w:val="21"/>
              </w:rPr>
              <w:t>新产品开发；化工研究开发技术经济分析。</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rPr>
                <w:kern w:val="0"/>
                <w:szCs w:val="21"/>
              </w:rPr>
            </w:pPr>
            <w:r>
              <w:rPr>
                <w:rFonts w:hint="eastAsia"/>
                <w:szCs w:val="21"/>
              </w:rPr>
              <w:t>结合案例分析，讲解中国化工企业的技术发展瓶颈，与国际技术表征的差距，激发学生为国家做贡献，创业的感情。</w:t>
            </w:r>
          </w:p>
        </w:tc>
        <w:tc>
          <w:tcPr>
            <w:tcW w:w="2028"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rPr>
                <w:kern w:val="0"/>
                <w:szCs w:val="21"/>
              </w:rPr>
            </w:pPr>
            <w:r>
              <w:rPr>
                <w:rFonts w:hint="eastAsia"/>
                <w:kern w:val="0"/>
                <w:szCs w:val="21"/>
              </w:rPr>
              <w:t>掌握创新方法和化工研发过程的内容和特点，化工研发的步骤和过程、创新的一般方法。</w:t>
            </w: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2</w:t>
            </w:r>
          </w:p>
        </w:tc>
        <w:tc>
          <w:tcPr>
            <w:tcW w:w="975" w:type="dxa"/>
            <w:tcBorders>
              <w:top w:val="single" w:color="auto" w:sz="4" w:space="0"/>
              <w:left w:val="single" w:color="auto" w:sz="4" w:space="0"/>
              <w:bottom w:val="single" w:color="auto" w:sz="4" w:space="0"/>
              <w:right w:val="single" w:color="auto" w:sz="4" w:space="0"/>
            </w:tcBorders>
            <w:noWrap w:val="0"/>
            <w:vAlign w:val="center"/>
          </w:tcPr>
          <w:p>
            <w:pPr>
              <w:rPr>
                <w:szCs w:val="21"/>
              </w:rPr>
            </w:pPr>
            <w:r>
              <w:rPr>
                <w:rFonts w:hint="eastAsia"/>
                <w:szCs w:val="21"/>
              </w:rPr>
              <w:t>讲授</w:t>
            </w:r>
            <w:r>
              <w:rPr>
                <w:szCs w:val="21"/>
              </w:rPr>
              <w:t>/</w:t>
            </w:r>
            <w:r>
              <w:rPr>
                <w:rFonts w:hint="eastAsia"/>
                <w:szCs w:val="21"/>
              </w:rPr>
              <w:t>讨论</w:t>
            </w:r>
            <w:r>
              <w:rPr>
                <w:szCs w:val="21"/>
              </w:rPr>
              <w:t>/</w:t>
            </w:r>
            <w:r>
              <w:rPr>
                <w:rFonts w:hint="eastAsia"/>
                <w:szCs w:val="21"/>
              </w:rPr>
              <w:t>等</w:t>
            </w:r>
          </w:p>
        </w:tc>
        <w:tc>
          <w:tcPr>
            <w:tcW w:w="925" w:type="dxa"/>
            <w:tcBorders>
              <w:top w:val="single" w:color="auto" w:sz="4" w:space="0"/>
              <w:left w:val="single" w:color="auto" w:sz="4" w:space="0"/>
              <w:bottom w:val="single" w:color="auto" w:sz="4" w:space="0"/>
              <w:right w:val="single" w:color="auto" w:sz="4" w:space="0"/>
            </w:tcBorders>
            <w:noWrap w:val="0"/>
            <w:vAlign w:val="center"/>
          </w:tcPr>
          <w:p>
            <w:pPr>
              <w:jc w:val="center"/>
              <w:rPr>
                <w:kern w:val="0"/>
                <w:szCs w:val="21"/>
              </w:rPr>
            </w:pPr>
            <w:r>
              <w:rPr>
                <w:rFonts w:hint="eastAsia"/>
                <w:b/>
                <w:kern w:val="0"/>
                <w:szCs w:val="21"/>
              </w:rPr>
              <w:t>目标</w:t>
            </w:r>
            <w:r>
              <w:rPr>
                <w:b/>
                <w:kern w:val="0"/>
                <w:szCs w:val="21"/>
              </w:rPr>
              <w:t>2</w:t>
            </w:r>
          </w:p>
          <w:p>
            <w:pPr>
              <w:jc w:val="center"/>
              <w:rPr>
                <w:szCs w:val="21"/>
              </w:rPr>
            </w:pPr>
            <w:r>
              <w:rPr>
                <w:rFonts w:hint="eastAsia"/>
                <w:b/>
                <w:kern w:val="0"/>
                <w:szCs w:val="21"/>
              </w:rPr>
              <w:t>目标</w:t>
            </w:r>
            <w:r>
              <w:rPr>
                <w:b/>
                <w:kern w:val="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10</w:t>
            </w:r>
          </w:p>
        </w:tc>
        <w:tc>
          <w:tcPr>
            <w:tcW w:w="2632" w:type="dxa"/>
            <w:tcBorders>
              <w:top w:val="single" w:color="auto" w:sz="4" w:space="0"/>
              <w:left w:val="single" w:color="auto" w:sz="4" w:space="0"/>
              <w:bottom w:val="single" w:color="auto" w:sz="4" w:space="0"/>
              <w:right w:val="single" w:color="auto" w:sz="4" w:space="0"/>
            </w:tcBorders>
            <w:noWrap w:val="0"/>
            <w:vAlign w:val="center"/>
          </w:tcPr>
          <w:p>
            <w:pPr>
              <w:rPr>
                <w:b/>
                <w:kern w:val="0"/>
                <w:szCs w:val="21"/>
              </w:rPr>
            </w:pPr>
            <w:r>
              <w:rPr>
                <w:rFonts w:hint="eastAsia"/>
                <w:b/>
                <w:kern w:val="0"/>
                <w:szCs w:val="21"/>
              </w:rPr>
              <w:t>管理概论</w:t>
            </w:r>
          </w:p>
          <w:p>
            <w:pPr>
              <w:spacing w:line="400" w:lineRule="exact"/>
              <w:rPr>
                <w:kern w:val="0"/>
                <w:szCs w:val="21"/>
              </w:rPr>
            </w:pPr>
            <w:r>
              <w:rPr>
                <w:rFonts w:hint="eastAsia"/>
                <w:kern w:val="0"/>
                <w:szCs w:val="21"/>
              </w:rPr>
              <w:t>技术创新的概念、作用、分类、模式和技术创新能力的评价；产品创新</w:t>
            </w:r>
            <w:r>
              <w:rPr>
                <w:kern w:val="0"/>
                <w:szCs w:val="21"/>
              </w:rPr>
              <w:t>-</w:t>
            </w:r>
            <w:r>
              <w:rPr>
                <w:rFonts w:hint="eastAsia"/>
                <w:kern w:val="0"/>
                <w:szCs w:val="21"/>
              </w:rPr>
              <w:t>新产品开发；化工研究开发技术经济分析。</w:t>
            </w:r>
          </w:p>
          <w:p>
            <w:pPr>
              <w:rPr>
                <w:b/>
                <w:kern w:val="0"/>
                <w:szCs w:val="21"/>
              </w:rPr>
            </w:pPr>
            <w:r>
              <w:rPr>
                <w:rFonts w:hint="eastAsia"/>
                <w:b/>
                <w:kern w:val="0"/>
                <w:szCs w:val="21"/>
              </w:rPr>
              <w:t>重点和难点：</w:t>
            </w:r>
          </w:p>
          <w:p>
            <w:pPr>
              <w:rPr>
                <w:szCs w:val="21"/>
              </w:rPr>
            </w:pPr>
            <w:r>
              <w:rPr>
                <w:rFonts w:hint="eastAsia"/>
                <w:kern w:val="0"/>
                <w:szCs w:val="21"/>
              </w:rPr>
              <w:t>产品创新</w:t>
            </w:r>
            <w:r>
              <w:rPr>
                <w:kern w:val="0"/>
                <w:szCs w:val="21"/>
              </w:rPr>
              <w:t>-</w:t>
            </w:r>
            <w:r>
              <w:rPr>
                <w:rFonts w:hint="eastAsia"/>
                <w:kern w:val="0"/>
                <w:szCs w:val="21"/>
              </w:rPr>
              <w:t>新产品开发</w:t>
            </w:r>
          </w:p>
          <w:p>
            <w:pPr>
              <w:rPr>
                <w:b/>
                <w:kern w:val="0"/>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rPr>
                <w:kern w:val="0"/>
                <w:szCs w:val="21"/>
              </w:rPr>
            </w:pPr>
            <w:r>
              <w:rPr>
                <w:rFonts w:hint="eastAsia"/>
                <w:szCs w:val="21"/>
              </w:rPr>
              <w:t>结合案例分析，讲解企业家的爱国主义精神，以及作为中国公民的主人翁精神。</w:t>
            </w:r>
          </w:p>
        </w:tc>
        <w:tc>
          <w:tcPr>
            <w:tcW w:w="202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kern w:val="0"/>
                <w:szCs w:val="21"/>
              </w:rPr>
            </w:pPr>
            <w:r>
              <w:rPr>
                <w:rFonts w:hint="eastAsia"/>
                <w:kern w:val="0"/>
                <w:szCs w:val="21"/>
              </w:rPr>
              <w:t>掌握管理主客体和过程特性，管理主客体和过程特性。</w:t>
            </w:r>
          </w:p>
          <w:p>
            <w:pPr>
              <w:autoSpaceDE w:val="0"/>
              <w:autoSpaceDN w:val="0"/>
              <w:adjustRightInd w:val="0"/>
              <w:rPr>
                <w:kern w:val="0"/>
                <w:szCs w:val="21"/>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2</w:t>
            </w:r>
          </w:p>
        </w:tc>
        <w:tc>
          <w:tcPr>
            <w:tcW w:w="975" w:type="dxa"/>
            <w:tcBorders>
              <w:top w:val="single" w:color="auto" w:sz="4" w:space="0"/>
              <w:left w:val="single" w:color="auto" w:sz="4" w:space="0"/>
              <w:bottom w:val="single" w:color="auto" w:sz="4" w:space="0"/>
              <w:right w:val="single" w:color="auto" w:sz="4" w:space="0"/>
            </w:tcBorders>
            <w:noWrap w:val="0"/>
            <w:vAlign w:val="center"/>
          </w:tcPr>
          <w:p>
            <w:pPr>
              <w:rPr>
                <w:szCs w:val="21"/>
              </w:rPr>
            </w:pPr>
          </w:p>
        </w:tc>
        <w:tc>
          <w:tcPr>
            <w:tcW w:w="925" w:type="dxa"/>
            <w:tcBorders>
              <w:top w:val="single" w:color="auto" w:sz="4" w:space="0"/>
              <w:left w:val="single" w:color="auto" w:sz="4" w:space="0"/>
              <w:bottom w:val="single" w:color="auto" w:sz="4" w:space="0"/>
              <w:right w:val="single" w:color="auto" w:sz="4" w:space="0"/>
            </w:tcBorders>
            <w:noWrap w:val="0"/>
            <w:vAlign w:val="center"/>
          </w:tcPr>
          <w:p>
            <w:pPr>
              <w:jc w:val="center"/>
              <w:rPr>
                <w:b/>
                <w:kern w:val="0"/>
                <w:szCs w:val="21"/>
              </w:rPr>
            </w:pPr>
            <w:r>
              <w:rPr>
                <w:rFonts w:hint="eastAsia"/>
                <w:b/>
                <w:kern w:val="0"/>
                <w:szCs w:val="21"/>
              </w:rPr>
              <w:t>目标</w:t>
            </w:r>
            <w:r>
              <w:rPr>
                <w:b/>
                <w:kern w:val="0"/>
                <w:szCs w:val="21"/>
              </w:rPr>
              <w:t>3</w:t>
            </w:r>
          </w:p>
        </w:tc>
      </w:tr>
    </w:tbl>
    <w:p>
      <w:pPr>
        <w:spacing w:line="360" w:lineRule="auto"/>
        <w:ind w:firstLine="562" w:firstLineChars="200"/>
        <w:rPr>
          <w:b/>
          <w:sz w:val="28"/>
          <w:szCs w:val="28"/>
        </w:rPr>
      </w:pPr>
      <w:r>
        <w:rPr>
          <w:rFonts w:hint="eastAsia"/>
          <w:b/>
          <w:sz w:val="28"/>
          <w:szCs w:val="28"/>
        </w:rPr>
        <w:t>四、课程实施</w:t>
      </w:r>
    </w:p>
    <w:p>
      <w:pPr>
        <w:spacing w:line="360" w:lineRule="auto"/>
        <w:ind w:firstLine="482" w:firstLineChars="200"/>
        <w:rPr>
          <w:b/>
          <w:sz w:val="24"/>
        </w:rPr>
      </w:pPr>
      <w:r>
        <w:rPr>
          <w:rFonts w:hint="eastAsia"/>
          <w:b/>
          <w:sz w:val="24"/>
        </w:rPr>
        <w:t>（一）教学方法与教学手段</w:t>
      </w:r>
    </w:p>
    <w:p>
      <w:pPr>
        <w:spacing w:line="360" w:lineRule="auto"/>
        <w:ind w:firstLine="480" w:firstLineChars="200"/>
        <w:rPr>
          <w:color w:val="000000"/>
          <w:sz w:val="24"/>
        </w:rPr>
      </w:pPr>
      <w:r>
        <w:rPr>
          <w:color w:val="000000"/>
          <w:sz w:val="24"/>
        </w:rPr>
        <w:t>1.</w:t>
      </w:r>
      <w:r>
        <w:rPr>
          <w:rFonts w:hint="eastAsia"/>
          <w:color w:val="000000"/>
          <w:sz w:val="24"/>
        </w:rPr>
        <w:t>采用多媒体教学手段，配合例题的讲解及适当的思考题，保证讲课进度的同时，注意学生的掌握程度和课堂的气氛。</w:t>
      </w:r>
    </w:p>
    <w:p>
      <w:pPr>
        <w:spacing w:line="360" w:lineRule="auto"/>
        <w:ind w:firstLine="480" w:firstLineChars="200"/>
        <w:rPr>
          <w:color w:val="000000"/>
          <w:sz w:val="24"/>
        </w:rPr>
      </w:pPr>
      <w:r>
        <w:rPr>
          <w:sz w:val="24"/>
        </w:rPr>
        <w:t>2.</w:t>
      </w:r>
      <w:r>
        <w:rPr>
          <w:rFonts w:hint="eastAsia"/>
          <w:color w:val="000000"/>
          <w:sz w:val="24"/>
        </w:rPr>
        <w:t>课程讲授与启案例教学、课堂讨论、设计应用电路、解释实际现象、线上网络教学等多种教学方式结合，实行互动研究型教学，重点培养学生的理论素养和电路分析能力。因此，本课程要求课前必须阅读教材的相关部分和参考文献；课上主动参与讨论；课后按时完成布置的作业，积极进行教学互动交流。</w:t>
      </w:r>
    </w:p>
    <w:p>
      <w:pPr>
        <w:spacing w:line="360" w:lineRule="auto"/>
        <w:ind w:firstLine="482" w:firstLineChars="200"/>
        <w:rPr>
          <w:b/>
          <w:sz w:val="24"/>
        </w:rPr>
      </w:pPr>
      <w:r>
        <w:rPr>
          <w:rFonts w:hint="eastAsia"/>
          <w:b/>
          <w:sz w:val="24"/>
        </w:rPr>
        <w:t>（二）课程实施与保障</w:t>
      </w:r>
    </w:p>
    <w:tbl>
      <w:tblPr>
        <w:tblStyle w:val="10"/>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2"/>
        <w:gridCol w:w="1701"/>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3"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76" w:lineRule="auto"/>
              <w:jc w:val="center"/>
              <w:rPr>
                <w:szCs w:val="21"/>
              </w:rPr>
            </w:pPr>
            <w:r>
              <w:rPr>
                <w:rFonts w:hint="eastAsia"/>
                <w:bCs/>
                <w:szCs w:val="21"/>
              </w:rPr>
              <w:t>主要教学环节</w:t>
            </w:r>
          </w:p>
        </w:tc>
        <w:tc>
          <w:tcPr>
            <w:tcW w:w="6237" w:type="dxa"/>
            <w:tcBorders>
              <w:top w:val="single" w:color="auto" w:sz="4" w:space="0"/>
              <w:left w:val="single" w:color="auto" w:sz="4" w:space="0"/>
              <w:bottom w:val="single" w:color="auto" w:sz="4" w:space="0"/>
              <w:right w:val="single" w:color="auto" w:sz="4" w:space="0"/>
            </w:tcBorders>
            <w:noWrap w:val="0"/>
            <w:vAlign w:val="center"/>
          </w:tcPr>
          <w:p>
            <w:pPr>
              <w:spacing w:line="276" w:lineRule="auto"/>
              <w:jc w:val="center"/>
              <w:rPr>
                <w:szCs w:val="21"/>
              </w:rPr>
            </w:pPr>
            <w:r>
              <w:rPr>
                <w:rFonts w:hint="eastAsia"/>
                <w:bCs/>
                <w:szCs w:val="21"/>
              </w:rPr>
              <w:t>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582" w:type="dxa"/>
            <w:tcBorders>
              <w:top w:val="single" w:color="auto" w:sz="4" w:space="0"/>
              <w:left w:val="single" w:color="auto" w:sz="4" w:space="0"/>
              <w:bottom w:val="single" w:color="auto" w:sz="4" w:space="0"/>
              <w:right w:val="single" w:color="auto" w:sz="4" w:space="0"/>
            </w:tcBorders>
            <w:noWrap w:val="0"/>
            <w:vAlign w:val="center"/>
          </w:tcPr>
          <w:p>
            <w:pPr>
              <w:spacing w:line="276" w:lineRule="auto"/>
              <w:jc w:val="center"/>
              <w:rPr>
                <w:szCs w:val="21"/>
              </w:rPr>
            </w:pPr>
            <w:r>
              <w:rPr>
                <w:szCs w:val="21"/>
              </w:rPr>
              <w:t>1</w:t>
            </w:r>
          </w:p>
        </w:tc>
        <w:tc>
          <w:tcPr>
            <w:tcW w:w="1701"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76" w:lineRule="auto"/>
              <w:jc w:val="center"/>
              <w:rPr>
                <w:szCs w:val="21"/>
              </w:rPr>
            </w:pPr>
            <w:r>
              <w:rPr>
                <w:rFonts w:hint="eastAsia"/>
                <w:szCs w:val="21"/>
              </w:rPr>
              <w:t>备课</w:t>
            </w:r>
          </w:p>
        </w:tc>
        <w:tc>
          <w:tcPr>
            <w:tcW w:w="6237" w:type="dxa"/>
            <w:tcBorders>
              <w:top w:val="single" w:color="auto" w:sz="4" w:space="0"/>
              <w:left w:val="single" w:color="auto" w:sz="4" w:space="0"/>
              <w:bottom w:val="single" w:color="auto" w:sz="4" w:space="0"/>
              <w:right w:val="single" w:color="auto" w:sz="4" w:space="0"/>
            </w:tcBorders>
            <w:noWrap w:val="0"/>
            <w:vAlign w:val="center"/>
          </w:tcPr>
          <w:p>
            <w:pPr>
              <w:spacing w:line="273" w:lineRule="auto"/>
              <w:rPr>
                <w:szCs w:val="21"/>
              </w:rPr>
            </w:pPr>
            <w:r>
              <w:rPr>
                <w:rFonts w:hint="eastAsia" w:ascii="宋体" w:hAnsi="宋体"/>
              </w:rPr>
              <w:t>（</w:t>
            </w:r>
            <w:r>
              <w:t>1</w:t>
            </w:r>
            <w:r>
              <w:rPr>
                <w:rFonts w:hint="eastAsia" w:ascii="宋体" w:hAnsi="宋体"/>
              </w:rPr>
              <w:t>）掌握本课程教学大纲内容，严格按照教学大纲要求进行课程教学内容的组织。</w:t>
            </w:r>
          </w:p>
          <w:p>
            <w:pPr>
              <w:spacing w:line="273" w:lineRule="auto"/>
            </w:pPr>
            <w:r>
              <w:rPr>
                <w:rFonts w:hint="eastAsia" w:ascii="宋体" w:hAnsi="宋体"/>
              </w:rPr>
              <w:t>（</w:t>
            </w:r>
            <w:r>
              <w:t>2</w:t>
            </w:r>
            <w:r>
              <w:rPr>
                <w:rFonts w:hint="eastAsia" w:ascii="宋体" w:hAnsi="宋体"/>
              </w:rPr>
              <w:t>）熟悉教材各章节，借助专业书籍资料，并依据教学大纲编写授课计划，编写每次授课的教案。教案内容包括章节标题、教学目的、教法设计、课堂类型、时间分配、授课内容、课后作业、教学效果分析等方面。</w:t>
            </w:r>
          </w:p>
          <w:p>
            <w:r>
              <w:rPr>
                <w:rFonts w:hint="eastAsia" w:ascii="宋体" w:hAnsi="宋体"/>
              </w:rPr>
              <w:t>（</w:t>
            </w:r>
            <w:r>
              <w:t>3</w:t>
            </w:r>
            <w:r>
              <w:rPr>
                <w:rFonts w:hint="eastAsia" w:ascii="宋体" w:hAnsi="宋体"/>
              </w:rPr>
              <w:t>）根据各部分教学内容，构思授课思路、技巧，选择合适的教学方法。</w:t>
            </w:r>
          </w:p>
          <w:p>
            <w:pPr>
              <w:spacing w:line="276"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tcBorders>
              <w:top w:val="single" w:color="auto" w:sz="4" w:space="0"/>
              <w:left w:val="single" w:color="auto" w:sz="4" w:space="0"/>
              <w:bottom w:val="single" w:color="auto" w:sz="4" w:space="0"/>
              <w:right w:val="single" w:color="auto" w:sz="4" w:space="0"/>
            </w:tcBorders>
            <w:noWrap w:val="0"/>
            <w:vAlign w:val="center"/>
          </w:tcPr>
          <w:p>
            <w:pPr>
              <w:spacing w:line="276" w:lineRule="auto"/>
              <w:jc w:val="center"/>
              <w:rPr>
                <w:szCs w:val="21"/>
              </w:rPr>
            </w:pPr>
            <w:r>
              <w:rPr>
                <w:szCs w:val="21"/>
              </w:rPr>
              <w:t>2</w:t>
            </w:r>
          </w:p>
        </w:tc>
        <w:tc>
          <w:tcPr>
            <w:tcW w:w="1701"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76" w:lineRule="auto"/>
              <w:jc w:val="center"/>
              <w:rPr>
                <w:szCs w:val="21"/>
              </w:rPr>
            </w:pPr>
            <w:r>
              <w:rPr>
                <w:rFonts w:hint="eastAsia"/>
                <w:szCs w:val="21"/>
              </w:rPr>
              <w:t>讲授</w:t>
            </w:r>
          </w:p>
        </w:tc>
        <w:tc>
          <w:tcPr>
            <w:tcW w:w="6237" w:type="dxa"/>
            <w:tcBorders>
              <w:top w:val="single" w:color="auto" w:sz="4" w:space="0"/>
              <w:left w:val="single" w:color="auto" w:sz="4" w:space="0"/>
              <w:bottom w:val="single" w:color="auto" w:sz="4" w:space="0"/>
              <w:right w:val="single" w:color="auto" w:sz="4" w:space="0"/>
            </w:tcBorders>
            <w:noWrap w:val="0"/>
            <w:vAlign w:val="center"/>
          </w:tcPr>
          <w:p>
            <w:pPr>
              <w:spacing w:line="273" w:lineRule="auto"/>
              <w:rPr>
                <w:szCs w:val="21"/>
              </w:rPr>
            </w:pPr>
            <w:r>
              <w:rPr>
                <w:rFonts w:hint="eastAsia" w:ascii="宋体" w:hAnsi="宋体"/>
              </w:rPr>
              <w:t>（</w:t>
            </w:r>
            <w:r>
              <w:rPr>
                <w:rFonts w:cs="Calibri"/>
              </w:rPr>
              <w:t>1</w:t>
            </w:r>
            <w:r>
              <w:rPr>
                <w:rFonts w:hint="eastAsia" w:ascii="宋体" w:hAnsi="宋体"/>
              </w:rPr>
              <w:t>）要点准确、推理正确、条理清晰、重点突出，能够理论联系实际，熟练地解答和讲解例题。</w:t>
            </w:r>
          </w:p>
          <w:p>
            <w:pPr>
              <w:spacing w:line="273" w:lineRule="auto"/>
            </w:pPr>
            <w:r>
              <w:rPr>
                <w:rFonts w:hint="eastAsia" w:ascii="宋体" w:hAnsi="宋体"/>
              </w:rPr>
              <w:t>（</w:t>
            </w:r>
            <w:r>
              <w:rPr>
                <w:rFonts w:cs="Calibri"/>
              </w:rPr>
              <w:t>2</w:t>
            </w:r>
            <w:r>
              <w:rPr>
                <w:rFonts w:hint="eastAsia" w:ascii="宋体" w:hAnsi="宋体"/>
              </w:rPr>
              <w:t>）采用多种教学方式（如启发式教学、案例分析教学、讨论式教学、多媒体示范教学等），注重培养学生发现、分析和解决问题的能力。</w:t>
            </w:r>
          </w:p>
          <w:p>
            <w:pPr>
              <w:spacing w:line="273" w:lineRule="auto"/>
            </w:pPr>
            <w:r>
              <w:rPr>
                <w:rFonts w:hint="eastAsia" w:ascii="宋体" w:hAnsi="宋体"/>
              </w:rPr>
              <w:t>（</w:t>
            </w:r>
            <w:r>
              <w:rPr>
                <w:rFonts w:cs="Calibri"/>
              </w:rPr>
              <w:t>3</w:t>
            </w:r>
            <w:r>
              <w:rPr>
                <w:rFonts w:hint="eastAsia" w:ascii="宋体" w:hAnsi="宋体"/>
              </w:rPr>
              <w:t>）能够采用现代信息技术辅助教学。</w:t>
            </w:r>
          </w:p>
          <w:p>
            <w:r>
              <w:rPr>
                <w:rFonts w:hint="eastAsia" w:ascii="宋体" w:hAnsi="宋体"/>
              </w:rPr>
              <w:t>（</w:t>
            </w:r>
            <w:r>
              <w:rPr>
                <w:rFonts w:cs="Calibri"/>
              </w:rPr>
              <w:t>4</w:t>
            </w:r>
            <w:r>
              <w:rPr>
                <w:rFonts w:hint="eastAsia" w:ascii="宋体" w:hAnsi="宋体"/>
              </w:rPr>
              <w:t>）表达方式应能便于学生理解、接受，力求形象生动，使学生在掌握知识的过程中，保持较为浓厚的学习兴趣。</w:t>
            </w:r>
          </w:p>
          <w:p>
            <w:pPr>
              <w:spacing w:line="276"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jc w:val="center"/>
        </w:trPr>
        <w:tc>
          <w:tcPr>
            <w:tcW w:w="582" w:type="dxa"/>
            <w:tcBorders>
              <w:top w:val="single" w:color="auto" w:sz="4" w:space="0"/>
              <w:left w:val="single" w:color="auto" w:sz="4" w:space="0"/>
              <w:bottom w:val="single" w:color="auto" w:sz="4" w:space="0"/>
              <w:right w:val="single" w:color="auto" w:sz="4" w:space="0"/>
            </w:tcBorders>
            <w:noWrap w:val="0"/>
            <w:vAlign w:val="center"/>
          </w:tcPr>
          <w:p>
            <w:pPr>
              <w:spacing w:line="276" w:lineRule="auto"/>
              <w:jc w:val="center"/>
              <w:rPr>
                <w:szCs w:val="21"/>
              </w:rPr>
            </w:pPr>
            <w:r>
              <w:rPr>
                <w:szCs w:val="21"/>
              </w:rPr>
              <w:t>3</w:t>
            </w:r>
          </w:p>
        </w:tc>
        <w:tc>
          <w:tcPr>
            <w:tcW w:w="1701"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76" w:lineRule="auto"/>
              <w:jc w:val="center"/>
              <w:rPr>
                <w:szCs w:val="21"/>
              </w:rPr>
            </w:pPr>
            <w:r>
              <w:rPr>
                <w:rFonts w:hint="eastAsia"/>
                <w:szCs w:val="21"/>
              </w:rPr>
              <w:t>作业布置与批改</w:t>
            </w:r>
          </w:p>
        </w:tc>
        <w:tc>
          <w:tcPr>
            <w:tcW w:w="6237" w:type="dxa"/>
            <w:tcBorders>
              <w:top w:val="single" w:color="auto" w:sz="4" w:space="0"/>
              <w:left w:val="single" w:color="auto" w:sz="4" w:space="0"/>
              <w:bottom w:val="single" w:color="auto" w:sz="4" w:space="0"/>
              <w:right w:val="single" w:color="auto" w:sz="4" w:space="0"/>
            </w:tcBorders>
            <w:noWrap w:val="0"/>
            <w:vAlign w:val="center"/>
          </w:tcPr>
          <w:p>
            <w:pPr>
              <w:spacing w:line="273" w:lineRule="auto"/>
              <w:rPr>
                <w:szCs w:val="21"/>
              </w:rPr>
            </w:pPr>
            <w:r>
              <w:rPr>
                <w:rFonts w:hint="eastAsia" w:ascii="宋体" w:hAnsi="宋体"/>
              </w:rPr>
              <w:t>学生必须完成规定数量的作业，作业必须达到以下基本要求：</w:t>
            </w:r>
          </w:p>
          <w:p>
            <w:pPr>
              <w:spacing w:line="273" w:lineRule="auto"/>
            </w:pPr>
            <w:r>
              <w:rPr>
                <w:rFonts w:hint="eastAsia" w:ascii="宋体" w:hAnsi="宋体"/>
              </w:rPr>
              <w:t>（</w:t>
            </w:r>
            <w:r>
              <w:rPr>
                <w:rFonts w:cs="Calibri"/>
              </w:rPr>
              <w:t>1</w:t>
            </w:r>
            <w:r>
              <w:rPr>
                <w:rFonts w:hint="eastAsia" w:ascii="宋体" w:hAnsi="宋体"/>
              </w:rPr>
              <w:t>）按时按量完成作业，不缺交，不抄袭。</w:t>
            </w:r>
          </w:p>
          <w:p>
            <w:pPr>
              <w:spacing w:line="273" w:lineRule="auto"/>
            </w:pPr>
            <w:r>
              <w:rPr>
                <w:rFonts w:hint="eastAsia" w:ascii="宋体" w:hAnsi="宋体"/>
              </w:rPr>
              <w:t>（</w:t>
            </w:r>
            <w:r>
              <w:rPr>
                <w:rFonts w:cs="Calibri"/>
              </w:rPr>
              <w:t>2</w:t>
            </w:r>
            <w:r>
              <w:rPr>
                <w:rFonts w:hint="eastAsia" w:ascii="宋体" w:hAnsi="宋体"/>
              </w:rPr>
              <w:t>）书写规范、清晰。</w:t>
            </w:r>
          </w:p>
          <w:p>
            <w:pPr>
              <w:spacing w:line="273" w:lineRule="auto"/>
            </w:pPr>
            <w:r>
              <w:rPr>
                <w:rFonts w:hint="eastAsia" w:ascii="宋体" w:hAnsi="宋体"/>
              </w:rPr>
              <w:t>（</w:t>
            </w:r>
            <w:r>
              <w:rPr>
                <w:rFonts w:cs="Calibri"/>
              </w:rPr>
              <w:t>3</w:t>
            </w:r>
            <w:r>
              <w:rPr>
                <w:rFonts w:hint="eastAsia" w:ascii="宋体" w:hAnsi="宋体"/>
              </w:rPr>
              <w:t>）解题方法和步骤正确。</w:t>
            </w:r>
          </w:p>
          <w:p>
            <w:pPr>
              <w:spacing w:line="273" w:lineRule="auto"/>
            </w:pPr>
            <w:r>
              <w:rPr>
                <w:rFonts w:hint="eastAsia" w:ascii="宋体" w:hAnsi="宋体"/>
              </w:rPr>
              <w:t>教师批改和讲评作业要求如下：</w:t>
            </w:r>
          </w:p>
          <w:p>
            <w:pPr>
              <w:spacing w:line="273" w:lineRule="auto"/>
            </w:pPr>
            <w:r>
              <w:rPr>
                <w:rFonts w:hint="eastAsia" w:ascii="宋体" w:hAnsi="宋体"/>
              </w:rPr>
              <w:t>（</w:t>
            </w:r>
            <w:r>
              <w:rPr>
                <w:rFonts w:cs="Calibri"/>
              </w:rPr>
              <w:t>1</w:t>
            </w:r>
            <w:r>
              <w:rPr>
                <w:rFonts w:hint="eastAsia" w:ascii="宋体" w:hAnsi="宋体"/>
              </w:rPr>
              <w:t>）学生的作业要按时全部批改，并及时进行讲评。</w:t>
            </w:r>
          </w:p>
          <w:p>
            <w:pPr>
              <w:spacing w:line="273" w:lineRule="auto"/>
            </w:pPr>
            <w:r>
              <w:rPr>
                <w:rFonts w:hint="eastAsia" w:ascii="宋体" w:hAnsi="宋体"/>
              </w:rPr>
              <w:t>（</w:t>
            </w:r>
            <w:r>
              <w:rPr>
                <w:rFonts w:cs="Calibri"/>
              </w:rPr>
              <w:t>2</w:t>
            </w:r>
            <w:r>
              <w:rPr>
                <w:rFonts w:hint="eastAsia" w:ascii="宋体" w:hAnsi="宋体"/>
              </w:rPr>
              <w:t>）教师批改和讲评作业要认真、细致，按百分制评定成绩并写明日期。</w:t>
            </w:r>
          </w:p>
          <w:p>
            <w:r>
              <w:rPr>
                <w:rFonts w:hint="eastAsia" w:ascii="宋体" w:hAnsi="宋体"/>
              </w:rPr>
              <w:t>（</w:t>
            </w:r>
            <w:r>
              <w:rPr>
                <w:rFonts w:cs="Calibri"/>
              </w:rPr>
              <w:t>3</w:t>
            </w:r>
            <w:r>
              <w:rPr>
                <w:rFonts w:hint="eastAsia" w:ascii="宋体" w:hAnsi="宋体"/>
              </w:rPr>
              <w:t>）学生作业的平均成绩应作为本课程总评成绩中平时成绩的重要组成部分。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582" w:type="dxa"/>
            <w:tcBorders>
              <w:top w:val="single" w:color="auto" w:sz="4" w:space="0"/>
              <w:left w:val="single" w:color="auto" w:sz="4" w:space="0"/>
              <w:bottom w:val="single" w:color="auto" w:sz="4" w:space="0"/>
              <w:right w:val="single" w:color="auto" w:sz="4" w:space="0"/>
            </w:tcBorders>
            <w:noWrap w:val="0"/>
            <w:vAlign w:val="center"/>
          </w:tcPr>
          <w:p>
            <w:pPr>
              <w:spacing w:line="276" w:lineRule="auto"/>
              <w:jc w:val="center"/>
              <w:rPr>
                <w:szCs w:val="21"/>
              </w:rPr>
            </w:pPr>
            <w:r>
              <w:rPr>
                <w:szCs w:val="21"/>
              </w:rPr>
              <w:t>4</w:t>
            </w:r>
          </w:p>
        </w:tc>
        <w:tc>
          <w:tcPr>
            <w:tcW w:w="1701"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76" w:lineRule="auto"/>
              <w:jc w:val="center"/>
              <w:rPr>
                <w:szCs w:val="21"/>
              </w:rPr>
            </w:pPr>
            <w:r>
              <w:rPr>
                <w:rFonts w:hint="eastAsia"/>
                <w:szCs w:val="21"/>
              </w:rPr>
              <w:t>课外答疑</w:t>
            </w:r>
          </w:p>
        </w:tc>
        <w:tc>
          <w:tcPr>
            <w:tcW w:w="6237" w:type="dxa"/>
            <w:tcBorders>
              <w:top w:val="single" w:color="auto" w:sz="4" w:space="0"/>
              <w:left w:val="single" w:color="auto" w:sz="4" w:space="0"/>
              <w:bottom w:val="single" w:color="auto" w:sz="4" w:space="0"/>
              <w:right w:val="single" w:color="auto" w:sz="4" w:space="0"/>
            </w:tcBorders>
            <w:noWrap w:val="0"/>
            <w:vAlign w:val="center"/>
          </w:tcPr>
          <w:p>
            <w:pPr>
              <w:rPr>
                <w:szCs w:val="21"/>
              </w:rPr>
            </w:pPr>
            <w:r>
              <w:rPr>
                <w:rFonts w:hint="eastAsia" w:ascii="宋体" w:hAnsi="宋体"/>
              </w:rPr>
              <w:t>为了解学生的学习情况，帮助学生更好地理解和消化所学知识、改进学习方法和思维方式，培养其独立思考问题的能力，任课教师需每周安排一定时间进行课外答疑与辅导。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582" w:type="dxa"/>
            <w:tcBorders>
              <w:top w:val="single" w:color="auto" w:sz="4" w:space="0"/>
              <w:left w:val="single" w:color="auto" w:sz="4" w:space="0"/>
              <w:bottom w:val="single" w:color="auto" w:sz="4" w:space="0"/>
              <w:right w:val="single" w:color="auto" w:sz="4" w:space="0"/>
            </w:tcBorders>
            <w:noWrap w:val="0"/>
            <w:vAlign w:val="center"/>
          </w:tcPr>
          <w:p>
            <w:pPr>
              <w:spacing w:line="276" w:lineRule="auto"/>
              <w:jc w:val="center"/>
              <w:rPr>
                <w:szCs w:val="21"/>
              </w:rPr>
            </w:pPr>
            <w:r>
              <w:rPr>
                <w:szCs w:val="21"/>
              </w:rPr>
              <w:t>5</w:t>
            </w:r>
          </w:p>
        </w:tc>
        <w:tc>
          <w:tcPr>
            <w:tcW w:w="1701"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76" w:lineRule="auto"/>
              <w:jc w:val="center"/>
              <w:rPr>
                <w:szCs w:val="21"/>
              </w:rPr>
            </w:pPr>
            <w:r>
              <w:rPr>
                <w:rFonts w:hint="eastAsia"/>
                <w:szCs w:val="21"/>
              </w:rPr>
              <w:t>成绩考核</w:t>
            </w:r>
          </w:p>
        </w:tc>
        <w:tc>
          <w:tcPr>
            <w:tcW w:w="6237" w:type="dxa"/>
            <w:tcBorders>
              <w:top w:val="single" w:color="auto" w:sz="4" w:space="0"/>
              <w:left w:val="single" w:color="auto" w:sz="4" w:space="0"/>
              <w:bottom w:val="single" w:color="auto" w:sz="4" w:space="0"/>
              <w:right w:val="single" w:color="auto" w:sz="4" w:space="0"/>
            </w:tcBorders>
            <w:noWrap w:val="0"/>
            <w:vAlign w:val="center"/>
          </w:tcPr>
          <w:p>
            <w:pPr>
              <w:spacing w:line="273" w:lineRule="auto"/>
              <w:rPr>
                <w:szCs w:val="21"/>
              </w:rPr>
            </w:pPr>
            <w:r>
              <w:rPr>
                <w:rFonts w:hint="eastAsia" w:ascii="宋体" w:hAnsi="宋体"/>
              </w:rPr>
              <w:t>本课程考核的方式为开卷笔试。有下列情况之一者，总评成绩为不及格：</w:t>
            </w:r>
          </w:p>
          <w:p>
            <w:pPr>
              <w:spacing w:line="273" w:lineRule="auto"/>
            </w:pPr>
            <w:r>
              <w:rPr>
                <w:rFonts w:hint="eastAsia" w:ascii="宋体" w:hAnsi="宋体"/>
              </w:rPr>
              <w:t>（</w:t>
            </w:r>
            <w:r>
              <w:rPr>
                <w:rFonts w:cs="Calibri"/>
              </w:rPr>
              <w:t>1</w:t>
            </w:r>
            <w:r>
              <w:rPr>
                <w:rFonts w:hint="eastAsia" w:ascii="宋体" w:hAnsi="宋体"/>
              </w:rPr>
              <w:t>）缺交作业次数达</w:t>
            </w:r>
            <w:r>
              <w:t>1/3</w:t>
            </w:r>
            <w:r>
              <w:rPr>
                <w:rFonts w:hint="eastAsia" w:ascii="宋体" w:hAnsi="宋体"/>
              </w:rPr>
              <w:t>以上者。</w:t>
            </w:r>
          </w:p>
          <w:p>
            <w:pPr>
              <w:spacing w:line="273" w:lineRule="auto"/>
            </w:pPr>
            <w:r>
              <w:rPr>
                <w:rFonts w:hint="eastAsia" w:ascii="宋体" w:hAnsi="宋体"/>
              </w:rPr>
              <w:t>（</w:t>
            </w:r>
            <w:r>
              <w:rPr>
                <w:rFonts w:cs="Calibri"/>
              </w:rPr>
              <w:t>2</w:t>
            </w:r>
            <w:r>
              <w:rPr>
                <w:rFonts w:hint="eastAsia" w:ascii="宋体" w:hAnsi="宋体"/>
              </w:rPr>
              <w:t>）缺课次数达本学期总授课学时的</w:t>
            </w:r>
            <w:r>
              <w:t>1/3</w:t>
            </w:r>
            <w:r>
              <w:rPr>
                <w:rFonts w:hint="eastAsia" w:ascii="宋体" w:hAnsi="宋体"/>
              </w:rPr>
              <w:t>以上者。</w:t>
            </w:r>
          </w:p>
          <w:p>
            <w:r>
              <w:rPr>
                <w:rFonts w:hint="eastAsia" w:ascii="宋体" w:hAnsi="宋体"/>
              </w:rPr>
              <w:t>（</w:t>
            </w:r>
            <w:r>
              <w:rPr>
                <w:rFonts w:cs="Calibri"/>
              </w:rPr>
              <w:t>3</w:t>
            </w:r>
            <w:r>
              <w:rPr>
                <w:rFonts w:hint="eastAsia" w:ascii="宋体" w:hAnsi="宋体"/>
              </w:rPr>
              <w:t>）课程目标小于</w:t>
            </w:r>
            <w:r>
              <w:t>0.6</w:t>
            </w:r>
            <w:r>
              <w:rPr>
                <w:rFonts w:hint="eastAsia" w:ascii="宋体" w:hAnsi="宋体"/>
              </w:rPr>
              <w:t>。</w:t>
            </w:r>
          </w:p>
        </w:tc>
      </w:tr>
    </w:tbl>
    <w:p>
      <w:pPr>
        <w:spacing w:line="360" w:lineRule="auto"/>
        <w:rPr>
          <w:b/>
          <w:sz w:val="28"/>
          <w:szCs w:val="28"/>
        </w:rPr>
      </w:pPr>
      <w:r>
        <w:rPr>
          <w:rFonts w:hint="eastAsia"/>
          <w:b/>
          <w:sz w:val="28"/>
          <w:szCs w:val="28"/>
        </w:rPr>
        <w:t>五、课程考核</w:t>
      </w:r>
    </w:p>
    <w:p>
      <w:pPr>
        <w:spacing w:line="360" w:lineRule="auto"/>
        <w:ind w:firstLine="480" w:firstLineChars="200"/>
        <w:rPr>
          <w:sz w:val="24"/>
        </w:rPr>
      </w:pPr>
      <w:r>
        <w:rPr>
          <w:rFonts w:hint="eastAsia"/>
          <w:sz w:val="24"/>
        </w:rPr>
        <w:t>（一）课程考核包括期末考试及平时及作业考核等。</w:t>
      </w:r>
      <w:r>
        <w:rPr>
          <w:sz w:val="24"/>
        </w:rPr>
        <w:t xml:space="preserve"> </w:t>
      </w:r>
    </w:p>
    <w:p>
      <w:pPr>
        <w:spacing w:line="360" w:lineRule="auto"/>
        <w:ind w:firstLine="480" w:firstLineChars="200"/>
        <w:rPr>
          <w:rFonts w:hint="eastAsia"/>
          <w:sz w:val="24"/>
        </w:rPr>
      </w:pPr>
      <w:r>
        <w:rPr>
          <w:rFonts w:hint="eastAsia"/>
          <w:sz w:val="24"/>
        </w:rPr>
        <w:t>（二）课程总评成绩</w:t>
      </w:r>
      <w:r>
        <w:rPr>
          <w:sz w:val="24"/>
        </w:rPr>
        <w:t>=</w:t>
      </w:r>
      <w:r>
        <w:rPr>
          <w:rFonts w:hint="eastAsia"/>
          <w:sz w:val="24"/>
        </w:rPr>
        <w:t>平时成绩</w:t>
      </w:r>
      <w:r>
        <w:rPr>
          <w:sz w:val="24"/>
        </w:rPr>
        <w:t>×10% +</w:t>
      </w:r>
      <w:r>
        <w:rPr>
          <w:rFonts w:hint="eastAsia"/>
          <w:sz w:val="24"/>
        </w:rPr>
        <w:t>作业</w:t>
      </w:r>
      <w:r>
        <w:rPr>
          <w:sz w:val="24"/>
        </w:rPr>
        <w:t>×20% +</w:t>
      </w:r>
      <w:r>
        <w:rPr>
          <w:rFonts w:hint="eastAsia"/>
          <w:sz w:val="24"/>
        </w:rPr>
        <w:t>期末考试成绩</w:t>
      </w:r>
      <w:r>
        <w:rPr>
          <w:sz w:val="24"/>
        </w:rPr>
        <w:t>×70%</w:t>
      </w:r>
      <w:r>
        <w:rPr>
          <w:rFonts w:hint="eastAsia"/>
          <w:sz w:val="24"/>
        </w:rPr>
        <w:t>。具体内容和比例如表所示。</w:t>
      </w:r>
    </w:p>
    <w:p>
      <w:pPr>
        <w:spacing w:line="360" w:lineRule="auto"/>
        <w:ind w:firstLine="480" w:firstLineChars="200"/>
        <w:rPr>
          <w:sz w:val="24"/>
        </w:rPr>
      </w:pPr>
    </w:p>
    <w:tbl>
      <w:tblPr>
        <w:tblStyle w:val="10"/>
        <w:tblpPr w:leftFromText="180" w:rightFromText="180" w:vertAnchor="text" w:horzAnchor="margin" w:tblpXSpec="center" w:tblpY="244"/>
        <w:tblW w:w="91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715"/>
        <w:gridCol w:w="1560"/>
        <w:gridCol w:w="3260"/>
        <w:gridCol w:w="638"/>
        <w:gridCol w:w="638"/>
        <w:gridCol w:w="638"/>
        <w:gridCol w:w="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vMerge w:val="restart"/>
            <w:tcBorders>
              <w:top w:val="single" w:color="auto" w:sz="4" w:space="0"/>
              <w:left w:val="single" w:color="auto" w:sz="4" w:space="0"/>
              <w:bottom w:val="single" w:color="auto" w:sz="4" w:space="0"/>
              <w:right w:val="single" w:color="auto" w:sz="4" w:space="0"/>
            </w:tcBorders>
            <w:shd w:val="clear" w:color="auto" w:fill="FFFFFF"/>
            <w:noWrap w:val="0"/>
            <w:tcMar>
              <w:left w:w="57" w:type="dxa"/>
              <w:right w:w="57" w:type="dxa"/>
            </w:tcMar>
            <w:vAlign w:val="center"/>
          </w:tcPr>
          <w:p>
            <w:pPr>
              <w:widowControl w:val="0"/>
              <w:jc w:val="center"/>
              <w:rPr>
                <w:rFonts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考核环节</w:t>
            </w:r>
          </w:p>
        </w:tc>
        <w:tc>
          <w:tcPr>
            <w:tcW w:w="715" w:type="dxa"/>
            <w:vMerge w:val="restart"/>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成绩比例</w:t>
            </w:r>
          </w:p>
        </w:tc>
        <w:tc>
          <w:tcPr>
            <w:tcW w:w="4820" w:type="dxa"/>
            <w:gridSpan w:val="2"/>
            <w:vMerge w:val="restart"/>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考核内容与评价细则</w:t>
            </w:r>
          </w:p>
        </w:tc>
        <w:tc>
          <w:tcPr>
            <w:tcW w:w="2552" w:type="dxa"/>
            <w:gridSpan w:val="4"/>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支撑目标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vMerge w:val="continue"/>
            <w:tcBorders>
              <w:top w:val="single" w:color="auto" w:sz="4" w:space="0"/>
              <w:left w:val="single" w:color="auto" w:sz="4" w:space="0"/>
              <w:bottom w:val="single" w:color="auto" w:sz="4" w:space="0"/>
              <w:right w:val="single" w:color="auto" w:sz="4" w:space="0"/>
            </w:tcBorders>
            <w:shd w:val="clear" w:color="auto" w:fill="FFFFFF"/>
            <w:noWrap w:val="0"/>
            <w:tcMar>
              <w:left w:w="57" w:type="dxa"/>
              <w:right w:w="57" w:type="dxa"/>
            </w:tcMar>
            <w:vAlign w:val="center"/>
          </w:tcPr>
          <w:p>
            <w:pPr>
              <w:widowControl w:val="0"/>
              <w:jc w:val="center"/>
              <w:rPr>
                <w:rFonts w:ascii="Times New Roman" w:hAnsi="Times New Roman" w:eastAsia="宋体" w:cs="Times New Roman"/>
                <w:kern w:val="2"/>
                <w:sz w:val="21"/>
                <w:szCs w:val="24"/>
                <w:lang w:val="en-US" w:eastAsia="zh-CN" w:bidi="ar-SA"/>
              </w:rPr>
            </w:pPr>
          </w:p>
        </w:tc>
        <w:tc>
          <w:tcPr>
            <w:tcW w:w="715" w:type="dxa"/>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ascii="Times New Roman" w:hAnsi="Times New Roman" w:eastAsia="宋体" w:cs="Times New Roman"/>
                <w:kern w:val="2"/>
                <w:sz w:val="21"/>
                <w:szCs w:val="24"/>
                <w:lang w:val="en-US" w:eastAsia="zh-CN" w:bidi="ar-SA"/>
              </w:rPr>
            </w:pPr>
          </w:p>
        </w:tc>
        <w:tc>
          <w:tcPr>
            <w:tcW w:w="4820" w:type="dxa"/>
            <w:gridSpan w:val="2"/>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ascii="Times New Roman" w:hAnsi="Times New Roman" w:eastAsia="宋体" w:cs="Times New Roman"/>
                <w:kern w:val="2"/>
                <w:sz w:val="21"/>
                <w:szCs w:val="24"/>
                <w:lang w:val="en-US" w:eastAsia="zh-CN" w:bidi="ar-SA"/>
              </w:rPr>
            </w:pPr>
          </w:p>
        </w:tc>
        <w:tc>
          <w:tcPr>
            <w:tcW w:w="6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目标</w:t>
            </w:r>
            <w:r>
              <w:rPr>
                <w:rFonts w:ascii="Times New Roman" w:hAnsi="Times New Roman" w:eastAsia="宋体" w:cs="Times New Roman"/>
                <w:kern w:val="2"/>
                <w:sz w:val="21"/>
                <w:szCs w:val="24"/>
                <w:lang w:val="en-US" w:eastAsia="zh-CN" w:bidi="ar-SA"/>
              </w:rPr>
              <w:t>1</w:t>
            </w:r>
          </w:p>
        </w:tc>
        <w:tc>
          <w:tcPr>
            <w:tcW w:w="6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目标</w:t>
            </w:r>
            <w:r>
              <w:rPr>
                <w:rFonts w:ascii="Times New Roman" w:hAnsi="Times New Roman" w:eastAsia="宋体" w:cs="Times New Roman"/>
                <w:kern w:val="2"/>
                <w:sz w:val="21"/>
                <w:szCs w:val="24"/>
                <w:lang w:val="en-US" w:eastAsia="zh-CN" w:bidi="ar-SA"/>
              </w:rPr>
              <w:t>2</w:t>
            </w:r>
          </w:p>
        </w:tc>
        <w:tc>
          <w:tcPr>
            <w:tcW w:w="6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目标</w:t>
            </w:r>
            <w:r>
              <w:rPr>
                <w:rFonts w:ascii="Times New Roman" w:hAnsi="Times New Roman" w:eastAsia="宋体" w:cs="Times New Roman"/>
                <w:kern w:val="2"/>
                <w:sz w:val="21"/>
                <w:szCs w:val="24"/>
                <w:lang w:val="en-US" w:eastAsia="zh-CN" w:bidi="ar-SA"/>
              </w:rPr>
              <w:t>3</w:t>
            </w:r>
          </w:p>
        </w:tc>
        <w:tc>
          <w:tcPr>
            <w:tcW w:w="6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ascii="Times New Roman" w:hAnsi="Times New Roman" w:eastAsia="宋体" w:cs="Times New Roman"/>
                <w:kern w:val="2"/>
                <w:sz w:val="21"/>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tcBorders>
              <w:top w:val="single" w:color="auto" w:sz="4" w:space="0"/>
              <w:left w:val="single" w:color="auto" w:sz="4" w:space="0"/>
              <w:bottom w:val="single" w:color="auto" w:sz="4" w:space="0"/>
              <w:right w:val="single" w:color="auto" w:sz="4" w:space="0"/>
            </w:tcBorders>
            <w:shd w:val="clear" w:color="auto" w:fill="FFFFFF"/>
            <w:noWrap w:val="0"/>
            <w:tcMar>
              <w:left w:w="57" w:type="dxa"/>
              <w:right w:w="57" w:type="dxa"/>
            </w:tcMar>
            <w:vAlign w:val="center"/>
          </w:tcPr>
          <w:p>
            <w:pPr>
              <w:widowControl w:val="0"/>
              <w:jc w:val="center"/>
              <w:rPr>
                <w:rFonts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平时表现</w:t>
            </w:r>
          </w:p>
        </w:tc>
        <w:tc>
          <w:tcPr>
            <w:tcW w:w="715"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10%</w:t>
            </w:r>
          </w:p>
        </w:tc>
        <w:tc>
          <w:tcPr>
            <w:tcW w:w="4820"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both"/>
              <w:rPr>
                <w:rFonts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课堂不定期点名，考核能否按时到勤，对于旷课、迟到和早退者适当扣分，根据平时课堂笔记、课堂回答问题等情况确定平时表现分数。</w:t>
            </w:r>
          </w:p>
        </w:tc>
        <w:tc>
          <w:tcPr>
            <w:tcW w:w="6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ascii="Times New Roman" w:hAnsi="Times New Roman" w:eastAsia="宋体" w:cs="Times New Roman"/>
                <w:kern w:val="2"/>
                <w:sz w:val="21"/>
                <w:szCs w:val="24"/>
                <w:highlight w:val="yellow"/>
                <w:lang w:val="en-US" w:eastAsia="zh-CN" w:bidi="ar-SA"/>
              </w:rPr>
            </w:pPr>
            <w:r>
              <w:rPr>
                <w:rFonts w:ascii="Times New Roman" w:hAnsi="Times New Roman" w:eastAsia="宋体" w:cs="Times New Roman"/>
                <w:kern w:val="2"/>
                <w:sz w:val="21"/>
                <w:szCs w:val="24"/>
                <w:lang w:val="en-US" w:eastAsia="zh-CN" w:bidi="ar-SA"/>
              </w:rPr>
              <w:t>5%</w:t>
            </w:r>
          </w:p>
        </w:tc>
        <w:tc>
          <w:tcPr>
            <w:tcW w:w="6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ascii="Times New Roman" w:hAnsi="Times New Roman" w:eastAsia="宋体" w:cs="Times New Roman"/>
                <w:kern w:val="2"/>
                <w:sz w:val="21"/>
                <w:szCs w:val="24"/>
                <w:highlight w:val="yellow"/>
                <w:lang w:val="en-US" w:eastAsia="zh-CN" w:bidi="ar-SA"/>
              </w:rPr>
            </w:pPr>
            <w:r>
              <w:rPr>
                <w:rFonts w:ascii="Times New Roman" w:hAnsi="Times New Roman" w:eastAsia="宋体" w:cs="Times New Roman"/>
                <w:kern w:val="2"/>
                <w:sz w:val="21"/>
                <w:szCs w:val="24"/>
                <w:lang w:val="en-US" w:eastAsia="zh-CN" w:bidi="ar-SA"/>
              </w:rPr>
              <w:t>5%</w:t>
            </w:r>
          </w:p>
        </w:tc>
        <w:tc>
          <w:tcPr>
            <w:tcW w:w="6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ascii="Times New Roman" w:hAnsi="Times New Roman" w:eastAsia="宋体" w:cs="Times New Roman"/>
                <w:kern w:val="2"/>
                <w:sz w:val="21"/>
                <w:szCs w:val="24"/>
                <w:lang w:val="en-US" w:eastAsia="zh-CN" w:bidi="ar-SA"/>
              </w:rPr>
            </w:pPr>
          </w:p>
        </w:tc>
        <w:tc>
          <w:tcPr>
            <w:tcW w:w="6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ascii="Times New Roman" w:hAnsi="Times New Roman" w:eastAsia="宋体" w:cs="Times New Roman"/>
                <w:kern w:val="2"/>
                <w:sz w:val="21"/>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043" w:type="dxa"/>
            <w:tcBorders>
              <w:top w:val="single" w:color="auto" w:sz="4" w:space="0"/>
              <w:left w:val="single" w:color="auto" w:sz="4" w:space="0"/>
              <w:bottom w:val="single" w:color="auto" w:sz="4" w:space="0"/>
              <w:right w:val="single" w:color="auto" w:sz="4" w:space="0"/>
            </w:tcBorders>
            <w:shd w:val="clear" w:color="auto" w:fill="auto"/>
            <w:noWrap w:val="0"/>
            <w:tcMar>
              <w:left w:w="57" w:type="dxa"/>
              <w:right w:w="57" w:type="dxa"/>
            </w:tcMar>
            <w:vAlign w:val="center"/>
          </w:tcPr>
          <w:p>
            <w:pPr>
              <w:widowControl w:val="0"/>
              <w:jc w:val="center"/>
              <w:rPr>
                <w:rFonts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作</w:t>
            </w:r>
            <w:r>
              <w:rPr>
                <w:rFonts w:ascii="Times New Roman" w:hAnsi="Times New Roman" w:eastAsia="宋体" w:cs="Times New Roman"/>
                <w:kern w:val="2"/>
                <w:sz w:val="21"/>
                <w:szCs w:val="24"/>
                <w:lang w:val="en-US" w:eastAsia="zh-CN" w:bidi="ar-SA"/>
              </w:rPr>
              <w:t xml:space="preserve">    </w:t>
            </w:r>
            <w:r>
              <w:rPr>
                <w:rFonts w:hint="eastAsia" w:ascii="Times New Roman" w:hAnsi="Times New Roman" w:eastAsia="宋体" w:cs="Times New Roman"/>
                <w:kern w:val="2"/>
                <w:sz w:val="21"/>
                <w:szCs w:val="24"/>
                <w:lang w:val="en-US" w:eastAsia="zh-CN" w:bidi="ar-SA"/>
              </w:rPr>
              <w:t>业</w:t>
            </w:r>
          </w:p>
        </w:tc>
        <w:tc>
          <w:tcPr>
            <w:tcW w:w="71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val="0"/>
              <w:jc w:val="center"/>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20%</w:t>
            </w:r>
          </w:p>
        </w:tc>
        <w:tc>
          <w:tcPr>
            <w:tcW w:w="4820"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val="0"/>
              <w:jc w:val="both"/>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每章节对应有思考题和习题，考核学生对每节课知识点的复习、理解和掌握度。对每次作业完成情况做记录并百分制打分。</w:t>
            </w:r>
          </w:p>
        </w:tc>
        <w:tc>
          <w:tcPr>
            <w:tcW w:w="6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ascii="Times New Roman" w:hAnsi="Times New Roman" w:eastAsia="宋体" w:cs="Times New Roman"/>
                <w:color w:val="000000"/>
                <w:kern w:val="2"/>
                <w:sz w:val="21"/>
                <w:szCs w:val="21"/>
                <w:lang w:val="en-US" w:eastAsia="zh-CN" w:bidi="ar-SA"/>
              </w:rPr>
            </w:pPr>
            <w:r>
              <w:rPr>
                <w:rFonts w:ascii="Times New Roman" w:hAnsi="Times New Roman" w:eastAsia="宋体" w:cs="Times New Roman"/>
                <w:color w:val="000000"/>
                <w:kern w:val="2"/>
                <w:sz w:val="21"/>
                <w:szCs w:val="21"/>
                <w:lang w:val="en-US" w:eastAsia="zh-CN" w:bidi="ar-SA"/>
              </w:rPr>
              <w:t>10%</w:t>
            </w:r>
          </w:p>
        </w:tc>
        <w:tc>
          <w:tcPr>
            <w:tcW w:w="6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ascii="Times New Roman" w:hAnsi="Times New Roman" w:eastAsia="宋体" w:cs="Times New Roman"/>
                <w:color w:val="000000"/>
                <w:kern w:val="2"/>
                <w:sz w:val="21"/>
                <w:szCs w:val="21"/>
                <w:lang w:val="en-US" w:eastAsia="zh-CN" w:bidi="ar-SA"/>
              </w:rPr>
            </w:pPr>
          </w:p>
        </w:tc>
        <w:tc>
          <w:tcPr>
            <w:tcW w:w="6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ascii="Times New Roman" w:hAnsi="Times New Roman" w:eastAsia="宋体" w:cs="Times New Roman"/>
                <w:color w:val="000000"/>
                <w:kern w:val="2"/>
                <w:sz w:val="21"/>
                <w:szCs w:val="21"/>
                <w:lang w:val="en-US" w:eastAsia="zh-CN" w:bidi="ar-SA"/>
              </w:rPr>
            </w:pPr>
            <w:r>
              <w:rPr>
                <w:rFonts w:ascii="Times New Roman" w:hAnsi="Times New Roman" w:eastAsia="宋体" w:cs="Times New Roman"/>
                <w:color w:val="000000"/>
                <w:kern w:val="2"/>
                <w:sz w:val="21"/>
                <w:szCs w:val="21"/>
                <w:lang w:val="en-US" w:eastAsia="zh-CN" w:bidi="ar-SA"/>
              </w:rPr>
              <w:t>10%</w:t>
            </w:r>
          </w:p>
        </w:tc>
        <w:tc>
          <w:tcPr>
            <w:tcW w:w="6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ascii="Times New Roman" w:hAnsi="Times New Roman" w:eastAsia="宋体" w:cs="Times New Roman"/>
                <w:color w:val="000000"/>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043" w:type="dxa"/>
            <w:vMerge w:val="restart"/>
            <w:tcBorders>
              <w:top w:val="single" w:color="auto" w:sz="4" w:space="0"/>
              <w:left w:val="single" w:color="auto" w:sz="4" w:space="0"/>
              <w:bottom w:val="single" w:color="auto" w:sz="4" w:space="0"/>
              <w:right w:val="single" w:color="auto" w:sz="4" w:space="0"/>
            </w:tcBorders>
            <w:shd w:val="clear" w:color="auto" w:fill="auto"/>
            <w:noWrap w:val="0"/>
            <w:tcMar>
              <w:left w:w="57" w:type="dxa"/>
              <w:right w:w="57" w:type="dxa"/>
            </w:tcMar>
            <w:vAlign w:val="center"/>
          </w:tcPr>
          <w:p>
            <w:pPr>
              <w:widowControl w:val="0"/>
              <w:jc w:val="center"/>
              <w:rPr>
                <w:rFonts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期末试卷</w:t>
            </w:r>
          </w:p>
        </w:tc>
        <w:tc>
          <w:tcPr>
            <w:tcW w:w="71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val="0"/>
              <w:jc w:val="center"/>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 xml:space="preserve">70% </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val="0"/>
              <w:jc w:val="center"/>
              <w:rPr>
                <w:rFonts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题型</w:t>
            </w:r>
          </w:p>
        </w:tc>
        <w:tc>
          <w:tcPr>
            <w:tcW w:w="326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pPr>
            <w:r>
              <w:rPr>
                <w:rFonts w:hint="eastAsia"/>
                <w:color w:val="000000"/>
                <w:szCs w:val="21"/>
              </w:rPr>
              <w:t>考核内容及相应试题</w:t>
            </w:r>
          </w:p>
        </w:tc>
        <w:tc>
          <w:tcPr>
            <w:tcW w:w="2552" w:type="dxa"/>
            <w:gridSpan w:val="4"/>
            <w:tcBorders>
              <w:top w:val="single" w:color="auto" w:sz="4" w:space="0"/>
              <w:left w:val="single" w:color="auto" w:sz="4" w:space="0"/>
              <w:bottom w:val="single" w:color="auto" w:sz="4" w:space="0"/>
              <w:right w:val="single" w:color="auto" w:sz="4" w:space="0"/>
              <w:tl2br w:val="single" w:color="auto" w:sz="4" w:space="0"/>
            </w:tcBorders>
            <w:shd w:val="clear" w:color="auto" w:fill="FFFFFF"/>
            <w:noWrap w:val="0"/>
            <w:vAlign w:val="top"/>
          </w:tcPr>
          <w:p>
            <w:pPr>
              <w:widowControl w:val="0"/>
              <w:jc w:val="both"/>
              <w:rPr>
                <w:rFonts w:ascii="Times New Roman" w:hAnsi="Times New Roman" w:eastAsia="楷体" w:cs="Times New Roman"/>
                <w:kern w:val="2"/>
                <w:sz w:val="21"/>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tcBorders>
              <w:top w:val="single" w:color="auto" w:sz="4" w:space="0"/>
              <w:left w:val="single" w:color="auto" w:sz="4" w:space="0"/>
              <w:bottom w:val="single" w:color="auto" w:sz="4" w:space="0"/>
              <w:right w:val="single" w:color="auto" w:sz="4" w:space="0"/>
            </w:tcBorders>
            <w:shd w:val="clear" w:color="auto" w:fill="auto"/>
            <w:noWrap w:val="0"/>
            <w:tcMar>
              <w:left w:w="57" w:type="dxa"/>
              <w:right w:w="57" w:type="dxa"/>
            </w:tcMar>
            <w:vAlign w:val="center"/>
          </w:tcPr>
          <w:p>
            <w:pPr>
              <w:widowControl w:val="0"/>
              <w:jc w:val="center"/>
              <w:rPr>
                <w:rFonts w:ascii="Times New Roman" w:hAnsi="Times New Roman" w:eastAsia="宋体" w:cs="Times New Roman"/>
                <w:kern w:val="2"/>
                <w:sz w:val="21"/>
                <w:szCs w:val="24"/>
                <w:lang w:val="en-US" w:eastAsia="zh-CN" w:bidi="ar-SA"/>
              </w:rPr>
            </w:pPr>
          </w:p>
        </w:tc>
        <w:tc>
          <w:tcPr>
            <w:tcW w:w="7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val="0"/>
              <w:jc w:val="center"/>
              <w:rPr>
                <w:rFonts w:ascii="Times New Roman" w:hAnsi="Times New Roman" w:eastAsia="宋体" w:cs="Times New Roman"/>
                <w:kern w:val="2"/>
                <w:sz w:val="21"/>
                <w:szCs w:val="24"/>
                <w:lang w:val="en-US" w:eastAsia="zh-CN" w:bidi="ar-SA"/>
              </w:rPr>
            </w:pPr>
          </w:p>
        </w:tc>
        <w:tc>
          <w:tcPr>
            <w:tcW w:w="156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val="0"/>
              <w:jc w:val="center"/>
              <w:rPr>
                <w:rFonts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选择题</w:t>
            </w:r>
          </w:p>
        </w:tc>
        <w:tc>
          <w:tcPr>
            <w:tcW w:w="326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val="0"/>
              <w:jc w:val="both"/>
              <w:rPr>
                <w:rFonts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主要考核化工技术经济分析的基本要素的基本概念和定律、化工技术经济的基本原理</w:t>
            </w:r>
          </w:p>
        </w:tc>
        <w:tc>
          <w:tcPr>
            <w:tcW w:w="6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jc w:val="center"/>
            </w:pPr>
            <w:r>
              <w:t>10%</w:t>
            </w:r>
          </w:p>
        </w:tc>
        <w:tc>
          <w:tcPr>
            <w:tcW w:w="6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jc w:val="center"/>
            </w:pPr>
          </w:p>
        </w:tc>
        <w:tc>
          <w:tcPr>
            <w:tcW w:w="6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jc w:val="center"/>
            </w:pPr>
          </w:p>
        </w:tc>
        <w:tc>
          <w:tcPr>
            <w:tcW w:w="6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tcBorders>
              <w:top w:val="single" w:color="auto" w:sz="4" w:space="0"/>
              <w:left w:val="single" w:color="auto" w:sz="4" w:space="0"/>
              <w:bottom w:val="single" w:color="auto" w:sz="4" w:space="0"/>
              <w:right w:val="single" w:color="auto" w:sz="4" w:space="0"/>
            </w:tcBorders>
            <w:shd w:val="clear" w:color="auto" w:fill="auto"/>
            <w:noWrap w:val="0"/>
            <w:tcMar>
              <w:left w:w="57" w:type="dxa"/>
              <w:right w:w="57" w:type="dxa"/>
            </w:tcMar>
            <w:vAlign w:val="center"/>
          </w:tcPr>
          <w:p>
            <w:pPr>
              <w:widowControl w:val="0"/>
              <w:jc w:val="center"/>
              <w:rPr>
                <w:rFonts w:ascii="Times New Roman" w:hAnsi="Times New Roman" w:eastAsia="宋体" w:cs="Times New Roman"/>
                <w:kern w:val="2"/>
                <w:sz w:val="21"/>
                <w:szCs w:val="24"/>
                <w:lang w:val="en-US" w:eastAsia="zh-CN" w:bidi="ar-SA"/>
              </w:rPr>
            </w:pPr>
          </w:p>
        </w:tc>
        <w:tc>
          <w:tcPr>
            <w:tcW w:w="7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val="0"/>
              <w:jc w:val="center"/>
              <w:rPr>
                <w:rFonts w:ascii="Times New Roman" w:hAnsi="Times New Roman" w:eastAsia="宋体" w:cs="Times New Roman"/>
                <w:kern w:val="2"/>
                <w:sz w:val="21"/>
                <w:szCs w:val="24"/>
                <w:lang w:val="en-US" w:eastAsia="zh-CN" w:bidi="ar-SA"/>
              </w:rPr>
            </w:pPr>
          </w:p>
        </w:tc>
        <w:tc>
          <w:tcPr>
            <w:tcW w:w="156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val="0"/>
              <w:jc w:val="center"/>
              <w:rPr>
                <w:rFonts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填空题</w:t>
            </w:r>
          </w:p>
        </w:tc>
        <w:tc>
          <w:tcPr>
            <w:tcW w:w="326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rPr>
                <w:szCs w:val="21"/>
              </w:rPr>
            </w:pPr>
            <w:r>
              <w:rPr>
                <w:rFonts w:hint="eastAsia"/>
                <w:color w:val="000000"/>
                <w:szCs w:val="21"/>
              </w:rPr>
              <w:t>主要考核</w:t>
            </w:r>
            <w:r>
              <w:rPr>
                <w:rFonts w:hint="eastAsia" w:ascii="宋体" w:hAnsi="宋体"/>
                <w:color w:val="000000"/>
              </w:rPr>
              <w:t>经济评价方法、不定性分析及风险决策、技术经济预测方法。</w:t>
            </w:r>
          </w:p>
        </w:tc>
        <w:tc>
          <w:tcPr>
            <w:tcW w:w="6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ascii="Times New Roman" w:hAnsi="Times New Roman" w:eastAsia="宋体" w:cs="Times New Roman"/>
                <w:color w:val="000000"/>
                <w:kern w:val="2"/>
                <w:sz w:val="21"/>
                <w:szCs w:val="21"/>
                <w:lang w:val="en-US" w:eastAsia="zh-CN" w:bidi="ar-SA"/>
              </w:rPr>
            </w:pPr>
            <w:r>
              <w:rPr>
                <w:rFonts w:ascii="Times New Roman" w:hAnsi="Times New Roman" w:eastAsia="宋体" w:cs="Times New Roman"/>
                <w:color w:val="000000"/>
                <w:kern w:val="2"/>
                <w:sz w:val="21"/>
                <w:szCs w:val="21"/>
                <w:lang w:val="en-US" w:eastAsia="zh-CN" w:bidi="ar-SA"/>
              </w:rPr>
              <w:t>15%</w:t>
            </w:r>
          </w:p>
        </w:tc>
        <w:tc>
          <w:tcPr>
            <w:tcW w:w="6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ascii="Times New Roman" w:hAnsi="Times New Roman" w:eastAsia="宋体" w:cs="Times New Roman"/>
                <w:color w:val="000000"/>
                <w:kern w:val="2"/>
                <w:sz w:val="21"/>
                <w:szCs w:val="21"/>
                <w:lang w:val="en-US" w:eastAsia="zh-CN" w:bidi="ar-SA"/>
              </w:rPr>
            </w:pPr>
          </w:p>
        </w:tc>
        <w:tc>
          <w:tcPr>
            <w:tcW w:w="6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ascii="Times New Roman" w:hAnsi="Times New Roman" w:eastAsia="宋体" w:cs="Times New Roman"/>
                <w:color w:val="000000"/>
                <w:kern w:val="2"/>
                <w:sz w:val="21"/>
                <w:szCs w:val="21"/>
                <w:lang w:val="en-US" w:eastAsia="zh-CN" w:bidi="ar-SA"/>
              </w:rPr>
            </w:pPr>
          </w:p>
        </w:tc>
        <w:tc>
          <w:tcPr>
            <w:tcW w:w="6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ascii="Times New Roman" w:hAnsi="Times New Roman" w:eastAsia="宋体" w:cs="Times New Roman"/>
                <w:color w:val="000000"/>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tcBorders>
              <w:top w:val="single" w:color="auto" w:sz="4" w:space="0"/>
              <w:left w:val="single" w:color="auto" w:sz="4" w:space="0"/>
              <w:bottom w:val="single" w:color="auto" w:sz="4" w:space="0"/>
              <w:right w:val="single" w:color="auto" w:sz="4" w:space="0"/>
            </w:tcBorders>
            <w:shd w:val="clear" w:color="auto" w:fill="auto"/>
            <w:noWrap w:val="0"/>
            <w:tcMar>
              <w:left w:w="57" w:type="dxa"/>
              <w:right w:w="57" w:type="dxa"/>
            </w:tcMar>
            <w:vAlign w:val="center"/>
          </w:tcPr>
          <w:p>
            <w:pPr>
              <w:widowControl w:val="0"/>
              <w:jc w:val="center"/>
              <w:rPr>
                <w:rFonts w:ascii="Times New Roman" w:hAnsi="Times New Roman" w:eastAsia="宋体" w:cs="Times New Roman"/>
                <w:kern w:val="2"/>
                <w:sz w:val="21"/>
                <w:szCs w:val="24"/>
                <w:lang w:val="en-US" w:eastAsia="zh-CN" w:bidi="ar-SA"/>
              </w:rPr>
            </w:pPr>
          </w:p>
        </w:tc>
        <w:tc>
          <w:tcPr>
            <w:tcW w:w="7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val="0"/>
              <w:jc w:val="center"/>
              <w:rPr>
                <w:rFonts w:ascii="Times New Roman" w:hAnsi="Times New Roman" w:eastAsia="宋体" w:cs="Times New Roman"/>
                <w:kern w:val="2"/>
                <w:sz w:val="21"/>
                <w:szCs w:val="24"/>
                <w:lang w:val="en-US" w:eastAsia="zh-CN" w:bidi="ar-SA"/>
              </w:rPr>
            </w:pPr>
          </w:p>
        </w:tc>
        <w:tc>
          <w:tcPr>
            <w:tcW w:w="156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val="0"/>
              <w:jc w:val="center"/>
              <w:rPr>
                <w:rFonts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简答题</w:t>
            </w:r>
          </w:p>
        </w:tc>
        <w:tc>
          <w:tcPr>
            <w:tcW w:w="326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rPr>
                <w:szCs w:val="21"/>
              </w:rPr>
            </w:pPr>
            <w:r>
              <w:rPr>
                <w:rFonts w:hint="eastAsia"/>
                <w:color w:val="000000"/>
                <w:szCs w:val="21"/>
              </w:rPr>
              <w:t>主要考核</w:t>
            </w:r>
            <w:r>
              <w:rPr>
                <w:rFonts w:hint="eastAsia" w:ascii="宋体" w:hAnsi="宋体"/>
                <w:color w:val="000000"/>
              </w:rPr>
              <w:t>项目可行性分析、</w:t>
            </w:r>
            <w:r>
              <w:rPr>
                <w:rFonts w:hint="eastAsia"/>
                <w:color w:val="000000"/>
              </w:rPr>
              <w:t>技术改造和设备更新的技术经济分析</w:t>
            </w:r>
          </w:p>
          <w:p>
            <w:pPr>
              <w:rPr>
                <w:szCs w:val="21"/>
              </w:rPr>
            </w:pPr>
            <w:r>
              <w:rPr>
                <w:rFonts w:hint="eastAsia"/>
                <w:szCs w:val="21"/>
              </w:rPr>
              <w:t>、技</w:t>
            </w:r>
            <w:r>
              <w:rPr>
                <w:rFonts w:hint="eastAsia" w:ascii="宋体" w:hAnsi="宋体"/>
                <w:color w:val="000000"/>
              </w:rPr>
              <w:t>术创新与研究开发技术经济分析及管理概论。</w:t>
            </w:r>
          </w:p>
        </w:tc>
        <w:tc>
          <w:tcPr>
            <w:tcW w:w="6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ascii="Times New Roman" w:hAnsi="Times New Roman" w:eastAsia="宋体" w:cs="Times New Roman"/>
                <w:color w:val="000000"/>
                <w:kern w:val="2"/>
                <w:sz w:val="21"/>
                <w:szCs w:val="21"/>
                <w:lang w:val="en-US" w:eastAsia="zh-CN" w:bidi="ar-SA"/>
              </w:rPr>
            </w:pPr>
          </w:p>
        </w:tc>
        <w:tc>
          <w:tcPr>
            <w:tcW w:w="6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ascii="Times New Roman" w:hAnsi="Times New Roman" w:eastAsia="宋体" w:cs="Times New Roman"/>
                <w:color w:val="000000"/>
                <w:kern w:val="2"/>
                <w:sz w:val="21"/>
                <w:szCs w:val="21"/>
                <w:lang w:val="en-US" w:eastAsia="zh-CN" w:bidi="ar-SA"/>
              </w:rPr>
            </w:pPr>
            <w:r>
              <w:rPr>
                <w:rFonts w:ascii="Times New Roman" w:hAnsi="Times New Roman" w:eastAsia="宋体" w:cs="Times New Roman"/>
                <w:color w:val="000000"/>
                <w:kern w:val="2"/>
                <w:sz w:val="21"/>
                <w:szCs w:val="21"/>
                <w:lang w:val="en-US" w:eastAsia="zh-CN" w:bidi="ar-SA"/>
              </w:rPr>
              <w:t>25%</w:t>
            </w:r>
          </w:p>
        </w:tc>
        <w:tc>
          <w:tcPr>
            <w:tcW w:w="6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ascii="Times New Roman" w:hAnsi="Times New Roman" w:eastAsia="宋体" w:cs="Times New Roman"/>
                <w:color w:val="000000"/>
                <w:kern w:val="2"/>
                <w:sz w:val="21"/>
                <w:szCs w:val="21"/>
                <w:lang w:val="en-US" w:eastAsia="zh-CN" w:bidi="ar-SA"/>
              </w:rPr>
            </w:pPr>
            <w:r>
              <w:rPr>
                <w:rFonts w:ascii="Times New Roman" w:hAnsi="Times New Roman" w:eastAsia="宋体" w:cs="Times New Roman"/>
                <w:color w:val="000000"/>
                <w:kern w:val="2"/>
                <w:sz w:val="21"/>
                <w:szCs w:val="21"/>
                <w:lang w:val="en-US" w:eastAsia="zh-CN" w:bidi="ar-SA"/>
              </w:rPr>
              <w:t>20%</w:t>
            </w:r>
          </w:p>
        </w:tc>
        <w:tc>
          <w:tcPr>
            <w:tcW w:w="6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ascii="Times New Roman" w:hAnsi="Times New Roman" w:eastAsia="宋体" w:cs="Times New Roman"/>
                <w:color w:val="000000"/>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043" w:type="dxa"/>
            <w:tcBorders>
              <w:top w:val="single" w:color="auto" w:sz="4" w:space="0"/>
              <w:left w:val="single" w:color="auto" w:sz="4" w:space="0"/>
              <w:bottom w:val="single" w:color="auto" w:sz="4" w:space="0"/>
              <w:right w:val="single" w:color="auto" w:sz="4" w:space="0"/>
            </w:tcBorders>
            <w:shd w:val="clear" w:color="auto" w:fill="auto"/>
            <w:noWrap w:val="0"/>
            <w:tcMar>
              <w:left w:w="57" w:type="dxa"/>
              <w:right w:w="57" w:type="dxa"/>
            </w:tcMar>
            <w:vAlign w:val="center"/>
          </w:tcPr>
          <w:p>
            <w:pPr>
              <w:widowControl w:val="0"/>
              <w:jc w:val="center"/>
              <w:rPr>
                <w:rFonts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合</w:t>
            </w:r>
            <w:r>
              <w:rPr>
                <w:rFonts w:ascii="Times New Roman" w:hAnsi="Times New Roman" w:eastAsia="宋体" w:cs="Times New Roman"/>
                <w:kern w:val="2"/>
                <w:sz w:val="21"/>
                <w:szCs w:val="24"/>
                <w:lang w:val="en-US" w:eastAsia="zh-CN" w:bidi="ar-SA"/>
              </w:rPr>
              <w:t xml:space="preserve">    </w:t>
            </w:r>
            <w:r>
              <w:rPr>
                <w:rFonts w:hint="eastAsia" w:ascii="Times New Roman" w:hAnsi="Times New Roman" w:eastAsia="宋体" w:cs="Times New Roman"/>
                <w:kern w:val="2"/>
                <w:sz w:val="21"/>
                <w:szCs w:val="24"/>
                <w:lang w:val="en-US" w:eastAsia="zh-CN" w:bidi="ar-SA"/>
              </w:rPr>
              <w:t>计</w:t>
            </w:r>
          </w:p>
        </w:tc>
        <w:tc>
          <w:tcPr>
            <w:tcW w:w="71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val="0"/>
              <w:jc w:val="center"/>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100%</w:t>
            </w:r>
          </w:p>
        </w:tc>
        <w:tc>
          <w:tcPr>
            <w:tcW w:w="4820"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val="0"/>
              <w:jc w:val="both"/>
              <w:rPr>
                <w:rFonts w:ascii="Times New Roman" w:hAnsi="Times New Roman" w:eastAsia="宋体" w:cs="Times New Roman"/>
                <w:color w:val="000000"/>
                <w:kern w:val="2"/>
                <w:sz w:val="21"/>
                <w:szCs w:val="21"/>
                <w:lang w:val="en-US" w:eastAsia="zh-CN" w:bidi="ar-SA"/>
              </w:rPr>
            </w:pPr>
          </w:p>
        </w:tc>
        <w:tc>
          <w:tcPr>
            <w:tcW w:w="6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ascii="Times New Roman" w:hAnsi="Times New Roman" w:eastAsia="宋体" w:cs="Times New Roman"/>
                <w:color w:val="000000"/>
                <w:kern w:val="2"/>
                <w:sz w:val="21"/>
                <w:szCs w:val="21"/>
                <w:lang w:val="en-US" w:eastAsia="zh-CN" w:bidi="ar-SA"/>
              </w:rPr>
            </w:pPr>
            <w:r>
              <w:rPr>
                <w:rFonts w:ascii="Times New Roman" w:hAnsi="Times New Roman" w:eastAsia="宋体" w:cs="Times New Roman"/>
                <w:color w:val="000000"/>
                <w:kern w:val="2"/>
                <w:sz w:val="21"/>
                <w:szCs w:val="21"/>
                <w:lang w:val="en-US" w:eastAsia="zh-CN" w:bidi="ar-SA"/>
              </w:rPr>
              <w:t>40%</w:t>
            </w:r>
          </w:p>
        </w:tc>
        <w:tc>
          <w:tcPr>
            <w:tcW w:w="6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ascii="Times New Roman" w:hAnsi="Times New Roman" w:eastAsia="宋体" w:cs="Times New Roman"/>
                <w:color w:val="000000"/>
                <w:kern w:val="2"/>
                <w:sz w:val="21"/>
                <w:szCs w:val="21"/>
                <w:lang w:val="en-US" w:eastAsia="zh-CN" w:bidi="ar-SA"/>
              </w:rPr>
            </w:pPr>
            <w:r>
              <w:rPr>
                <w:rFonts w:ascii="Times New Roman" w:hAnsi="Times New Roman" w:eastAsia="宋体" w:cs="Times New Roman"/>
                <w:color w:val="000000"/>
                <w:kern w:val="2"/>
                <w:sz w:val="21"/>
                <w:szCs w:val="21"/>
                <w:lang w:val="en-US" w:eastAsia="zh-CN" w:bidi="ar-SA"/>
              </w:rPr>
              <w:t>30%</w:t>
            </w:r>
          </w:p>
        </w:tc>
        <w:tc>
          <w:tcPr>
            <w:tcW w:w="6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ascii="Times New Roman" w:hAnsi="Times New Roman" w:eastAsia="宋体" w:cs="Times New Roman"/>
                <w:color w:val="000000"/>
                <w:kern w:val="2"/>
                <w:sz w:val="21"/>
                <w:szCs w:val="21"/>
                <w:lang w:val="en-US" w:eastAsia="zh-CN" w:bidi="ar-SA"/>
              </w:rPr>
            </w:pPr>
            <w:r>
              <w:rPr>
                <w:rFonts w:ascii="Times New Roman" w:hAnsi="Times New Roman" w:eastAsia="宋体" w:cs="Times New Roman"/>
                <w:color w:val="000000"/>
                <w:kern w:val="2"/>
                <w:sz w:val="21"/>
                <w:szCs w:val="21"/>
                <w:lang w:val="en-US" w:eastAsia="zh-CN" w:bidi="ar-SA"/>
              </w:rPr>
              <w:t>30%</w:t>
            </w:r>
          </w:p>
        </w:tc>
        <w:tc>
          <w:tcPr>
            <w:tcW w:w="6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ascii="Times New Roman" w:hAnsi="Times New Roman" w:eastAsia="宋体" w:cs="Times New Roman"/>
                <w:color w:val="000000"/>
                <w:kern w:val="2"/>
                <w:sz w:val="21"/>
                <w:szCs w:val="21"/>
                <w:lang w:val="en-US" w:eastAsia="zh-CN" w:bidi="ar-SA"/>
              </w:rPr>
            </w:pPr>
          </w:p>
        </w:tc>
      </w:tr>
    </w:tbl>
    <w:p>
      <w:pPr>
        <w:spacing w:line="360" w:lineRule="auto"/>
        <w:rPr>
          <w:sz w:val="24"/>
          <w:szCs w:val="22"/>
        </w:rPr>
      </w:pPr>
      <w:r>
        <w:rPr>
          <w:rFonts w:hint="eastAsia"/>
          <w:sz w:val="24"/>
          <w:szCs w:val="22"/>
        </w:rPr>
        <w:t>备注：</w:t>
      </w:r>
      <w:r>
        <w:rPr>
          <w:sz w:val="24"/>
          <w:szCs w:val="22"/>
        </w:rPr>
        <w:t xml:space="preserve">1. </w:t>
      </w:r>
      <w:r>
        <w:rPr>
          <w:rFonts w:hint="eastAsia"/>
          <w:sz w:val="24"/>
          <w:szCs w:val="22"/>
        </w:rPr>
        <w:t>课程目标达成度计算方法如下：</w:t>
      </w:r>
    </w:p>
    <w:p>
      <w:pPr>
        <w:spacing w:line="360" w:lineRule="auto"/>
        <w:jc w:val="center"/>
        <w:rPr>
          <w:sz w:val="24"/>
          <w:szCs w:val="22"/>
        </w:rPr>
      </w:pPr>
      <w:r>
        <w:rPr>
          <w:rFonts w:hint="eastAsia"/>
          <w:position w:val="-26"/>
          <w:sz w:val="24"/>
          <w:szCs w:val="22"/>
        </w:rPr>
        <w:object>
          <v:shape id="_x0000_i1033" o:spt="75" type="#_x0000_t75" style="height:32.2pt;width:333.6pt;" o:ole="t" filled="f" o:preferrelative="t" stroked="f" coordsize="21600,21600">
            <v:path/>
            <v:fill on="f" focussize="0,0"/>
            <v:stroke on="f"/>
            <v:imagedata r:id="rId20" o:title=""/>
            <o:lock v:ext="edit" aspectratio="t"/>
            <w10:wrap type="none"/>
            <w10:anchorlock/>
          </v:shape>
          <o:OLEObject Type="Embed" ProgID="Equation.DSMT4" ShapeID="_x0000_i1033" DrawAspect="Content" ObjectID="_1468075736" r:id="rId34">
            <o:LockedField>false</o:LockedField>
          </o:OLEObject>
        </w:object>
      </w:r>
    </w:p>
    <w:p>
      <w:pPr>
        <w:spacing w:line="360" w:lineRule="auto"/>
        <w:ind w:firstLine="720" w:firstLineChars="300"/>
        <w:rPr>
          <w:sz w:val="24"/>
          <w:szCs w:val="22"/>
        </w:rPr>
      </w:pPr>
      <w:r>
        <w:rPr>
          <w:sz w:val="24"/>
          <w:szCs w:val="22"/>
        </w:rPr>
        <w:t xml:space="preserve">2. </w:t>
      </w:r>
      <w:r>
        <w:rPr>
          <w:rFonts w:hint="eastAsia"/>
          <w:sz w:val="24"/>
          <w:szCs w:val="22"/>
        </w:rPr>
        <w:t>作业包括课后习题、单元测试、调研报告、课程论文等等。</w:t>
      </w:r>
    </w:p>
    <w:p>
      <w:pPr>
        <w:spacing w:line="360" w:lineRule="auto"/>
        <w:rPr>
          <w:b/>
          <w:sz w:val="28"/>
          <w:szCs w:val="28"/>
        </w:rPr>
      </w:pPr>
      <w:r>
        <w:rPr>
          <w:rFonts w:hint="eastAsia"/>
          <w:b/>
          <w:sz w:val="28"/>
          <w:szCs w:val="28"/>
        </w:rPr>
        <w:t>六、有关说明</w:t>
      </w:r>
    </w:p>
    <w:p>
      <w:pPr>
        <w:spacing w:line="360" w:lineRule="auto"/>
        <w:ind w:firstLine="482" w:firstLineChars="200"/>
        <w:rPr>
          <w:b/>
          <w:color w:val="000000"/>
          <w:sz w:val="24"/>
        </w:rPr>
      </w:pPr>
      <w:r>
        <w:rPr>
          <w:rFonts w:hint="eastAsia"/>
          <w:b/>
          <w:color w:val="000000"/>
          <w:sz w:val="24"/>
        </w:rPr>
        <w:t>（一）持续改进</w:t>
      </w:r>
    </w:p>
    <w:p>
      <w:pPr>
        <w:autoSpaceDE w:val="0"/>
        <w:autoSpaceDN w:val="0"/>
        <w:adjustRightInd w:val="0"/>
        <w:spacing w:line="360" w:lineRule="auto"/>
        <w:ind w:firstLine="480" w:firstLineChars="200"/>
        <w:jc w:val="left"/>
        <w:rPr>
          <w:kern w:val="0"/>
          <w:sz w:val="24"/>
          <w:szCs w:val="21"/>
        </w:rPr>
      </w:pPr>
      <w:r>
        <w:rPr>
          <w:rFonts w:hint="eastAsia"/>
          <w:kern w:val="0"/>
          <w:sz w:val="24"/>
          <w:szCs w:val="21"/>
        </w:rPr>
        <w:t>本课程根据课后作业、考勤、期末考试等考核情况，以及学生、教学督导的反馈意见，及时对教学中不足之处进行改进，并在下一轮课程教学中改进提高。针对课程目标设计出课程考核的方式、内容和评分标准，确保课程内容与教学方式能有效实现课程目标，使得考核结果能够证明课程目标达成。</w:t>
      </w:r>
    </w:p>
    <w:p>
      <w:pPr>
        <w:spacing w:line="360" w:lineRule="auto"/>
        <w:ind w:firstLine="482" w:firstLineChars="200"/>
        <w:rPr>
          <w:b/>
          <w:color w:val="000000"/>
          <w:sz w:val="24"/>
        </w:rPr>
      </w:pPr>
      <w:r>
        <w:rPr>
          <w:rFonts w:hint="eastAsia"/>
          <w:b/>
          <w:color w:val="000000"/>
          <w:sz w:val="24"/>
        </w:rPr>
        <w:t>（二）参考书目及学习资料</w:t>
      </w:r>
    </w:p>
    <w:p>
      <w:pPr>
        <w:autoSpaceDE w:val="0"/>
        <w:autoSpaceDN w:val="0"/>
        <w:adjustRightInd w:val="0"/>
        <w:spacing w:line="360" w:lineRule="auto"/>
        <w:ind w:right="960"/>
        <w:jc w:val="right"/>
        <w:rPr>
          <w:kern w:val="0"/>
          <w:sz w:val="24"/>
          <w:szCs w:val="21"/>
        </w:rPr>
      </w:pPr>
      <w:r>
        <w:rPr>
          <w:kern w:val="0"/>
          <w:sz w:val="24"/>
          <w:szCs w:val="21"/>
        </w:rPr>
        <w:t xml:space="preserve">[1] </w:t>
      </w:r>
      <w:r>
        <w:rPr>
          <w:rFonts w:hint="eastAsia"/>
          <w:kern w:val="0"/>
          <w:sz w:val="24"/>
          <w:szCs w:val="21"/>
        </w:rPr>
        <w:t>宋航</w:t>
      </w:r>
      <w:r>
        <w:rPr>
          <w:kern w:val="0"/>
          <w:sz w:val="24"/>
          <w:szCs w:val="21"/>
        </w:rPr>
        <w:t xml:space="preserve">    </w:t>
      </w:r>
      <w:r>
        <w:rPr>
          <w:rFonts w:hint="eastAsia"/>
          <w:kern w:val="0"/>
          <w:sz w:val="24"/>
          <w:szCs w:val="21"/>
        </w:rPr>
        <w:t>化工技术经济</w:t>
      </w:r>
      <w:r>
        <w:rPr>
          <w:kern w:val="0"/>
          <w:sz w:val="24"/>
          <w:szCs w:val="21"/>
        </w:rPr>
        <w:t xml:space="preserve">              </w:t>
      </w:r>
      <w:r>
        <w:rPr>
          <w:rFonts w:hint="eastAsia"/>
          <w:kern w:val="0"/>
          <w:sz w:val="24"/>
          <w:szCs w:val="21"/>
        </w:rPr>
        <w:t>北京：化学工业出版社</w:t>
      </w:r>
    </w:p>
    <w:p>
      <w:pPr>
        <w:autoSpaceDE w:val="0"/>
        <w:autoSpaceDN w:val="0"/>
        <w:adjustRightInd w:val="0"/>
        <w:spacing w:line="360" w:lineRule="auto"/>
        <w:ind w:right="720"/>
        <w:jc w:val="right"/>
        <w:rPr>
          <w:kern w:val="0"/>
          <w:sz w:val="24"/>
          <w:szCs w:val="21"/>
        </w:rPr>
      </w:pPr>
      <w:r>
        <w:rPr>
          <w:kern w:val="0"/>
          <w:sz w:val="24"/>
          <w:szCs w:val="21"/>
        </w:rPr>
        <w:t xml:space="preserve">[2] </w:t>
      </w:r>
      <w:r>
        <w:rPr>
          <w:rFonts w:hint="eastAsia"/>
          <w:kern w:val="0"/>
          <w:sz w:val="24"/>
          <w:szCs w:val="21"/>
        </w:rPr>
        <w:t>宋建民</w:t>
      </w:r>
      <w:r>
        <w:rPr>
          <w:kern w:val="0"/>
          <w:sz w:val="24"/>
          <w:szCs w:val="21"/>
        </w:rPr>
        <w:t xml:space="preserve">  </w:t>
      </w:r>
      <w:r>
        <w:rPr>
          <w:rFonts w:hint="eastAsia"/>
          <w:kern w:val="0"/>
          <w:sz w:val="24"/>
          <w:szCs w:val="21"/>
        </w:rPr>
        <w:t>化工技术经济</w:t>
      </w:r>
      <w:r>
        <w:rPr>
          <w:kern w:val="0"/>
          <w:sz w:val="24"/>
          <w:szCs w:val="21"/>
        </w:rPr>
        <w:t xml:space="preserve">              </w:t>
      </w:r>
      <w:r>
        <w:rPr>
          <w:rFonts w:hint="eastAsia"/>
          <w:kern w:val="0"/>
          <w:sz w:val="24"/>
          <w:szCs w:val="21"/>
        </w:rPr>
        <w:t>北京：化学工业出版社。</w:t>
      </w:r>
    </w:p>
    <w:p>
      <w:pPr>
        <w:autoSpaceDE w:val="0"/>
        <w:autoSpaceDN w:val="0"/>
        <w:adjustRightInd w:val="0"/>
        <w:spacing w:line="360" w:lineRule="auto"/>
        <w:ind w:right="720"/>
        <w:jc w:val="right"/>
        <w:rPr>
          <w:kern w:val="0"/>
          <w:sz w:val="24"/>
          <w:szCs w:val="21"/>
        </w:rPr>
      </w:pPr>
      <w:r>
        <w:rPr>
          <w:kern w:val="0"/>
          <w:sz w:val="24"/>
          <w:szCs w:val="21"/>
        </w:rPr>
        <w:t xml:space="preserve">[3] </w:t>
      </w:r>
      <w:r>
        <w:rPr>
          <w:rFonts w:hint="eastAsia"/>
          <w:kern w:val="0"/>
          <w:sz w:val="24"/>
          <w:szCs w:val="21"/>
        </w:rPr>
        <w:t>赵志军</w:t>
      </w:r>
      <w:r>
        <w:rPr>
          <w:kern w:val="0"/>
          <w:sz w:val="24"/>
          <w:szCs w:val="21"/>
        </w:rPr>
        <w:t xml:space="preserve">  </w:t>
      </w:r>
      <w:r>
        <w:rPr>
          <w:rFonts w:hint="eastAsia"/>
          <w:kern w:val="0"/>
          <w:sz w:val="24"/>
          <w:szCs w:val="21"/>
        </w:rPr>
        <w:t>化工企业管理与技术经济</w:t>
      </w:r>
      <w:r>
        <w:rPr>
          <w:kern w:val="0"/>
          <w:sz w:val="24"/>
          <w:szCs w:val="21"/>
        </w:rPr>
        <w:t xml:space="preserve">    </w:t>
      </w:r>
      <w:r>
        <w:rPr>
          <w:rFonts w:hint="eastAsia"/>
          <w:kern w:val="0"/>
          <w:sz w:val="24"/>
          <w:szCs w:val="21"/>
        </w:rPr>
        <w:t>北京：化学工业出版社。</w:t>
      </w:r>
    </w:p>
    <w:p>
      <w:pPr>
        <w:autoSpaceDE w:val="0"/>
        <w:autoSpaceDN w:val="0"/>
        <w:adjustRightInd w:val="0"/>
        <w:spacing w:line="360" w:lineRule="auto"/>
        <w:ind w:right="600"/>
        <w:jc w:val="right"/>
        <w:rPr>
          <w:kern w:val="0"/>
          <w:sz w:val="24"/>
          <w:szCs w:val="21"/>
        </w:rPr>
      </w:pPr>
      <w:r>
        <w:rPr>
          <w:kern w:val="0"/>
          <w:sz w:val="24"/>
          <w:szCs w:val="21"/>
        </w:rPr>
        <w:t xml:space="preserve">[4] </w:t>
      </w:r>
      <w:r>
        <w:rPr>
          <w:rFonts w:hint="eastAsia"/>
          <w:kern w:val="0"/>
          <w:sz w:val="24"/>
          <w:szCs w:val="21"/>
        </w:rPr>
        <w:t>李勇</w:t>
      </w:r>
      <w:r>
        <w:rPr>
          <w:kern w:val="0"/>
          <w:sz w:val="24"/>
          <w:szCs w:val="21"/>
        </w:rPr>
        <w:t xml:space="preserve">    </w:t>
      </w:r>
      <w:r>
        <w:rPr>
          <w:rFonts w:hint="eastAsia"/>
          <w:kern w:val="0"/>
          <w:sz w:val="24"/>
          <w:szCs w:val="21"/>
        </w:rPr>
        <w:t>化工企业管理</w:t>
      </w:r>
      <w:r>
        <w:rPr>
          <w:kern w:val="0"/>
          <w:sz w:val="24"/>
          <w:szCs w:val="21"/>
        </w:rPr>
        <w:t xml:space="preserve">              </w:t>
      </w:r>
      <w:r>
        <w:rPr>
          <w:rFonts w:hint="eastAsia"/>
          <w:kern w:val="0"/>
          <w:sz w:val="24"/>
          <w:szCs w:val="21"/>
        </w:rPr>
        <w:t>北京：化学工业出版社。</w:t>
      </w:r>
    </w:p>
    <w:p>
      <w:pPr>
        <w:autoSpaceDE w:val="0"/>
        <w:autoSpaceDN w:val="0"/>
        <w:adjustRightInd w:val="0"/>
        <w:spacing w:line="360" w:lineRule="auto"/>
        <w:ind w:right="480"/>
        <w:jc w:val="right"/>
        <w:rPr>
          <w:kern w:val="0"/>
          <w:sz w:val="24"/>
          <w:szCs w:val="21"/>
        </w:rPr>
      </w:pPr>
      <w:r>
        <w:rPr>
          <w:rFonts w:hint="eastAsia"/>
          <w:kern w:val="0"/>
          <w:sz w:val="24"/>
          <w:szCs w:val="21"/>
        </w:rPr>
        <w:t>执笔人：魏雪姣</w:t>
      </w:r>
    </w:p>
    <w:p>
      <w:pPr>
        <w:wordWrap w:val="0"/>
        <w:autoSpaceDE w:val="0"/>
        <w:autoSpaceDN w:val="0"/>
        <w:adjustRightInd w:val="0"/>
        <w:spacing w:line="360" w:lineRule="auto"/>
        <w:ind w:right="480"/>
        <w:jc w:val="right"/>
        <w:rPr>
          <w:kern w:val="0"/>
          <w:sz w:val="24"/>
          <w:szCs w:val="21"/>
        </w:rPr>
      </w:pPr>
      <w:r>
        <w:rPr>
          <w:rFonts w:hint="eastAsia"/>
          <w:kern w:val="0"/>
          <w:sz w:val="24"/>
          <w:szCs w:val="21"/>
        </w:rPr>
        <w:t>审定人：魏雪姣</w:t>
      </w:r>
    </w:p>
    <w:p>
      <w:pPr>
        <w:wordWrap w:val="0"/>
        <w:autoSpaceDE w:val="0"/>
        <w:autoSpaceDN w:val="0"/>
        <w:adjustRightInd w:val="0"/>
        <w:spacing w:line="360" w:lineRule="auto"/>
        <w:ind w:right="480"/>
        <w:jc w:val="right"/>
        <w:rPr>
          <w:kern w:val="0"/>
          <w:sz w:val="24"/>
          <w:szCs w:val="21"/>
        </w:rPr>
      </w:pPr>
      <w:r>
        <w:rPr>
          <w:rFonts w:hint="eastAsia"/>
          <w:kern w:val="0"/>
          <w:sz w:val="24"/>
          <w:szCs w:val="21"/>
        </w:rPr>
        <w:t>审批人：吴泽颖</w:t>
      </w:r>
    </w:p>
    <w:p>
      <w:pPr>
        <w:autoSpaceDE w:val="0"/>
        <w:autoSpaceDN w:val="0"/>
        <w:adjustRightInd w:val="0"/>
        <w:spacing w:line="360" w:lineRule="auto"/>
        <w:ind w:right="480"/>
        <w:jc w:val="right"/>
        <w:rPr>
          <w:sz w:val="24"/>
        </w:rPr>
      </w:pPr>
      <w:r>
        <w:rPr>
          <w:kern w:val="0"/>
          <w:sz w:val="24"/>
          <w:szCs w:val="21"/>
        </w:rPr>
        <w:t>202</w:t>
      </w:r>
      <w:r>
        <w:rPr>
          <w:rFonts w:hint="eastAsia"/>
          <w:kern w:val="0"/>
          <w:sz w:val="24"/>
          <w:szCs w:val="21"/>
          <w:lang w:val="en-US" w:eastAsia="zh-CN"/>
        </w:rPr>
        <w:t>1</w:t>
      </w:r>
      <w:r>
        <w:rPr>
          <w:rFonts w:hint="eastAsia"/>
          <w:kern w:val="0"/>
          <w:sz w:val="24"/>
          <w:szCs w:val="21"/>
        </w:rPr>
        <w:t>年</w:t>
      </w:r>
      <w:r>
        <w:rPr>
          <w:kern w:val="0"/>
          <w:sz w:val="24"/>
          <w:szCs w:val="21"/>
        </w:rPr>
        <w:t>7</w:t>
      </w:r>
      <w:r>
        <w:rPr>
          <w:rFonts w:hint="eastAsia"/>
          <w:kern w:val="0"/>
          <w:sz w:val="24"/>
          <w:szCs w:val="21"/>
        </w:rPr>
        <w:t>月</w:t>
      </w:r>
      <w:r>
        <w:rPr>
          <w:kern w:val="0"/>
          <w:sz w:val="24"/>
          <w:szCs w:val="21"/>
        </w:rPr>
        <w:t>20</w:t>
      </w:r>
      <w:r>
        <w:rPr>
          <w:rFonts w:hint="eastAsia"/>
          <w:kern w:val="0"/>
          <w:sz w:val="24"/>
          <w:szCs w:val="21"/>
        </w:rPr>
        <w:t>日</w:t>
      </w:r>
    </w:p>
    <w:p>
      <w:pPr>
        <w:pStyle w:val="4"/>
        <w:numPr>
          <w:ilvl w:val="0"/>
          <w:numId w:val="0"/>
        </w:numPr>
        <w:spacing w:beforeLines="0" w:beforeAutospacing="0" w:afterLines="0" w:afterAutospacing="0" w:line="416" w:lineRule="auto"/>
        <w:ind w:left="0" w:firstLine="400"/>
        <w:jc w:val="center"/>
        <w:rPr>
          <w:rFonts w:hint="eastAsia" w:ascii="Times New Roman" w:hAnsi="Times New Roman"/>
          <w:bCs w:val="0"/>
          <w:kern w:val="0"/>
          <w:sz w:val="30"/>
          <w:szCs w:val="32"/>
        </w:rPr>
      </w:pPr>
      <w:bookmarkStart w:id="222" w:name="_Toc57384481"/>
      <w:bookmarkStart w:id="223" w:name="_Toc57364623"/>
      <w:bookmarkStart w:id="224" w:name="_Toc57384874"/>
      <w:bookmarkStart w:id="225" w:name="_Toc57621334"/>
      <w:bookmarkStart w:id="226" w:name="_Toc57387676"/>
      <w:bookmarkStart w:id="227" w:name="_Toc57387407"/>
      <w:bookmarkStart w:id="228" w:name="_Toc57385495"/>
      <w:bookmarkStart w:id="229" w:name="_Toc57386058"/>
    </w:p>
    <w:p>
      <w:pPr>
        <w:pStyle w:val="3"/>
        <w:bidi w:val="0"/>
        <w:jc w:val="center"/>
        <w:rPr>
          <w:rFonts w:hint="eastAsia"/>
        </w:rPr>
      </w:pPr>
    </w:p>
    <w:p>
      <w:pPr>
        <w:pStyle w:val="3"/>
        <w:bidi w:val="0"/>
        <w:jc w:val="center"/>
      </w:pPr>
      <w:bookmarkStart w:id="230" w:name="_Toc31883"/>
      <w:bookmarkStart w:id="231" w:name="_Toc17495"/>
      <w:r>
        <w:rPr>
          <w:rFonts w:hint="eastAsia"/>
        </w:rPr>
        <w:t>化工设计基础课程</w:t>
      </w:r>
      <w:r>
        <w:t>教学大纲</w:t>
      </w:r>
      <w:bookmarkEnd w:id="222"/>
      <w:bookmarkEnd w:id="223"/>
      <w:bookmarkEnd w:id="224"/>
      <w:bookmarkEnd w:id="225"/>
      <w:bookmarkEnd w:id="226"/>
      <w:bookmarkEnd w:id="227"/>
      <w:bookmarkEnd w:id="228"/>
      <w:bookmarkEnd w:id="229"/>
      <w:bookmarkEnd w:id="230"/>
      <w:bookmarkEnd w:id="231"/>
    </w:p>
    <w:p>
      <w:pPr>
        <w:spacing w:line="312" w:lineRule="auto"/>
        <w:jc w:val="center"/>
        <w:rPr>
          <w:rFonts w:ascii="Times New Roman" w:hAnsi="Times New Roman"/>
          <w:b/>
          <w:bCs/>
          <w:sz w:val="30"/>
        </w:rPr>
      </w:pPr>
      <w:r>
        <w:rPr>
          <w:rFonts w:ascii="Times New Roman" w:hAnsi="Times New Roman"/>
          <w:b/>
          <w:bCs/>
          <w:sz w:val="30"/>
        </w:rPr>
        <w:t>（Chemical</w:t>
      </w:r>
      <w:r>
        <w:rPr>
          <w:rFonts w:hint="eastAsia" w:ascii="Times New Roman" w:hAnsi="Times New Roman"/>
          <w:b/>
          <w:bCs/>
          <w:sz w:val="30"/>
        </w:rPr>
        <w:t xml:space="preserve"> design basis</w:t>
      </w:r>
      <w:r>
        <w:rPr>
          <w:rFonts w:ascii="Times New Roman" w:hAnsi="Times New Roman"/>
          <w:b/>
          <w:bCs/>
          <w:sz w:val="30"/>
        </w:rPr>
        <w:t>）</w:t>
      </w:r>
    </w:p>
    <w:p>
      <w:pPr>
        <w:spacing w:line="360" w:lineRule="auto"/>
        <w:ind w:firstLine="551" w:firstLineChars="196"/>
        <w:rPr>
          <w:rFonts w:hint="eastAsia" w:ascii="Times New Roman" w:hAnsi="Times New Roman"/>
          <w:b/>
          <w:sz w:val="28"/>
          <w:szCs w:val="28"/>
        </w:rPr>
      </w:pPr>
      <w:r>
        <w:rPr>
          <w:rFonts w:ascii="Times New Roman" w:hAnsi="Times New Roman"/>
          <w:b/>
          <w:sz w:val="28"/>
          <w:szCs w:val="28"/>
        </w:rPr>
        <w:t>一、课程概况</w:t>
      </w:r>
    </w:p>
    <w:p>
      <w:pPr>
        <w:spacing w:line="360" w:lineRule="auto"/>
        <w:ind w:firstLine="482" w:firstLineChars="200"/>
        <w:rPr>
          <w:rFonts w:ascii="Times New Roman" w:hAnsi="Times New Roman"/>
          <w:b/>
          <w:sz w:val="28"/>
          <w:szCs w:val="28"/>
        </w:rPr>
      </w:pPr>
      <w:r>
        <w:rPr>
          <w:rFonts w:ascii="Times New Roman" w:hAnsi="Times New Roman"/>
          <w:b/>
          <w:bCs/>
          <w:kern w:val="0"/>
          <w:sz w:val="24"/>
        </w:rPr>
        <w:t>课程代码</w:t>
      </w:r>
      <w:r>
        <w:rPr>
          <w:rFonts w:ascii="Times New Roman" w:hAnsi="Times New Roman"/>
          <w:b/>
          <w:kern w:val="0"/>
          <w:sz w:val="24"/>
        </w:rPr>
        <w:t>：</w:t>
      </w:r>
      <w:r>
        <w:rPr>
          <w:rFonts w:hint="eastAsia" w:ascii="Times New Roman" w:hAnsi="Times New Roman"/>
          <w:b/>
          <w:kern w:val="0"/>
          <w:sz w:val="24"/>
        </w:rPr>
        <w:t>2501050</w:t>
      </w:r>
    </w:p>
    <w:p>
      <w:pPr>
        <w:spacing w:line="360" w:lineRule="auto"/>
        <w:ind w:firstLine="482" w:firstLineChars="200"/>
        <w:rPr>
          <w:rFonts w:ascii="Times New Roman" w:hAnsi="Times New Roman"/>
          <w:kern w:val="0"/>
          <w:sz w:val="24"/>
        </w:rPr>
      </w:pPr>
      <w:r>
        <w:rPr>
          <w:rFonts w:ascii="Times New Roman" w:hAnsi="Times New Roman"/>
          <w:b/>
          <w:bCs/>
          <w:kern w:val="0"/>
          <w:sz w:val="24"/>
        </w:rPr>
        <w:t>学    分</w:t>
      </w:r>
      <w:r>
        <w:rPr>
          <w:rFonts w:ascii="Times New Roman" w:hAnsi="Times New Roman"/>
          <w:b/>
          <w:kern w:val="0"/>
          <w:sz w:val="24"/>
        </w:rPr>
        <w:t>：</w:t>
      </w:r>
      <w:r>
        <w:rPr>
          <w:rFonts w:hint="eastAsia" w:ascii="Times New Roman" w:hAnsi="Times New Roman"/>
          <w:kern w:val="0"/>
          <w:sz w:val="24"/>
        </w:rPr>
        <w:t>2</w:t>
      </w:r>
    </w:p>
    <w:p>
      <w:pPr>
        <w:spacing w:line="360" w:lineRule="auto"/>
        <w:ind w:firstLine="482" w:firstLineChars="200"/>
        <w:rPr>
          <w:rFonts w:ascii="Times New Roman" w:hAnsi="Times New Roman"/>
          <w:kern w:val="0"/>
          <w:sz w:val="24"/>
        </w:rPr>
      </w:pPr>
      <w:r>
        <w:rPr>
          <w:rFonts w:ascii="Times New Roman" w:hAnsi="Times New Roman"/>
          <w:b/>
          <w:bCs/>
          <w:kern w:val="0"/>
          <w:sz w:val="24"/>
        </w:rPr>
        <w:t>学    时</w:t>
      </w:r>
      <w:r>
        <w:rPr>
          <w:rFonts w:ascii="Times New Roman" w:hAnsi="Times New Roman"/>
          <w:b/>
          <w:kern w:val="0"/>
          <w:sz w:val="24"/>
        </w:rPr>
        <w:t>：</w:t>
      </w:r>
      <w:r>
        <w:rPr>
          <w:rFonts w:ascii="Times New Roman" w:hAnsi="Times New Roman"/>
          <w:kern w:val="0"/>
          <w:sz w:val="24"/>
        </w:rPr>
        <w:t>32</w:t>
      </w:r>
    </w:p>
    <w:p>
      <w:pPr>
        <w:spacing w:line="360" w:lineRule="auto"/>
        <w:ind w:firstLine="482" w:firstLineChars="200"/>
        <w:rPr>
          <w:rFonts w:ascii="Times New Roman" w:hAnsi="Times New Roman"/>
          <w:bCs/>
          <w:kern w:val="0"/>
          <w:sz w:val="24"/>
        </w:rPr>
      </w:pPr>
      <w:r>
        <w:rPr>
          <w:rFonts w:ascii="Times New Roman" w:hAnsi="Times New Roman"/>
          <w:b/>
          <w:bCs/>
          <w:kern w:val="0"/>
          <w:sz w:val="24"/>
        </w:rPr>
        <w:t>先修课程</w:t>
      </w:r>
      <w:r>
        <w:rPr>
          <w:rFonts w:ascii="Times New Roman" w:hAnsi="Times New Roman"/>
          <w:b/>
          <w:kern w:val="0"/>
          <w:sz w:val="24"/>
        </w:rPr>
        <w:t>：</w:t>
      </w:r>
      <w:r>
        <w:rPr>
          <w:rFonts w:hint="eastAsia" w:ascii="Times New Roman" w:hAnsi="Times New Roman"/>
          <w:kern w:val="0"/>
          <w:sz w:val="24"/>
        </w:rPr>
        <w:t>高等数学、无机化学、有机化学、物理化学、化工原理等。</w:t>
      </w:r>
    </w:p>
    <w:p>
      <w:pPr>
        <w:spacing w:line="360" w:lineRule="auto"/>
        <w:ind w:firstLine="482" w:firstLineChars="200"/>
        <w:rPr>
          <w:rFonts w:ascii="Times New Roman" w:hAnsi="Times New Roman"/>
          <w:kern w:val="0"/>
          <w:sz w:val="24"/>
        </w:rPr>
      </w:pPr>
      <w:r>
        <w:rPr>
          <w:rFonts w:ascii="Times New Roman" w:hAnsi="Times New Roman"/>
          <w:b/>
          <w:bCs/>
          <w:kern w:val="0"/>
          <w:sz w:val="24"/>
        </w:rPr>
        <w:t>适用专业</w:t>
      </w:r>
      <w:r>
        <w:rPr>
          <w:rFonts w:ascii="Times New Roman" w:hAnsi="Times New Roman"/>
          <w:b/>
          <w:kern w:val="0"/>
          <w:sz w:val="24"/>
        </w:rPr>
        <w:t>：</w:t>
      </w:r>
      <w:r>
        <w:rPr>
          <w:rFonts w:hint="eastAsia" w:ascii="Times New Roman" w:hAnsi="Times New Roman"/>
          <w:kern w:val="0"/>
          <w:sz w:val="24"/>
        </w:rPr>
        <w:t>化学工程与工艺</w:t>
      </w:r>
      <w:r>
        <w:rPr>
          <w:rFonts w:hint="eastAsia" w:ascii="Times New Roman" w:hAnsi="Times New Roman"/>
          <w:kern w:val="0"/>
          <w:sz w:val="24"/>
          <w:lang w:eastAsia="zh-CN"/>
        </w:rPr>
        <w:t>、</w:t>
      </w:r>
      <w:r>
        <w:rPr>
          <w:rFonts w:hint="eastAsia" w:ascii="Times New Roman" w:hAnsi="Times New Roman"/>
          <w:kern w:val="0"/>
          <w:sz w:val="24"/>
          <w:lang w:val="en-US" w:eastAsia="zh-CN"/>
        </w:rPr>
        <w:t>应用化学</w:t>
      </w:r>
      <w:r>
        <w:rPr>
          <w:rFonts w:ascii="Times New Roman" w:hAnsi="Times New Roman" w:eastAsia="黑体"/>
          <w:sz w:val="24"/>
        </w:rPr>
        <w:t xml:space="preserve">  </w:t>
      </w:r>
      <w:r>
        <w:rPr>
          <w:rFonts w:ascii="Times New Roman" w:hAnsi="Times New Roman"/>
          <w:kern w:val="0"/>
          <w:sz w:val="24"/>
        </w:rPr>
        <w:t xml:space="preserve">                          </w:t>
      </w:r>
    </w:p>
    <w:p>
      <w:pPr>
        <w:spacing w:line="360" w:lineRule="auto"/>
        <w:ind w:firstLine="482" w:firstLineChars="200"/>
        <w:rPr>
          <w:rFonts w:ascii="Times New Roman" w:hAnsi="Times New Roman"/>
          <w:sz w:val="24"/>
        </w:rPr>
      </w:pPr>
      <w:r>
        <w:rPr>
          <w:rFonts w:ascii="Times New Roman" w:hAnsi="Times New Roman"/>
          <w:b/>
          <w:bCs/>
          <w:kern w:val="0"/>
          <w:sz w:val="24"/>
        </w:rPr>
        <w:t>教    材</w:t>
      </w:r>
      <w:r>
        <w:rPr>
          <w:rFonts w:ascii="Times New Roman" w:hAnsi="Times New Roman"/>
          <w:b/>
          <w:kern w:val="0"/>
          <w:sz w:val="24"/>
        </w:rPr>
        <w:t>：</w:t>
      </w:r>
      <w:r>
        <w:rPr>
          <w:rFonts w:ascii="Times New Roman" w:hAnsi="Times New Roman"/>
          <w:sz w:val="24"/>
          <w:szCs w:val="21"/>
        </w:rPr>
        <w:t>《</w:t>
      </w:r>
      <w:r>
        <w:rPr>
          <w:rFonts w:hint="eastAsia" w:ascii="Times New Roman" w:hAnsi="Times New Roman"/>
          <w:sz w:val="24"/>
        </w:rPr>
        <w:t>化工设计概论（第二版）</w:t>
      </w:r>
      <w:r>
        <w:rPr>
          <w:rFonts w:ascii="Times New Roman" w:hAnsi="Times New Roman"/>
          <w:sz w:val="24"/>
        </w:rPr>
        <w:t>》，</w:t>
      </w:r>
      <w:r>
        <w:rPr>
          <w:rFonts w:hint="eastAsia" w:ascii="Times New Roman" w:hAnsi="Times New Roman"/>
          <w:sz w:val="24"/>
        </w:rPr>
        <w:t>李国庭等</w:t>
      </w:r>
      <w:r>
        <w:rPr>
          <w:rFonts w:ascii="Times New Roman" w:hAnsi="Times New Roman"/>
          <w:sz w:val="24"/>
        </w:rPr>
        <w:t>，</w:t>
      </w:r>
      <w:r>
        <w:rPr>
          <w:rFonts w:hint="eastAsia" w:ascii="Times New Roman" w:hAnsi="Times New Roman"/>
          <w:sz w:val="24"/>
        </w:rPr>
        <w:t>北京：化学工业出版社</w:t>
      </w:r>
      <w:r>
        <w:rPr>
          <w:rFonts w:ascii="Times New Roman" w:hAnsi="Times New Roman"/>
          <w:sz w:val="24"/>
        </w:rPr>
        <w:t>，201</w:t>
      </w:r>
      <w:r>
        <w:rPr>
          <w:rFonts w:hint="eastAsia" w:ascii="Times New Roman" w:hAnsi="Times New Roman"/>
          <w:sz w:val="24"/>
        </w:rPr>
        <w:t>8</w:t>
      </w:r>
      <w:r>
        <w:rPr>
          <w:rFonts w:ascii="Times New Roman" w:hAnsi="Times New Roman"/>
          <w:sz w:val="24"/>
        </w:rPr>
        <w:t>.2</w:t>
      </w:r>
    </w:p>
    <w:p>
      <w:pPr>
        <w:spacing w:line="360" w:lineRule="auto"/>
        <w:ind w:firstLine="482" w:firstLineChars="200"/>
        <w:rPr>
          <w:rFonts w:ascii="Times New Roman" w:hAnsi="Times New Roman"/>
          <w:bCs/>
          <w:kern w:val="0"/>
          <w:sz w:val="24"/>
        </w:rPr>
      </w:pPr>
      <w:r>
        <w:rPr>
          <w:rFonts w:ascii="Times New Roman" w:hAnsi="Times New Roman"/>
          <w:b/>
          <w:bCs/>
          <w:kern w:val="0"/>
          <w:sz w:val="24"/>
        </w:rPr>
        <w:t>课程归口：</w:t>
      </w:r>
      <w:r>
        <w:rPr>
          <w:rFonts w:hint="eastAsia" w:ascii="Times New Roman" w:hAnsi="Times New Roman"/>
          <w:bCs/>
          <w:kern w:val="0"/>
          <w:sz w:val="24"/>
        </w:rPr>
        <w:t>化工与材料</w:t>
      </w:r>
      <w:r>
        <w:rPr>
          <w:rFonts w:ascii="Times New Roman" w:hAnsi="Times New Roman"/>
          <w:kern w:val="0"/>
          <w:sz w:val="24"/>
        </w:rPr>
        <w:t>学院</w:t>
      </w:r>
    </w:p>
    <w:p>
      <w:pPr>
        <w:spacing w:line="360" w:lineRule="auto"/>
        <w:ind w:firstLine="482" w:firstLineChars="200"/>
        <w:rPr>
          <w:rFonts w:ascii="Times New Roman" w:hAnsi="Times New Roman"/>
          <w:bCs/>
          <w:kern w:val="0"/>
          <w:sz w:val="24"/>
        </w:rPr>
      </w:pPr>
      <w:r>
        <w:rPr>
          <w:rFonts w:ascii="Times New Roman" w:hAnsi="Times New Roman"/>
          <w:b/>
          <w:bCs/>
          <w:kern w:val="0"/>
          <w:sz w:val="24"/>
        </w:rPr>
        <w:t>课程的性质与任务</w:t>
      </w:r>
      <w:r>
        <w:rPr>
          <w:rFonts w:hint="eastAsia" w:ascii="Times New Roman" w:hAnsi="Times New Roman"/>
          <w:b/>
          <w:bCs/>
          <w:kern w:val="0"/>
          <w:sz w:val="24"/>
        </w:rPr>
        <w:t>：</w:t>
      </w:r>
      <w:r>
        <w:rPr>
          <w:rFonts w:hint="eastAsia" w:ascii="Times New Roman" w:hAnsi="Times New Roman"/>
          <w:kern w:val="0"/>
          <w:sz w:val="24"/>
        </w:rPr>
        <w:t>化工设计基础课程是化学工程与工艺专业的一门专业基础课，强调基础知识工程运用的实践性以及多专业基础课知识的综合性。通过本课程的学习引导学生使用所学的专业基础知识，进行化工流程的工艺设计以及扩大到工厂规模设计，为培养从事化工设计、化工生产管理方面的化工人才打下基础。</w:t>
      </w:r>
    </w:p>
    <w:p>
      <w:pPr>
        <w:numPr>
          <w:ilvl w:val="0"/>
          <w:numId w:val="3"/>
        </w:numPr>
        <w:spacing w:line="360" w:lineRule="auto"/>
        <w:ind w:firstLine="562" w:firstLineChars="200"/>
        <w:rPr>
          <w:rFonts w:ascii="Times New Roman" w:hAnsi="Times New Roman"/>
          <w:b/>
          <w:sz w:val="28"/>
          <w:szCs w:val="28"/>
        </w:rPr>
      </w:pPr>
      <w:r>
        <w:rPr>
          <w:rFonts w:ascii="Times New Roman" w:hAnsi="Times New Roman"/>
          <w:b/>
          <w:sz w:val="28"/>
          <w:szCs w:val="28"/>
        </w:rPr>
        <w:t>课程目标及对毕业要求观测点的支撑</w:t>
      </w:r>
    </w:p>
    <w:tbl>
      <w:tblPr>
        <w:tblStyle w:val="1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
        <w:gridCol w:w="3634"/>
        <w:gridCol w:w="1766"/>
        <w:gridCol w:w="3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482" w:type="dxa"/>
            <w:noWrap/>
            <w:vAlign w:val="center"/>
          </w:tcPr>
          <w:p>
            <w:pPr>
              <w:widowControl/>
              <w:jc w:val="center"/>
              <w:rPr>
                <w:rFonts w:ascii="Times New Roman" w:hAnsi="Times New Roman"/>
                <w:b/>
                <w:bCs/>
                <w:kern w:val="0"/>
                <w:szCs w:val="21"/>
              </w:rPr>
            </w:pPr>
            <w:r>
              <w:rPr>
                <w:rFonts w:ascii="Times New Roman" w:hAnsi="Times New Roman"/>
                <w:b/>
                <w:bCs/>
                <w:kern w:val="0"/>
                <w:szCs w:val="21"/>
              </w:rPr>
              <w:t>序号</w:t>
            </w:r>
          </w:p>
        </w:tc>
        <w:tc>
          <w:tcPr>
            <w:tcW w:w="3634" w:type="dxa"/>
            <w:noWrap/>
            <w:vAlign w:val="center"/>
          </w:tcPr>
          <w:p>
            <w:pPr>
              <w:widowControl/>
              <w:jc w:val="center"/>
              <w:rPr>
                <w:rFonts w:ascii="Times New Roman" w:hAnsi="Times New Roman"/>
                <w:b/>
                <w:bCs/>
                <w:kern w:val="0"/>
                <w:szCs w:val="21"/>
              </w:rPr>
            </w:pPr>
            <w:r>
              <w:rPr>
                <w:rFonts w:ascii="Times New Roman" w:hAnsi="Times New Roman"/>
                <w:b/>
                <w:bCs/>
                <w:kern w:val="0"/>
                <w:szCs w:val="21"/>
              </w:rPr>
              <w:t>课程目标</w:t>
            </w:r>
          </w:p>
        </w:tc>
        <w:tc>
          <w:tcPr>
            <w:tcW w:w="1766" w:type="dxa"/>
            <w:noWrap/>
            <w:vAlign w:val="center"/>
          </w:tcPr>
          <w:p>
            <w:pPr>
              <w:widowControl/>
              <w:jc w:val="center"/>
              <w:rPr>
                <w:rFonts w:ascii="Times New Roman" w:hAnsi="Times New Roman"/>
                <w:b/>
                <w:bCs/>
                <w:kern w:val="0"/>
                <w:szCs w:val="21"/>
              </w:rPr>
            </w:pPr>
            <w:r>
              <w:rPr>
                <w:rFonts w:ascii="Times New Roman" w:hAnsi="Times New Roman"/>
                <w:b/>
                <w:bCs/>
                <w:kern w:val="0"/>
                <w:szCs w:val="21"/>
              </w:rPr>
              <w:t>支撑毕业要求观测点</w:t>
            </w:r>
          </w:p>
        </w:tc>
        <w:tc>
          <w:tcPr>
            <w:tcW w:w="3332" w:type="dxa"/>
            <w:noWrap/>
            <w:vAlign w:val="center"/>
          </w:tcPr>
          <w:p>
            <w:pPr>
              <w:widowControl/>
              <w:jc w:val="center"/>
              <w:rPr>
                <w:rFonts w:ascii="Times New Roman" w:hAnsi="Times New Roman"/>
                <w:b/>
                <w:bCs/>
                <w:kern w:val="0"/>
                <w:szCs w:val="21"/>
              </w:rPr>
            </w:pPr>
            <w:r>
              <w:rPr>
                <w:rFonts w:ascii="Times New Roman" w:hAnsi="Times New Roman"/>
                <w:b/>
                <w:bCs/>
                <w:kern w:val="0"/>
                <w:szCs w:val="21"/>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482" w:type="dxa"/>
            <w:noWrap/>
            <w:vAlign w:val="center"/>
          </w:tcPr>
          <w:p>
            <w:pPr>
              <w:widowControl/>
              <w:jc w:val="center"/>
              <w:rPr>
                <w:rFonts w:hint="eastAsia" w:ascii="Times New Roman" w:hAnsi="Times New Roman" w:eastAsia="宋体"/>
                <w:kern w:val="0"/>
                <w:szCs w:val="21"/>
                <w:lang w:eastAsia="zh-CN"/>
              </w:rPr>
            </w:pPr>
            <w:r>
              <w:rPr>
                <w:rFonts w:hint="eastAsia" w:ascii="Times New Roman" w:hAnsi="Times New Roman"/>
                <w:kern w:val="0"/>
                <w:szCs w:val="21"/>
                <w:lang w:val="en-US" w:eastAsia="zh-CN"/>
              </w:rPr>
              <w:t>1</w:t>
            </w:r>
          </w:p>
        </w:tc>
        <w:tc>
          <w:tcPr>
            <w:tcW w:w="3634" w:type="dxa"/>
            <w:noWrap/>
            <w:vAlign w:val="center"/>
          </w:tcPr>
          <w:p>
            <w:pPr>
              <w:widowControl/>
              <w:rPr>
                <w:rFonts w:ascii="Times New Roman" w:hAnsi="Times New Roman"/>
                <w:kern w:val="0"/>
                <w:szCs w:val="21"/>
              </w:rPr>
            </w:pPr>
            <w:r>
              <w:rPr>
                <w:rFonts w:ascii="Times New Roman" w:hAnsi="Times New Roman"/>
                <w:b/>
                <w:kern w:val="0"/>
                <w:szCs w:val="21"/>
              </w:rPr>
              <w:t>目标</w:t>
            </w:r>
            <w:r>
              <w:rPr>
                <w:rFonts w:hint="eastAsia" w:ascii="Times New Roman" w:hAnsi="Times New Roman"/>
                <w:b/>
                <w:kern w:val="0"/>
                <w:szCs w:val="21"/>
                <w:lang w:val="en-US" w:eastAsia="zh-CN"/>
              </w:rPr>
              <w:t>1</w:t>
            </w:r>
            <w:r>
              <w:rPr>
                <w:rFonts w:ascii="Times New Roman" w:hAnsi="Times New Roman"/>
                <w:b/>
                <w:kern w:val="0"/>
                <w:szCs w:val="21"/>
              </w:rPr>
              <w:t>：</w:t>
            </w:r>
            <w:r>
              <w:rPr>
                <w:rFonts w:hint="eastAsia" w:ascii="Times New Roman" w:hAnsi="Times New Roman"/>
                <w:kern w:val="0"/>
                <w:szCs w:val="21"/>
              </w:rPr>
              <w:t xml:space="preserve"> 理解化工过程中物料和能量衡算的基本方法和程序，掌握物理、化学过程的物料和能量衡算，能对化工设备进行选型和设计，特别是掌握塔器、反应器、分离设备的设计</w:t>
            </w:r>
            <w:r>
              <w:rPr>
                <w:rFonts w:hint="eastAsia" w:ascii="Times New Roman" w:hAnsi="Times New Roman"/>
                <w:kern w:val="0"/>
                <w:szCs w:val="21"/>
                <w:lang w:eastAsia="zh-CN"/>
              </w:rPr>
              <w:t>。</w:t>
            </w:r>
            <w:r>
              <w:rPr>
                <w:rFonts w:hint="eastAsia" w:ascii="Times New Roman" w:hAnsi="Times New Roman"/>
                <w:kern w:val="0"/>
                <w:szCs w:val="21"/>
              </w:rPr>
              <w:t>掌握化工“三废”处理一般方法；理解典型单元设备的控制流程设计</w:t>
            </w:r>
            <w:r>
              <w:rPr>
                <w:rFonts w:ascii="Times New Roman" w:hAnsi="Times New Roman"/>
                <w:kern w:val="0"/>
                <w:szCs w:val="21"/>
              </w:rPr>
              <w:t>。</w:t>
            </w:r>
          </w:p>
        </w:tc>
        <w:tc>
          <w:tcPr>
            <w:tcW w:w="1766" w:type="dxa"/>
            <w:noWrap/>
            <w:vAlign w:val="center"/>
          </w:tcPr>
          <w:p>
            <w:pPr>
              <w:widowControl/>
              <w:rPr>
                <w:rFonts w:hint="eastAsia" w:ascii="Times New Roman" w:hAnsi="Times New Roman" w:eastAsia="宋体"/>
                <w:b w:val="0"/>
                <w:bCs/>
                <w:szCs w:val="21"/>
                <w:lang w:val="en-US" w:eastAsia="zh-CN"/>
              </w:rPr>
            </w:pPr>
            <w:r>
              <w:rPr>
                <w:rFonts w:ascii="Times New Roman" w:hAnsi="Times New Roman"/>
                <w:b/>
                <w:kern w:val="0"/>
                <w:szCs w:val="21"/>
              </w:rPr>
              <w:t>观测点</w:t>
            </w:r>
            <w:r>
              <w:rPr>
                <w:rFonts w:hint="eastAsia" w:ascii="Times New Roman" w:hAnsi="Times New Roman"/>
                <w:b/>
                <w:szCs w:val="21"/>
              </w:rPr>
              <w:t>2-2</w:t>
            </w:r>
            <w:r>
              <w:rPr>
                <w:rFonts w:hint="eastAsia" w:ascii="Times New Roman" w:hAnsi="Times New Roman"/>
                <w:b w:val="0"/>
                <w:bCs/>
                <w:szCs w:val="21"/>
              </w:rPr>
              <w:t>能够认识到解决复杂化学工程问题有多种方案可选择</w:t>
            </w:r>
            <w:r>
              <w:rPr>
                <w:rFonts w:hint="eastAsia" w:ascii="Times New Roman" w:hAnsi="Times New Roman"/>
                <w:b w:val="0"/>
                <w:bCs/>
                <w:szCs w:val="21"/>
                <w:lang w:eastAsia="zh-CN"/>
              </w:rPr>
              <w:t>。</w:t>
            </w:r>
          </w:p>
          <w:p>
            <w:pPr>
              <w:widowControl/>
              <w:rPr>
                <w:rFonts w:ascii="Times New Roman" w:hAnsi="Times New Roman"/>
                <w:kern w:val="0"/>
                <w:szCs w:val="21"/>
              </w:rPr>
            </w:pPr>
          </w:p>
        </w:tc>
        <w:tc>
          <w:tcPr>
            <w:tcW w:w="3332" w:type="dxa"/>
            <w:noWrap/>
            <w:vAlign w:val="center"/>
          </w:tcPr>
          <w:p>
            <w:pPr>
              <w:widowControl/>
              <w:rPr>
                <w:rFonts w:ascii="Times New Roman" w:hAnsi="Times New Roman"/>
                <w:color w:val="000000"/>
                <w:szCs w:val="22"/>
              </w:rPr>
            </w:pPr>
            <w:r>
              <w:rPr>
                <w:rFonts w:ascii="Times New Roman" w:hAnsi="Times New Roman"/>
                <w:b/>
                <w:color w:val="000000"/>
                <w:kern w:val="0"/>
                <w:szCs w:val="21"/>
              </w:rPr>
              <w:t>毕业要求</w:t>
            </w:r>
            <w:r>
              <w:rPr>
                <w:rFonts w:hint="eastAsia" w:ascii="Times New Roman" w:hAnsi="Times New Roman"/>
                <w:b/>
                <w:color w:val="000000"/>
                <w:kern w:val="0"/>
                <w:szCs w:val="21"/>
                <w:lang w:val="en-US" w:eastAsia="zh-CN"/>
              </w:rPr>
              <w:t>2：</w:t>
            </w:r>
            <w:r>
              <w:rPr>
                <w:rFonts w:ascii="Times New Roman" w:hAnsi="Times New Roman"/>
                <w:color w:val="000000"/>
                <w:szCs w:val="22"/>
              </w:rPr>
              <w:t>能够应用数学、自然科学和工程科学的基本原理，识别、表达、并通过文献研究分析化学工程与工艺领域的复杂工程问题，以获得有效结论。</w:t>
            </w:r>
          </w:p>
          <w:p>
            <w:pPr>
              <w:widowControl/>
              <w:rPr>
                <w:rFonts w:ascii="Times New Roman" w:hAnsi="Times New Roman"/>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482" w:type="dxa"/>
            <w:noWrap/>
            <w:vAlign w:val="center"/>
          </w:tcPr>
          <w:p>
            <w:pPr>
              <w:widowControl/>
              <w:jc w:val="center"/>
              <w:rPr>
                <w:rFonts w:hint="eastAsia" w:ascii="Times New Roman" w:hAnsi="Times New Roman" w:eastAsia="宋体"/>
                <w:kern w:val="0"/>
                <w:szCs w:val="21"/>
                <w:lang w:val="en-US" w:eastAsia="zh-CN"/>
              </w:rPr>
            </w:pPr>
            <w:r>
              <w:rPr>
                <w:rFonts w:hint="eastAsia" w:ascii="Times New Roman" w:hAnsi="Times New Roman"/>
                <w:kern w:val="0"/>
                <w:szCs w:val="21"/>
                <w:lang w:val="en-US" w:eastAsia="zh-CN"/>
              </w:rPr>
              <w:t>2</w:t>
            </w:r>
          </w:p>
        </w:tc>
        <w:tc>
          <w:tcPr>
            <w:tcW w:w="3634" w:type="dxa"/>
            <w:noWrap/>
            <w:vAlign w:val="center"/>
          </w:tcPr>
          <w:p>
            <w:pPr>
              <w:widowControl/>
              <w:rPr>
                <w:rFonts w:hint="eastAsia" w:ascii="Times New Roman" w:hAnsi="Times New Roman"/>
                <w:b/>
                <w:kern w:val="0"/>
                <w:szCs w:val="21"/>
              </w:rPr>
            </w:pPr>
            <w:r>
              <w:rPr>
                <w:rFonts w:ascii="Times New Roman" w:hAnsi="Times New Roman"/>
                <w:b/>
                <w:kern w:val="0"/>
                <w:szCs w:val="21"/>
              </w:rPr>
              <w:t>目标</w:t>
            </w:r>
            <w:r>
              <w:rPr>
                <w:rFonts w:hint="eastAsia" w:ascii="Times New Roman" w:hAnsi="Times New Roman"/>
                <w:b/>
                <w:kern w:val="0"/>
                <w:szCs w:val="21"/>
                <w:lang w:val="en-US" w:eastAsia="zh-CN"/>
              </w:rPr>
              <w:t>2</w:t>
            </w:r>
            <w:r>
              <w:rPr>
                <w:rFonts w:ascii="Times New Roman" w:hAnsi="Times New Roman"/>
                <w:b/>
                <w:kern w:val="0"/>
                <w:szCs w:val="21"/>
              </w:rPr>
              <w:t>：</w:t>
            </w:r>
            <w:r>
              <w:rPr>
                <w:rFonts w:hint="eastAsia" w:ascii="Times New Roman" w:hAnsi="Times New Roman"/>
                <w:kern w:val="0"/>
                <w:szCs w:val="21"/>
              </w:rPr>
              <w:t>理解化工车间布置设计原则，理解化工软件作用，能对化工车间设备、管路进行合理布置；理解公用工程在产品生产中的作用，掌握供水、供电、供暖等设备及管路设计；掌握化工设计概算方法，选择成本较低的工艺设计。</w:t>
            </w:r>
          </w:p>
        </w:tc>
        <w:tc>
          <w:tcPr>
            <w:tcW w:w="1766" w:type="dxa"/>
            <w:noWrap/>
            <w:vAlign w:val="center"/>
          </w:tcPr>
          <w:p>
            <w:pPr>
              <w:widowControl/>
              <w:jc w:val="left"/>
              <w:rPr>
                <w:rFonts w:hint="eastAsia" w:ascii="Times New Roman" w:hAnsi="Times New Roman" w:eastAsia="宋体"/>
                <w:kern w:val="0"/>
                <w:szCs w:val="21"/>
                <w:lang w:val="en-US" w:eastAsia="zh-CN"/>
              </w:rPr>
            </w:pPr>
            <w:r>
              <w:rPr>
                <w:rFonts w:ascii="Times New Roman" w:hAnsi="Times New Roman"/>
                <w:b/>
                <w:kern w:val="0"/>
                <w:szCs w:val="21"/>
              </w:rPr>
              <w:t>观测点</w:t>
            </w:r>
            <w:r>
              <w:rPr>
                <w:rFonts w:hint="eastAsia" w:ascii="Times New Roman" w:hAnsi="Times New Roman"/>
                <w:b/>
                <w:kern w:val="0"/>
                <w:szCs w:val="21"/>
                <w:lang w:val="en-US" w:eastAsia="zh-CN"/>
              </w:rPr>
              <w:t>3</w:t>
            </w:r>
            <w:r>
              <w:rPr>
                <w:rFonts w:hint="eastAsia" w:ascii="Times New Roman" w:hAnsi="Times New Roman"/>
                <w:b/>
                <w:szCs w:val="21"/>
              </w:rPr>
              <w:t>-</w:t>
            </w:r>
            <w:r>
              <w:rPr>
                <w:rFonts w:hint="eastAsia" w:ascii="Times New Roman" w:hAnsi="Times New Roman"/>
                <w:b/>
                <w:szCs w:val="21"/>
                <w:lang w:val="en-US" w:eastAsia="zh-CN"/>
              </w:rPr>
              <w:t>4</w:t>
            </w:r>
            <w:r>
              <w:rPr>
                <w:rFonts w:ascii="Times New Roman" w:hAnsi="Times New Roman"/>
                <w:szCs w:val="21"/>
              </w:rPr>
              <w:t>：</w:t>
            </w:r>
            <w:r>
              <w:rPr>
                <w:rFonts w:hint="eastAsia" w:ascii="Times New Roman" w:hAnsi="Times New Roman"/>
                <w:kern w:val="0"/>
                <w:szCs w:val="21"/>
              </w:rPr>
              <w:t>能够用图纸、设计说明书等形式呈现设计结果</w:t>
            </w:r>
            <w:r>
              <w:rPr>
                <w:rFonts w:hint="eastAsia" w:ascii="Times New Roman" w:hAnsi="Times New Roman"/>
                <w:kern w:val="0"/>
                <w:szCs w:val="21"/>
                <w:lang w:eastAsia="zh-CN"/>
              </w:rPr>
              <w:t>。</w:t>
            </w:r>
          </w:p>
        </w:tc>
        <w:tc>
          <w:tcPr>
            <w:tcW w:w="3332" w:type="dxa"/>
            <w:noWrap/>
            <w:vAlign w:val="center"/>
          </w:tcPr>
          <w:p>
            <w:pPr>
              <w:widowControl/>
              <w:rPr>
                <w:rFonts w:ascii="Times New Roman" w:hAnsi="Times New Roman"/>
                <w:kern w:val="0"/>
                <w:szCs w:val="21"/>
              </w:rPr>
            </w:pPr>
            <w:r>
              <w:rPr>
                <w:rFonts w:ascii="Times New Roman" w:hAnsi="Times New Roman"/>
                <w:b/>
                <w:color w:val="000000"/>
                <w:kern w:val="0"/>
                <w:szCs w:val="21"/>
              </w:rPr>
              <w:t>毕业要求</w:t>
            </w:r>
            <w:r>
              <w:rPr>
                <w:rFonts w:hint="eastAsia" w:ascii="Times New Roman" w:hAnsi="Times New Roman"/>
                <w:b/>
                <w:color w:val="000000"/>
                <w:kern w:val="0"/>
                <w:szCs w:val="21"/>
                <w:lang w:val="en-US" w:eastAsia="zh-CN"/>
              </w:rPr>
              <w:t>3</w:t>
            </w:r>
            <w:r>
              <w:rPr>
                <w:rFonts w:hint="eastAsia" w:ascii="Times New Roman" w:hAnsi="Times New Roman"/>
                <w:b/>
                <w:color w:val="000000"/>
                <w:kern w:val="0"/>
                <w:szCs w:val="21"/>
              </w:rPr>
              <w:t>：</w:t>
            </w:r>
            <w:r>
              <w:rPr>
                <w:rFonts w:ascii="Times New Roman" w:hAnsi="Times New Roman"/>
                <w:color w:val="000000"/>
                <w:szCs w:val="22"/>
              </w:rPr>
              <w:t>能够设计针对化学工程与工艺领域复杂工程问题的解决方案，设计满足特定需求的系统、单元（部件）、工艺流程或技术，并能够在设计环节中体现创新意识，考虑社会、健康、安全、法律、文化以及环境等因素。</w:t>
            </w:r>
          </w:p>
        </w:tc>
      </w:tr>
    </w:tbl>
    <w:p>
      <w:pPr>
        <w:numPr>
          <w:ilvl w:val="0"/>
          <w:numId w:val="3"/>
        </w:numPr>
        <w:spacing w:line="360" w:lineRule="auto"/>
        <w:ind w:firstLine="562" w:firstLineChars="200"/>
        <w:rPr>
          <w:rFonts w:ascii="Times New Roman" w:hAnsi="Times New Roman"/>
          <w:b/>
          <w:sz w:val="28"/>
          <w:szCs w:val="28"/>
        </w:rPr>
      </w:pPr>
      <w:r>
        <w:rPr>
          <w:rFonts w:ascii="Times New Roman" w:hAnsi="Times New Roman"/>
          <w:b/>
          <w:sz w:val="28"/>
          <w:szCs w:val="28"/>
        </w:rPr>
        <w:t>课程</w:t>
      </w:r>
      <w:r>
        <w:rPr>
          <w:rFonts w:hint="eastAsia" w:ascii="Times New Roman" w:hAnsi="Times New Roman"/>
          <w:b/>
          <w:sz w:val="28"/>
          <w:szCs w:val="28"/>
        </w:rPr>
        <w:t>要求</w:t>
      </w:r>
      <w:r>
        <w:rPr>
          <w:rFonts w:ascii="Times New Roman" w:hAnsi="Times New Roman"/>
          <w:b/>
          <w:sz w:val="28"/>
          <w:szCs w:val="28"/>
        </w:rPr>
        <w:t>及</w:t>
      </w:r>
      <w:r>
        <w:rPr>
          <w:rFonts w:hint="eastAsia" w:ascii="Times New Roman" w:hAnsi="Times New Roman"/>
          <w:b/>
          <w:sz w:val="28"/>
          <w:szCs w:val="28"/>
        </w:rPr>
        <w:t>内容</w:t>
      </w:r>
    </w:p>
    <w:tbl>
      <w:tblPr>
        <w:tblStyle w:val="10"/>
        <w:tblW w:w="9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2632"/>
        <w:gridCol w:w="1134"/>
        <w:gridCol w:w="2028"/>
        <w:gridCol w:w="699"/>
        <w:gridCol w:w="975"/>
        <w:gridCol w:w="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ascii="Times New Roman" w:hAnsi="Times New Roman"/>
                <w:b/>
                <w:bCs/>
                <w:szCs w:val="21"/>
              </w:rPr>
            </w:pPr>
            <w:r>
              <w:rPr>
                <w:rFonts w:ascii="Times New Roman" w:hAnsi="Times New Roman"/>
                <w:b/>
                <w:bCs/>
                <w:szCs w:val="21"/>
              </w:rPr>
              <w:t>序号</w:t>
            </w:r>
          </w:p>
        </w:tc>
        <w:tc>
          <w:tcPr>
            <w:tcW w:w="2632" w:type="dxa"/>
            <w:noWrap w:val="0"/>
            <w:vAlign w:val="center"/>
          </w:tcPr>
          <w:p>
            <w:pPr>
              <w:jc w:val="center"/>
              <w:rPr>
                <w:rFonts w:ascii="Times New Roman" w:hAnsi="Times New Roman"/>
                <w:b/>
                <w:bCs/>
                <w:szCs w:val="21"/>
              </w:rPr>
            </w:pPr>
            <w:r>
              <w:rPr>
                <w:rFonts w:ascii="Times New Roman" w:hAnsi="Times New Roman"/>
                <w:b/>
                <w:bCs/>
                <w:szCs w:val="21"/>
              </w:rPr>
              <w:t>教学内容</w:t>
            </w:r>
          </w:p>
        </w:tc>
        <w:tc>
          <w:tcPr>
            <w:tcW w:w="1134" w:type="dxa"/>
            <w:noWrap w:val="0"/>
            <w:vAlign w:val="center"/>
          </w:tcPr>
          <w:p>
            <w:pPr>
              <w:jc w:val="center"/>
              <w:rPr>
                <w:rFonts w:ascii="Times New Roman" w:hAnsi="Times New Roman"/>
                <w:b/>
                <w:bCs/>
                <w:szCs w:val="21"/>
              </w:rPr>
            </w:pPr>
            <w:r>
              <w:rPr>
                <w:rFonts w:ascii="Times New Roman" w:hAnsi="Times New Roman"/>
                <w:b/>
                <w:bCs/>
                <w:szCs w:val="21"/>
              </w:rPr>
              <w:t>思政元素</w:t>
            </w:r>
          </w:p>
        </w:tc>
        <w:tc>
          <w:tcPr>
            <w:tcW w:w="2028" w:type="dxa"/>
            <w:noWrap w:val="0"/>
            <w:vAlign w:val="center"/>
          </w:tcPr>
          <w:p>
            <w:pPr>
              <w:jc w:val="center"/>
              <w:rPr>
                <w:rFonts w:ascii="Times New Roman" w:hAnsi="Times New Roman"/>
                <w:b/>
                <w:bCs/>
                <w:szCs w:val="21"/>
              </w:rPr>
            </w:pPr>
            <w:r>
              <w:rPr>
                <w:rFonts w:ascii="Times New Roman" w:hAnsi="Times New Roman"/>
                <w:b/>
                <w:bCs/>
                <w:szCs w:val="21"/>
              </w:rPr>
              <w:t>预期学习成果</w:t>
            </w:r>
          </w:p>
        </w:tc>
        <w:tc>
          <w:tcPr>
            <w:tcW w:w="699" w:type="dxa"/>
            <w:noWrap w:val="0"/>
            <w:vAlign w:val="center"/>
          </w:tcPr>
          <w:p>
            <w:pPr>
              <w:jc w:val="center"/>
              <w:rPr>
                <w:rFonts w:ascii="Times New Roman" w:hAnsi="Times New Roman"/>
                <w:b/>
                <w:bCs/>
                <w:szCs w:val="21"/>
              </w:rPr>
            </w:pPr>
            <w:r>
              <w:rPr>
                <w:rFonts w:ascii="Times New Roman" w:hAnsi="Times New Roman"/>
                <w:b/>
                <w:bCs/>
                <w:szCs w:val="21"/>
              </w:rPr>
              <w:t>教学学时</w:t>
            </w:r>
          </w:p>
        </w:tc>
        <w:tc>
          <w:tcPr>
            <w:tcW w:w="975" w:type="dxa"/>
            <w:noWrap w:val="0"/>
            <w:vAlign w:val="center"/>
          </w:tcPr>
          <w:p>
            <w:pPr>
              <w:jc w:val="center"/>
              <w:rPr>
                <w:rFonts w:ascii="Times New Roman" w:hAnsi="Times New Roman"/>
                <w:b/>
                <w:bCs/>
                <w:szCs w:val="21"/>
              </w:rPr>
            </w:pPr>
            <w:r>
              <w:rPr>
                <w:rFonts w:ascii="Times New Roman" w:hAnsi="Times New Roman"/>
                <w:b/>
                <w:bCs/>
                <w:szCs w:val="21"/>
              </w:rPr>
              <w:t>教学方式</w:t>
            </w:r>
          </w:p>
        </w:tc>
        <w:tc>
          <w:tcPr>
            <w:tcW w:w="925" w:type="dxa"/>
            <w:noWrap w:val="0"/>
            <w:vAlign w:val="center"/>
          </w:tcPr>
          <w:p>
            <w:pPr>
              <w:jc w:val="center"/>
              <w:rPr>
                <w:rFonts w:ascii="Times New Roman" w:hAnsi="Times New Roman"/>
                <w:b/>
                <w:bCs/>
                <w:szCs w:val="21"/>
              </w:rPr>
            </w:pPr>
            <w:r>
              <w:rPr>
                <w:rFonts w:ascii="Times New Roman" w:hAnsi="Times New Roman"/>
                <w:b/>
                <w:bCs/>
                <w:szCs w:val="21"/>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ascii="Times New Roman" w:hAnsi="Times New Roman"/>
                <w:szCs w:val="21"/>
              </w:rPr>
            </w:pPr>
            <w:r>
              <w:rPr>
                <w:rFonts w:ascii="Times New Roman" w:hAnsi="Times New Roman"/>
                <w:szCs w:val="21"/>
              </w:rPr>
              <w:t>1</w:t>
            </w:r>
          </w:p>
        </w:tc>
        <w:tc>
          <w:tcPr>
            <w:tcW w:w="2632" w:type="dxa"/>
            <w:noWrap w:val="0"/>
            <w:vAlign w:val="center"/>
          </w:tcPr>
          <w:p>
            <w:pPr>
              <w:rPr>
                <w:rFonts w:hint="eastAsia" w:ascii="Times New Roman" w:hAnsi="Times New Roman"/>
                <w:kern w:val="0"/>
                <w:szCs w:val="21"/>
              </w:rPr>
            </w:pPr>
            <w:r>
              <w:rPr>
                <w:rFonts w:hint="eastAsia" w:ascii="Times New Roman" w:hAnsi="Times New Roman"/>
                <w:b/>
                <w:kern w:val="0"/>
                <w:szCs w:val="21"/>
              </w:rPr>
              <w:t>化工设计概述：</w:t>
            </w:r>
            <w:r>
              <w:rPr>
                <w:rFonts w:hint="eastAsia" w:ascii="Times New Roman" w:hAnsi="Times New Roman"/>
                <w:kern w:val="0"/>
                <w:szCs w:val="21"/>
              </w:rPr>
              <w:t>化工设计指导思想，工程的概念、基本建设程序，项目立项，化工设计要求、分类、程序及内容，质量管理体系和设计部门与其他部门的关系。</w:t>
            </w:r>
          </w:p>
          <w:p>
            <w:pPr>
              <w:rPr>
                <w:rFonts w:ascii="Times New Roman" w:hAnsi="Times New Roman"/>
                <w:kern w:val="0"/>
                <w:szCs w:val="21"/>
              </w:rPr>
            </w:pPr>
          </w:p>
          <w:p>
            <w:pPr>
              <w:rPr>
                <w:rFonts w:hint="eastAsia" w:ascii="Times New Roman" w:hAnsi="Times New Roman"/>
                <w:kern w:val="0"/>
                <w:szCs w:val="21"/>
              </w:rPr>
            </w:pPr>
            <w:r>
              <w:rPr>
                <w:rFonts w:ascii="Times New Roman" w:hAnsi="Times New Roman"/>
                <w:b/>
                <w:kern w:val="0"/>
                <w:szCs w:val="21"/>
              </w:rPr>
              <w:t>重点和难点：</w:t>
            </w:r>
            <w:r>
              <w:rPr>
                <w:rFonts w:hint="eastAsia" w:ascii="Times New Roman" w:hAnsi="Times New Roman"/>
                <w:kern w:val="0"/>
                <w:szCs w:val="21"/>
              </w:rPr>
              <w:t>化工设计指导思想，工程与项目的概念、化工设计要求、分类、程序及内容。</w:t>
            </w:r>
          </w:p>
          <w:p>
            <w:pPr>
              <w:rPr>
                <w:rFonts w:ascii="Times New Roman" w:hAnsi="Times New Roman"/>
                <w:kern w:val="0"/>
                <w:szCs w:val="21"/>
              </w:rPr>
            </w:pPr>
          </w:p>
        </w:tc>
        <w:tc>
          <w:tcPr>
            <w:tcW w:w="1134" w:type="dxa"/>
            <w:noWrap w:val="0"/>
            <w:vAlign w:val="center"/>
          </w:tcPr>
          <w:p>
            <w:pPr>
              <w:autoSpaceDE w:val="0"/>
              <w:autoSpaceDN w:val="0"/>
              <w:adjustRightInd w:val="0"/>
              <w:rPr>
                <w:rFonts w:ascii="Times New Roman" w:hAnsi="Times New Roman"/>
                <w:kern w:val="0"/>
                <w:szCs w:val="21"/>
              </w:rPr>
            </w:pPr>
            <w:r>
              <w:rPr>
                <w:rFonts w:hint="eastAsia" w:ascii="Times New Roman" w:hAnsi="Times New Roman"/>
                <w:kern w:val="0"/>
                <w:szCs w:val="21"/>
              </w:rPr>
              <w:t>结合工程、项目案例，讲解我国基础建设方面取得的成就，激发学生的爱国情怀。</w:t>
            </w:r>
          </w:p>
        </w:tc>
        <w:tc>
          <w:tcPr>
            <w:tcW w:w="2028" w:type="dxa"/>
            <w:noWrap w:val="0"/>
            <w:vAlign w:val="center"/>
          </w:tcPr>
          <w:p>
            <w:pPr>
              <w:autoSpaceDE w:val="0"/>
              <w:autoSpaceDN w:val="0"/>
              <w:adjustRightInd w:val="0"/>
              <w:rPr>
                <w:rFonts w:hint="eastAsia" w:ascii="Times New Roman" w:hAnsi="Times New Roman"/>
                <w:kern w:val="0"/>
                <w:szCs w:val="21"/>
              </w:rPr>
            </w:pPr>
            <w:r>
              <w:rPr>
                <w:rFonts w:hint="eastAsia" w:ascii="Times New Roman" w:hAnsi="Times New Roman"/>
                <w:kern w:val="0"/>
                <w:szCs w:val="21"/>
              </w:rPr>
              <w:t>能够理解化工设计指导思想，化工厂概况，基本建设程序，项目立项；掌握化工设计要求、分类、程序及内容；了解质量管理体系和设计部门与其他部门的关系。</w:t>
            </w:r>
          </w:p>
          <w:p>
            <w:pPr>
              <w:autoSpaceDE w:val="0"/>
              <w:autoSpaceDN w:val="0"/>
              <w:adjustRightInd w:val="0"/>
              <w:rPr>
                <w:rFonts w:ascii="Times New Roman" w:hAnsi="Times New Roman"/>
                <w:kern w:val="0"/>
                <w:szCs w:val="21"/>
              </w:rPr>
            </w:pPr>
          </w:p>
        </w:tc>
        <w:tc>
          <w:tcPr>
            <w:tcW w:w="699" w:type="dxa"/>
            <w:noWrap w:val="0"/>
            <w:vAlign w:val="center"/>
          </w:tcPr>
          <w:p>
            <w:pPr>
              <w:jc w:val="center"/>
              <w:rPr>
                <w:rFonts w:hint="eastAsia" w:ascii="Times New Roman" w:hAnsi="Times New Roman"/>
                <w:szCs w:val="21"/>
              </w:rPr>
            </w:pPr>
            <w:r>
              <w:rPr>
                <w:rFonts w:hint="eastAsia" w:ascii="Times New Roman" w:hAnsi="Times New Roman"/>
                <w:szCs w:val="21"/>
              </w:rPr>
              <w:t>2</w:t>
            </w:r>
          </w:p>
        </w:tc>
        <w:tc>
          <w:tcPr>
            <w:tcW w:w="975" w:type="dxa"/>
            <w:noWrap w:val="0"/>
            <w:vAlign w:val="center"/>
          </w:tcPr>
          <w:p>
            <w:pPr>
              <w:rPr>
                <w:rFonts w:ascii="Times New Roman" w:hAnsi="Times New Roman"/>
                <w:szCs w:val="21"/>
              </w:rPr>
            </w:pPr>
            <w:r>
              <w:rPr>
                <w:rFonts w:ascii="Times New Roman" w:hAnsi="Times New Roman"/>
                <w:szCs w:val="21"/>
              </w:rPr>
              <w:t>讲授/讨论/实例教学等</w:t>
            </w:r>
          </w:p>
        </w:tc>
        <w:tc>
          <w:tcPr>
            <w:tcW w:w="925" w:type="dxa"/>
            <w:noWrap w:val="0"/>
            <w:vAlign w:val="center"/>
          </w:tcPr>
          <w:p>
            <w:pPr>
              <w:jc w:val="center"/>
              <w:rPr>
                <w:rFonts w:ascii="Times New Roman" w:hAnsi="Times New Roman"/>
                <w:szCs w:val="21"/>
              </w:rPr>
            </w:pPr>
            <w:r>
              <w:rPr>
                <w:rFonts w:ascii="Times New Roman" w:hAnsi="Times New Roman"/>
                <w:b/>
                <w:kern w:val="0"/>
                <w:szCs w:val="21"/>
              </w:rPr>
              <w:t>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ascii="Times New Roman" w:hAnsi="Times New Roman"/>
                <w:szCs w:val="21"/>
              </w:rPr>
            </w:pPr>
            <w:r>
              <w:rPr>
                <w:rFonts w:ascii="Times New Roman" w:hAnsi="Times New Roman"/>
                <w:szCs w:val="21"/>
              </w:rPr>
              <w:t>2</w:t>
            </w:r>
          </w:p>
        </w:tc>
        <w:tc>
          <w:tcPr>
            <w:tcW w:w="2632" w:type="dxa"/>
            <w:noWrap w:val="0"/>
            <w:vAlign w:val="center"/>
          </w:tcPr>
          <w:p>
            <w:pPr>
              <w:rPr>
                <w:rFonts w:hint="eastAsia" w:ascii="Times New Roman" w:hAnsi="Times New Roman"/>
                <w:kern w:val="0"/>
                <w:szCs w:val="21"/>
              </w:rPr>
            </w:pPr>
            <w:r>
              <w:rPr>
                <w:rFonts w:hint="eastAsia" w:ascii="Times New Roman" w:hAnsi="Times New Roman"/>
                <w:b/>
                <w:kern w:val="0"/>
                <w:szCs w:val="21"/>
              </w:rPr>
              <w:t>工艺路线与工艺流程设计：</w:t>
            </w:r>
            <w:r>
              <w:rPr>
                <w:rFonts w:hint="eastAsia" w:ascii="Times New Roman" w:hAnsi="Times New Roman"/>
                <w:kern w:val="0"/>
                <w:szCs w:val="21"/>
              </w:rPr>
              <w:t>工艺路线的选择与确定，工艺流程设计，典型单元设备的控制流程设计，特定过程管路的流程设计，辅助生产流程，工艺流程图设计实例。</w:t>
            </w:r>
          </w:p>
          <w:p>
            <w:pPr>
              <w:rPr>
                <w:rFonts w:ascii="Times New Roman" w:hAnsi="Times New Roman"/>
                <w:kern w:val="0"/>
                <w:szCs w:val="21"/>
              </w:rPr>
            </w:pPr>
          </w:p>
          <w:p>
            <w:pPr>
              <w:rPr>
                <w:rFonts w:ascii="Times New Roman" w:hAnsi="Times New Roman"/>
                <w:kern w:val="0"/>
                <w:szCs w:val="21"/>
              </w:rPr>
            </w:pPr>
            <w:r>
              <w:rPr>
                <w:rFonts w:ascii="Times New Roman" w:hAnsi="Times New Roman"/>
                <w:b/>
                <w:kern w:val="0"/>
                <w:szCs w:val="21"/>
              </w:rPr>
              <w:t>重点和难点：</w:t>
            </w:r>
            <w:r>
              <w:rPr>
                <w:rFonts w:hint="eastAsia" w:ascii="Times New Roman" w:hAnsi="Times New Roman"/>
                <w:kern w:val="0"/>
                <w:szCs w:val="21"/>
              </w:rPr>
              <w:t>工艺路线的选择与确定，工艺流程设计，典型单元设备的控制流程设计。</w:t>
            </w:r>
          </w:p>
        </w:tc>
        <w:tc>
          <w:tcPr>
            <w:tcW w:w="1134" w:type="dxa"/>
            <w:noWrap w:val="0"/>
            <w:vAlign w:val="center"/>
          </w:tcPr>
          <w:p>
            <w:pPr>
              <w:rPr>
                <w:rFonts w:ascii="Times New Roman" w:hAnsi="Times New Roman"/>
                <w:szCs w:val="21"/>
              </w:rPr>
            </w:pPr>
            <w:r>
              <w:rPr>
                <w:rFonts w:hint="eastAsia" w:ascii="Times New Roman" w:hAnsi="Times New Roman"/>
                <w:szCs w:val="21"/>
              </w:rPr>
              <w:t>工艺路线的选择需需先进、可靠、结合国情、因地制宜。引导学生遵守国家法律法规进行规范设计，弘扬社会主义核心价值观。</w:t>
            </w:r>
          </w:p>
        </w:tc>
        <w:tc>
          <w:tcPr>
            <w:tcW w:w="2028" w:type="dxa"/>
            <w:noWrap w:val="0"/>
            <w:vAlign w:val="center"/>
          </w:tcPr>
          <w:p>
            <w:pPr>
              <w:rPr>
                <w:rFonts w:hint="eastAsia" w:ascii="Times New Roman" w:hAnsi="Times New Roman"/>
                <w:kern w:val="0"/>
                <w:szCs w:val="21"/>
              </w:rPr>
            </w:pPr>
            <w:r>
              <w:rPr>
                <w:rFonts w:hint="eastAsia" w:ascii="Times New Roman" w:hAnsi="Times New Roman"/>
                <w:kern w:val="0"/>
                <w:szCs w:val="21"/>
              </w:rPr>
              <w:t>能够理解：典型单元设备的控制流程设计；</w:t>
            </w:r>
          </w:p>
          <w:p>
            <w:pPr>
              <w:rPr>
                <w:rFonts w:hint="eastAsia" w:ascii="Times New Roman" w:hAnsi="Times New Roman"/>
                <w:kern w:val="0"/>
                <w:szCs w:val="21"/>
              </w:rPr>
            </w:pPr>
            <w:r>
              <w:rPr>
                <w:rFonts w:hint="eastAsia" w:ascii="Times New Roman" w:hAnsi="Times New Roman"/>
                <w:kern w:val="0"/>
                <w:szCs w:val="21"/>
              </w:rPr>
              <w:t>掌握：工艺路线的选择与确定，工艺流程设计；</w:t>
            </w:r>
          </w:p>
          <w:p>
            <w:pPr>
              <w:rPr>
                <w:rFonts w:hint="eastAsia" w:ascii="Times New Roman" w:hAnsi="Times New Roman"/>
                <w:kern w:val="0"/>
                <w:szCs w:val="21"/>
              </w:rPr>
            </w:pPr>
            <w:r>
              <w:rPr>
                <w:rFonts w:hint="eastAsia" w:ascii="Times New Roman" w:hAnsi="Times New Roman"/>
                <w:kern w:val="0"/>
                <w:szCs w:val="21"/>
              </w:rPr>
              <w:t>了解：特定过程管路的流程设计，辅助生产流程。</w:t>
            </w:r>
          </w:p>
          <w:p>
            <w:pPr>
              <w:rPr>
                <w:rFonts w:ascii="Times New Roman" w:hAnsi="Times New Roman"/>
                <w:szCs w:val="21"/>
              </w:rPr>
            </w:pPr>
          </w:p>
        </w:tc>
        <w:tc>
          <w:tcPr>
            <w:tcW w:w="699" w:type="dxa"/>
            <w:noWrap w:val="0"/>
            <w:vAlign w:val="center"/>
          </w:tcPr>
          <w:p>
            <w:pPr>
              <w:jc w:val="center"/>
              <w:rPr>
                <w:rFonts w:hint="default" w:ascii="Times New Roman" w:hAnsi="Times New Roman" w:eastAsia="宋体"/>
                <w:szCs w:val="21"/>
                <w:lang w:val="en-US" w:eastAsia="zh-CN"/>
              </w:rPr>
            </w:pPr>
            <w:r>
              <w:rPr>
                <w:rFonts w:hint="eastAsia" w:ascii="Times New Roman" w:hAnsi="Times New Roman"/>
                <w:szCs w:val="21"/>
                <w:lang w:val="en-US" w:eastAsia="zh-CN"/>
              </w:rPr>
              <w:t>6</w:t>
            </w:r>
          </w:p>
        </w:tc>
        <w:tc>
          <w:tcPr>
            <w:tcW w:w="975" w:type="dxa"/>
            <w:noWrap w:val="0"/>
            <w:vAlign w:val="center"/>
          </w:tcPr>
          <w:p>
            <w:pPr>
              <w:rPr>
                <w:rFonts w:ascii="Times New Roman" w:hAnsi="Times New Roman"/>
                <w:szCs w:val="21"/>
              </w:rPr>
            </w:pPr>
            <w:r>
              <w:rPr>
                <w:rFonts w:ascii="Times New Roman" w:hAnsi="Times New Roman"/>
                <w:szCs w:val="21"/>
              </w:rPr>
              <w:t>讲授/实验/讨论/等</w:t>
            </w:r>
          </w:p>
        </w:tc>
        <w:tc>
          <w:tcPr>
            <w:tcW w:w="925" w:type="dxa"/>
            <w:noWrap w:val="0"/>
            <w:vAlign w:val="center"/>
          </w:tcPr>
          <w:p>
            <w:pPr>
              <w:jc w:val="center"/>
              <w:rPr>
                <w:rFonts w:hint="eastAsia" w:ascii="Times New Roman" w:hAnsi="Times New Roman" w:eastAsia="宋体"/>
                <w:kern w:val="0"/>
                <w:szCs w:val="21"/>
                <w:lang w:eastAsia="zh-CN"/>
              </w:rPr>
            </w:pPr>
            <w:r>
              <w:rPr>
                <w:rFonts w:ascii="Times New Roman" w:hAnsi="Times New Roman"/>
                <w:b/>
                <w:kern w:val="0"/>
                <w:szCs w:val="21"/>
              </w:rPr>
              <w:t>目标</w:t>
            </w:r>
            <w:r>
              <w:rPr>
                <w:rFonts w:hint="eastAsia" w:ascii="Times New Roman" w:hAnsi="Times New Roman"/>
                <w:b/>
                <w:kern w:val="0"/>
                <w:szCs w:val="21"/>
                <w:lang w:val="en-US" w:eastAsia="zh-CN"/>
              </w:rPr>
              <w:t>2</w:t>
            </w:r>
          </w:p>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ascii="Times New Roman" w:hAnsi="Times New Roman"/>
                <w:szCs w:val="21"/>
              </w:rPr>
            </w:pPr>
            <w:r>
              <w:rPr>
                <w:rFonts w:ascii="Times New Roman" w:hAnsi="Times New Roman"/>
                <w:szCs w:val="21"/>
              </w:rPr>
              <w:t>3</w:t>
            </w:r>
          </w:p>
        </w:tc>
        <w:tc>
          <w:tcPr>
            <w:tcW w:w="2632" w:type="dxa"/>
            <w:noWrap w:val="0"/>
            <w:vAlign w:val="center"/>
          </w:tcPr>
          <w:p>
            <w:pPr>
              <w:rPr>
                <w:rFonts w:hint="eastAsia" w:ascii="Times New Roman" w:hAnsi="Times New Roman"/>
                <w:kern w:val="0"/>
                <w:szCs w:val="21"/>
              </w:rPr>
            </w:pPr>
            <w:r>
              <w:rPr>
                <w:rFonts w:hint="eastAsia" w:ascii="Times New Roman" w:hAnsi="Times New Roman"/>
                <w:b/>
                <w:kern w:val="0"/>
                <w:szCs w:val="21"/>
              </w:rPr>
              <w:t>化工过程中的物料衡算：</w:t>
            </w:r>
            <w:r>
              <w:rPr>
                <w:rFonts w:hint="eastAsia" w:ascii="Times New Roman" w:hAnsi="Times New Roman"/>
                <w:kern w:val="0"/>
                <w:szCs w:val="21"/>
              </w:rPr>
              <w:t>物料衡算的基本方法和基本程序，物理、化学过程的物料衡算。</w:t>
            </w:r>
          </w:p>
          <w:p>
            <w:pPr>
              <w:rPr>
                <w:rFonts w:ascii="Times New Roman" w:hAnsi="Times New Roman"/>
                <w:kern w:val="0"/>
                <w:szCs w:val="21"/>
              </w:rPr>
            </w:pPr>
          </w:p>
          <w:p>
            <w:pPr>
              <w:rPr>
                <w:rFonts w:hint="eastAsia" w:ascii="Times New Roman" w:hAnsi="Times New Roman"/>
                <w:kern w:val="0"/>
                <w:szCs w:val="21"/>
              </w:rPr>
            </w:pPr>
            <w:r>
              <w:rPr>
                <w:rFonts w:ascii="Times New Roman" w:hAnsi="Times New Roman"/>
                <w:b/>
                <w:kern w:val="0"/>
                <w:szCs w:val="21"/>
              </w:rPr>
              <w:t>重点和难点：</w:t>
            </w:r>
            <w:r>
              <w:rPr>
                <w:rFonts w:hint="eastAsia" w:ascii="Times New Roman" w:hAnsi="Times New Roman"/>
                <w:kern w:val="0"/>
                <w:szCs w:val="21"/>
              </w:rPr>
              <w:t>物料衡算的基本方法和基本程序，物理过程的物料衡算；</w:t>
            </w:r>
          </w:p>
          <w:p>
            <w:pPr>
              <w:rPr>
                <w:rFonts w:hint="eastAsia" w:ascii="Times New Roman" w:hAnsi="Times New Roman"/>
                <w:kern w:val="0"/>
                <w:szCs w:val="21"/>
              </w:rPr>
            </w:pPr>
            <w:r>
              <w:rPr>
                <w:rFonts w:hint="eastAsia" w:ascii="Times New Roman" w:hAnsi="Times New Roman"/>
                <w:kern w:val="0"/>
                <w:szCs w:val="21"/>
              </w:rPr>
              <w:t>化学过程的物料衡算。</w:t>
            </w:r>
          </w:p>
          <w:p>
            <w:pPr>
              <w:rPr>
                <w:rFonts w:ascii="Times New Roman" w:hAnsi="Times New Roman"/>
                <w:kern w:val="0"/>
                <w:szCs w:val="21"/>
              </w:rPr>
            </w:pPr>
          </w:p>
        </w:tc>
        <w:tc>
          <w:tcPr>
            <w:tcW w:w="1134" w:type="dxa"/>
            <w:noWrap w:val="0"/>
            <w:vAlign w:val="center"/>
          </w:tcPr>
          <w:p>
            <w:pPr>
              <w:rPr>
                <w:rFonts w:ascii="Times New Roman" w:hAnsi="Times New Roman"/>
                <w:szCs w:val="21"/>
              </w:rPr>
            </w:pPr>
            <w:r>
              <w:rPr>
                <w:rFonts w:hint="eastAsia" w:ascii="Times New Roman" w:hAnsi="Times New Roman"/>
                <w:szCs w:val="21"/>
              </w:rPr>
              <w:t>物料衡算是进行化工设计经济评价的基本依据，可定量评价工艺流程经济上是否合理、技术上是否先进。</w:t>
            </w:r>
          </w:p>
        </w:tc>
        <w:tc>
          <w:tcPr>
            <w:tcW w:w="2028" w:type="dxa"/>
            <w:noWrap w:val="0"/>
            <w:vAlign w:val="center"/>
          </w:tcPr>
          <w:p>
            <w:pPr>
              <w:rPr>
                <w:rFonts w:hint="eastAsia" w:ascii="Times New Roman" w:hAnsi="Times New Roman"/>
                <w:kern w:val="0"/>
                <w:szCs w:val="21"/>
              </w:rPr>
            </w:pPr>
            <w:r>
              <w:rPr>
                <w:rFonts w:hint="eastAsia" w:ascii="Times New Roman" w:hAnsi="Times New Roman"/>
                <w:kern w:val="0"/>
                <w:szCs w:val="21"/>
              </w:rPr>
              <w:t>掌握：物理过程的物料衡算；</w:t>
            </w:r>
          </w:p>
          <w:p>
            <w:pPr>
              <w:rPr>
                <w:rFonts w:hint="eastAsia" w:ascii="Times New Roman" w:hAnsi="Times New Roman"/>
                <w:kern w:val="0"/>
                <w:szCs w:val="21"/>
              </w:rPr>
            </w:pPr>
            <w:r>
              <w:rPr>
                <w:rFonts w:hint="eastAsia" w:ascii="Times New Roman" w:hAnsi="Times New Roman"/>
                <w:kern w:val="0"/>
                <w:szCs w:val="21"/>
              </w:rPr>
              <w:t>了解：化学过程的物料衡算。</w:t>
            </w:r>
          </w:p>
          <w:p>
            <w:pPr>
              <w:rPr>
                <w:rFonts w:ascii="Times New Roman" w:hAnsi="Times New Roman"/>
                <w:szCs w:val="21"/>
              </w:rPr>
            </w:pPr>
          </w:p>
        </w:tc>
        <w:tc>
          <w:tcPr>
            <w:tcW w:w="699" w:type="dxa"/>
            <w:noWrap w:val="0"/>
            <w:vAlign w:val="center"/>
          </w:tcPr>
          <w:p>
            <w:pPr>
              <w:jc w:val="center"/>
              <w:rPr>
                <w:rFonts w:ascii="Times New Roman" w:hAnsi="Times New Roman"/>
                <w:szCs w:val="21"/>
              </w:rPr>
            </w:pPr>
            <w:r>
              <w:rPr>
                <w:rFonts w:hint="eastAsia" w:ascii="Times New Roman" w:hAnsi="Times New Roman"/>
                <w:szCs w:val="21"/>
              </w:rPr>
              <w:t>1</w:t>
            </w:r>
          </w:p>
        </w:tc>
        <w:tc>
          <w:tcPr>
            <w:tcW w:w="975" w:type="dxa"/>
            <w:noWrap w:val="0"/>
            <w:vAlign w:val="center"/>
          </w:tcPr>
          <w:p>
            <w:pPr>
              <w:rPr>
                <w:rFonts w:ascii="Times New Roman" w:hAnsi="Times New Roman"/>
                <w:szCs w:val="21"/>
              </w:rPr>
            </w:pPr>
            <w:r>
              <w:rPr>
                <w:rFonts w:ascii="Times New Roman" w:hAnsi="Times New Roman"/>
                <w:szCs w:val="21"/>
              </w:rPr>
              <w:t>讲授/讨论/等</w:t>
            </w:r>
          </w:p>
        </w:tc>
        <w:tc>
          <w:tcPr>
            <w:tcW w:w="925" w:type="dxa"/>
            <w:noWrap w:val="0"/>
            <w:vAlign w:val="center"/>
          </w:tcPr>
          <w:p>
            <w:pPr>
              <w:jc w:val="center"/>
              <w:rPr>
                <w:rFonts w:hint="eastAsia" w:ascii="Times New Roman" w:hAnsi="Times New Roman" w:eastAsia="宋体"/>
                <w:szCs w:val="21"/>
                <w:lang w:eastAsia="zh-CN"/>
              </w:rPr>
            </w:pPr>
            <w:r>
              <w:rPr>
                <w:rFonts w:ascii="Times New Roman" w:hAnsi="Times New Roman"/>
                <w:b/>
                <w:kern w:val="0"/>
                <w:szCs w:val="21"/>
              </w:rPr>
              <w:t>目标</w:t>
            </w:r>
            <w:r>
              <w:rPr>
                <w:rFonts w:hint="eastAsia" w:ascii="Times New Roman" w:hAnsi="Times New Roman"/>
                <w:b/>
                <w:kern w:val="0"/>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ascii="Times New Roman" w:hAnsi="Times New Roman"/>
                <w:szCs w:val="21"/>
              </w:rPr>
            </w:pPr>
            <w:r>
              <w:rPr>
                <w:rFonts w:ascii="Times New Roman" w:hAnsi="Times New Roman"/>
                <w:szCs w:val="21"/>
              </w:rPr>
              <w:t>4</w:t>
            </w:r>
          </w:p>
        </w:tc>
        <w:tc>
          <w:tcPr>
            <w:tcW w:w="2632" w:type="dxa"/>
            <w:noWrap w:val="0"/>
            <w:vAlign w:val="center"/>
          </w:tcPr>
          <w:p>
            <w:pPr>
              <w:rPr>
                <w:rFonts w:hint="eastAsia" w:ascii="Times New Roman" w:hAnsi="Times New Roman"/>
                <w:kern w:val="0"/>
                <w:szCs w:val="21"/>
              </w:rPr>
            </w:pPr>
            <w:r>
              <w:rPr>
                <w:rFonts w:hint="eastAsia" w:ascii="Times New Roman" w:hAnsi="Times New Roman"/>
                <w:b/>
                <w:kern w:val="0"/>
                <w:szCs w:val="21"/>
              </w:rPr>
              <w:t>化工过程中的能量衡算：</w:t>
            </w:r>
            <w:r>
              <w:rPr>
                <w:rFonts w:hint="eastAsia" w:ascii="Times New Roman" w:hAnsi="Times New Roman"/>
                <w:kern w:val="0"/>
                <w:szCs w:val="21"/>
              </w:rPr>
              <w:t>能量衡算的基本方法和基本程序，物理、化学过程的能量衡算，物料衡算与热量衡算的联算。</w:t>
            </w:r>
          </w:p>
          <w:p>
            <w:pPr>
              <w:rPr>
                <w:rFonts w:ascii="Times New Roman" w:hAnsi="Times New Roman"/>
                <w:kern w:val="0"/>
                <w:szCs w:val="21"/>
              </w:rPr>
            </w:pPr>
          </w:p>
          <w:p>
            <w:pPr>
              <w:rPr>
                <w:rFonts w:hint="eastAsia" w:ascii="Times New Roman" w:hAnsi="Times New Roman"/>
                <w:kern w:val="0"/>
                <w:szCs w:val="21"/>
              </w:rPr>
            </w:pPr>
            <w:r>
              <w:rPr>
                <w:rFonts w:ascii="Times New Roman" w:hAnsi="Times New Roman"/>
                <w:b/>
                <w:kern w:val="0"/>
                <w:szCs w:val="21"/>
              </w:rPr>
              <w:t>重点和难点：</w:t>
            </w:r>
            <w:r>
              <w:rPr>
                <w:rFonts w:hint="eastAsia" w:ascii="Times New Roman" w:hAnsi="Times New Roman"/>
                <w:kern w:val="0"/>
                <w:szCs w:val="21"/>
              </w:rPr>
              <w:t>能量衡算的基本方法和基本程序，物理、化学过程的能量衡算。</w:t>
            </w:r>
          </w:p>
          <w:p>
            <w:pPr>
              <w:rPr>
                <w:rFonts w:hint="eastAsia" w:ascii="Times New Roman" w:hAnsi="Times New Roman"/>
                <w:kern w:val="0"/>
                <w:szCs w:val="21"/>
              </w:rPr>
            </w:pPr>
            <w:r>
              <w:rPr>
                <w:rFonts w:hint="eastAsia" w:ascii="Times New Roman" w:hAnsi="Times New Roman"/>
                <w:kern w:val="0"/>
                <w:szCs w:val="21"/>
              </w:rPr>
              <w:t>物料衡算与热量衡算的联算。</w:t>
            </w:r>
          </w:p>
          <w:p>
            <w:pPr>
              <w:rPr>
                <w:rFonts w:ascii="Times New Roman" w:hAnsi="Times New Roman"/>
                <w:kern w:val="0"/>
                <w:szCs w:val="21"/>
              </w:rPr>
            </w:pPr>
          </w:p>
        </w:tc>
        <w:tc>
          <w:tcPr>
            <w:tcW w:w="1134" w:type="dxa"/>
            <w:noWrap w:val="0"/>
            <w:vAlign w:val="center"/>
          </w:tcPr>
          <w:p>
            <w:pPr>
              <w:autoSpaceDE w:val="0"/>
              <w:autoSpaceDN w:val="0"/>
              <w:adjustRightInd w:val="0"/>
              <w:rPr>
                <w:rFonts w:ascii="Times New Roman" w:hAnsi="Times New Roman"/>
                <w:szCs w:val="21"/>
              </w:rPr>
            </w:pPr>
            <w:r>
              <w:rPr>
                <w:rFonts w:hint="eastAsia" w:ascii="Times New Roman" w:hAnsi="Times New Roman"/>
                <w:szCs w:val="21"/>
              </w:rPr>
              <w:t>引导学生理解节能的概念，具有社会责任意识。</w:t>
            </w:r>
          </w:p>
        </w:tc>
        <w:tc>
          <w:tcPr>
            <w:tcW w:w="2028" w:type="dxa"/>
            <w:noWrap w:val="0"/>
            <w:vAlign w:val="center"/>
          </w:tcPr>
          <w:p>
            <w:pPr>
              <w:autoSpaceDE w:val="0"/>
              <w:autoSpaceDN w:val="0"/>
              <w:adjustRightInd w:val="0"/>
              <w:rPr>
                <w:rFonts w:hint="eastAsia" w:ascii="Times New Roman" w:hAnsi="Times New Roman"/>
                <w:kern w:val="0"/>
                <w:szCs w:val="21"/>
              </w:rPr>
            </w:pPr>
            <w:r>
              <w:rPr>
                <w:rFonts w:hint="eastAsia" w:ascii="Times New Roman" w:hAnsi="Times New Roman"/>
                <w:kern w:val="0"/>
                <w:szCs w:val="21"/>
              </w:rPr>
              <w:t>理解：能量衡算的基本方法和基本程序；</w:t>
            </w:r>
          </w:p>
          <w:p>
            <w:pPr>
              <w:autoSpaceDE w:val="0"/>
              <w:autoSpaceDN w:val="0"/>
              <w:adjustRightInd w:val="0"/>
              <w:rPr>
                <w:rFonts w:hint="eastAsia" w:ascii="Times New Roman" w:hAnsi="Times New Roman"/>
                <w:kern w:val="0"/>
                <w:szCs w:val="21"/>
              </w:rPr>
            </w:pPr>
            <w:r>
              <w:rPr>
                <w:rFonts w:hint="eastAsia" w:ascii="Times New Roman" w:hAnsi="Times New Roman"/>
                <w:kern w:val="0"/>
                <w:szCs w:val="21"/>
              </w:rPr>
              <w:t>掌握：物理过程的能量衡算；</w:t>
            </w:r>
          </w:p>
          <w:p>
            <w:pPr>
              <w:autoSpaceDE w:val="0"/>
              <w:autoSpaceDN w:val="0"/>
              <w:adjustRightInd w:val="0"/>
              <w:rPr>
                <w:rFonts w:hint="eastAsia" w:ascii="Times New Roman" w:hAnsi="Times New Roman"/>
                <w:kern w:val="0"/>
                <w:szCs w:val="21"/>
              </w:rPr>
            </w:pPr>
            <w:r>
              <w:rPr>
                <w:rFonts w:hint="eastAsia" w:ascii="Times New Roman" w:hAnsi="Times New Roman"/>
                <w:kern w:val="0"/>
                <w:szCs w:val="21"/>
              </w:rPr>
              <w:t>了解：学过程的能量衡算，物料衡算与热量衡算的联算。</w:t>
            </w:r>
          </w:p>
          <w:p>
            <w:pPr>
              <w:autoSpaceDE w:val="0"/>
              <w:autoSpaceDN w:val="0"/>
              <w:adjustRightInd w:val="0"/>
              <w:rPr>
                <w:rFonts w:ascii="Times New Roman" w:hAnsi="Times New Roman"/>
                <w:szCs w:val="21"/>
              </w:rPr>
            </w:pPr>
          </w:p>
        </w:tc>
        <w:tc>
          <w:tcPr>
            <w:tcW w:w="699" w:type="dxa"/>
            <w:noWrap w:val="0"/>
            <w:vAlign w:val="center"/>
          </w:tcPr>
          <w:p>
            <w:pPr>
              <w:jc w:val="center"/>
              <w:rPr>
                <w:rFonts w:hint="eastAsia" w:ascii="Times New Roman" w:hAnsi="Times New Roman"/>
                <w:szCs w:val="21"/>
              </w:rPr>
            </w:pPr>
            <w:r>
              <w:rPr>
                <w:rFonts w:hint="eastAsia" w:ascii="Times New Roman" w:hAnsi="Times New Roman"/>
                <w:szCs w:val="21"/>
              </w:rPr>
              <w:t>1</w:t>
            </w:r>
          </w:p>
        </w:tc>
        <w:tc>
          <w:tcPr>
            <w:tcW w:w="975" w:type="dxa"/>
            <w:noWrap w:val="0"/>
            <w:vAlign w:val="center"/>
          </w:tcPr>
          <w:p>
            <w:pPr>
              <w:rPr>
                <w:rFonts w:ascii="Times New Roman" w:hAnsi="Times New Roman"/>
                <w:szCs w:val="21"/>
              </w:rPr>
            </w:pPr>
            <w:r>
              <w:rPr>
                <w:rFonts w:ascii="Times New Roman" w:hAnsi="Times New Roman"/>
                <w:szCs w:val="21"/>
              </w:rPr>
              <w:t>讲授/实验/讨论/等</w:t>
            </w:r>
          </w:p>
        </w:tc>
        <w:tc>
          <w:tcPr>
            <w:tcW w:w="925" w:type="dxa"/>
            <w:noWrap w:val="0"/>
            <w:vAlign w:val="center"/>
          </w:tcPr>
          <w:p>
            <w:pPr>
              <w:jc w:val="center"/>
              <w:rPr>
                <w:rFonts w:hint="eastAsia" w:ascii="Times New Roman" w:hAnsi="Times New Roman" w:eastAsia="宋体"/>
                <w:kern w:val="0"/>
                <w:szCs w:val="21"/>
                <w:lang w:eastAsia="zh-CN"/>
              </w:rPr>
            </w:pPr>
            <w:r>
              <w:rPr>
                <w:rFonts w:ascii="Times New Roman" w:hAnsi="Times New Roman"/>
                <w:b/>
                <w:kern w:val="0"/>
                <w:szCs w:val="21"/>
              </w:rPr>
              <w:t>目标</w:t>
            </w:r>
            <w:r>
              <w:rPr>
                <w:rFonts w:hint="eastAsia" w:ascii="Times New Roman" w:hAnsi="Times New Roman"/>
                <w:b/>
                <w:kern w:val="0"/>
                <w:szCs w:val="21"/>
                <w:lang w:val="en-US" w:eastAsia="zh-CN"/>
              </w:rPr>
              <w:t>1</w:t>
            </w:r>
          </w:p>
          <w:p>
            <w:pP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ascii="Times New Roman" w:hAnsi="Times New Roman"/>
                <w:szCs w:val="21"/>
              </w:rPr>
            </w:pPr>
            <w:r>
              <w:rPr>
                <w:rFonts w:ascii="Times New Roman" w:hAnsi="Times New Roman"/>
                <w:szCs w:val="21"/>
              </w:rPr>
              <w:t>5</w:t>
            </w:r>
          </w:p>
        </w:tc>
        <w:tc>
          <w:tcPr>
            <w:tcW w:w="2632" w:type="dxa"/>
            <w:noWrap w:val="0"/>
            <w:vAlign w:val="center"/>
          </w:tcPr>
          <w:p>
            <w:pPr>
              <w:rPr>
                <w:rFonts w:hint="eastAsia" w:ascii="Times New Roman" w:hAnsi="Times New Roman"/>
                <w:kern w:val="0"/>
                <w:szCs w:val="21"/>
              </w:rPr>
            </w:pPr>
            <w:r>
              <w:rPr>
                <w:rFonts w:hint="eastAsia" w:ascii="Times New Roman" w:hAnsi="Times New Roman"/>
                <w:b/>
                <w:kern w:val="0"/>
                <w:szCs w:val="21"/>
              </w:rPr>
              <w:t>化工设备选型和设计计算：</w:t>
            </w:r>
            <w:r>
              <w:rPr>
                <w:rFonts w:hint="eastAsia" w:ascii="Times New Roman" w:hAnsi="Times New Roman"/>
                <w:kern w:val="0"/>
                <w:szCs w:val="21"/>
              </w:rPr>
              <w:t>化工设备工艺设计的内容，物料输送设备，换热设备的设计与选用，塔器、反应器、分离设备的设计，储罐容器选型和设计。</w:t>
            </w:r>
          </w:p>
          <w:p>
            <w:pPr>
              <w:rPr>
                <w:rFonts w:ascii="Times New Roman" w:hAnsi="Times New Roman"/>
                <w:kern w:val="0"/>
                <w:szCs w:val="21"/>
              </w:rPr>
            </w:pPr>
          </w:p>
          <w:p>
            <w:pPr>
              <w:rPr>
                <w:rFonts w:ascii="Times New Roman" w:hAnsi="Times New Roman"/>
                <w:kern w:val="0"/>
                <w:szCs w:val="21"/>
              </w:rPr>
            </w:pPr>
            <w:r>
              <w:rPr>
                <w:rFonts w:ascii="Times New Roman" w:hAnsi="Times New Roman"/>
                <w:b/>
                <w:kern w:val="0"/>
                <w:szCs w:val="21"/>
              </w:rPr>
              <w:t>重点和难点：</w:t>
            </w:r>
            <w:r>
              <w:rPr>
                <w:rFonts w:hint="eastAsia" w:ascii="Times New Roman" w:hAnsi="Times New Roman"/>
                <w:kern w:val="0"/>
                <w:szCs w:val="21"/>
              </w:rPr>
              <w:t>塔器、反应器、分离设备的设计；储罐容器选型和设计。</w:t>
            </w:r>
          </w:p>
        </w:tc>
        <w:tc>
          <w:tcPr>
            <w:tcW w:w="1134" w:type="dxa"/>
            <w:noWrap w:val="0"/>
            <w:vAlign w:val="center"/>
          </w:tcPr>
          <w:p>
            <w:pPr>
              <w:rPr>
                <w:rFonts w:ascii="Times New Roman" w:hAnsi="Times New Roman"/>
                <w:szCs w:val="21"/>
              </w:rPr>
            </w:pPr>
          </w:p>
        </w:tc>
        <w:tc>
          <w:tcPr>
            <w:tcW w:w="2028" w:type="dxa"/>
            <w:noWrap w:val="0"/>
            <w:vAlign w:val="center"/>
          </w:tcPr>
          <w:p>
            <w:pPr>
              <w:rPr>
                <w:rFonts w:hint="eastAsia" w:ascii="Times New Roman" w:hAnsi="Times New Roman"/>
                <w:kern w:val="0"/>
                <w:szCs w:val="21"/>
              </w:rPr>
            </w:pPr>
            <w:r>
              <w:rPr>
                <w:rFonts w:hint="eastAsia" w:ascii="Times New Roman" w:hAnsi="Times New Roman"/>
                <w:kern w:val="0"/>
                <w:szCs w:val="21"/>
              </w:rPr>
              <w:t>理解：换热设备的设计与选用，化工设备工艺设计的内容；</w:t>
            </w:r>
          </w:p>
          <w:p>
            <w:pPr>
              <w:rPr>
                <w:rFonts w:hint="eastAsia" w:ascii="Times New Roman" w:hAnsi="Times New Roman"/>
                <w:kern w:val="0"/>
                <w:szCs w:val="21"/>
              </w:rPr>
            </w:pPr>
            <w:r>
              <w:rPr>
                <w:rFonts w:hint="eastAsia" w:ascii="Times New Roman" w:hAnsi="Times New Roman"/>
                <w:kern w:val="0"/>
                <w:szCs w:val="21"/>
              </w:rPr>
              <w:t>掌握：塔器、反应器、分离设备的设计。</w:t>
            </w:r>
          </w:p>
          <w:p>
            <w:pPr>
              <w:rPr>
                <w:rFonts w:ascii="Times New Roman" w:hAnsi="Times New Roman"/>
                <w:szCs w:val="21"/>
              </w:rPr>
            </w:pPr>
          </w:p>
        </w:tc>
        <w:tc>
          <w:tcPr>
            <w:tcW w:w="699" w:type="dxa"/>
            <w:noWrap w:val="0"/>
            <w:vAlign w:val="center"/>
          </w:tcPr>
          <w:p>
            <w:pPr>
              <w:jc w:val="center"/>
              <w:rPr>
                <w:rFonts w:ascii="Times New Roman" w:hAnsi="Times New Roman"/>
                <w:szCs w:val="21"/>
              </w:rPr>
            </w:pPr>
            <w:r>
              <w:rPr>
                <w:rFonts w:ascii="Times New Roman" w:hAnsi="Times New Roman"/>
                <w:szCs w:val="21"/>
              </w:rPr>
              <w:t>4</w:t>
            </w:r>
          </w:p>
        </w:tc>
        <w:tc>
          <w:tcPr>
            <w:tcW w:w="975" w:type="dxa"/>
            <w:noWrap w:val="0"/>
            <w:vAlign w:val="center"/>
          </w:tcPr>
          <w:p>
            <w:pPr>
              <w:rPr>
                <w:rFonts w:ascii="Times New Roman" w:hAnsi="Times New Roman"/>
                <w:szCs w:val="21"/>
              </w:rPr>
            </w:pPr>
            <w:r>
              <w:rPr>
                <w:rFonts w:ascii="Times New Roman" w:hAnsi="Times New Roman"/>
                <w:szCs w:val="21"/>
              </w:rPr>
              <w:t>讲授/讨论/等</w:t>
            </w:r>
          </w:p>
        </w:tc>
        <w:tc>
          <w:tcPr>
            <w:tcW w:w="925" w:type="dxa"/>
            <w:noWrap w:val="0"/>
            <w:vAlign w:val="center"/>
          </w:tcPr>
          <w:p>
            <w:pPr>
              <w:jc w:val="center"/>
              <w:rPr>
                <w:rFonts w:hint="eastAsia" w:ascii="Times New Roman" w:hAnsi="Times New Roman"/>
                <w:szCs w:val="21"/>
              </w:rPr>
            </w:pPr>
            <w:r>
              <w:rPr>
                <w:rFonts w:ascii="Times New Roman" w:hAnsi="Times New Roman"/>
                <w:b/>
                <w:kern w:val="0"/>
                <w:szCs w:val="21"/>
              </w:rPr>
              <w:t>目标</w:t>
            </w:r>
            <w:r>
              <w:rPr>
                <w:rFonts w:hint="eastAsia" w:ascii="Times New Roman" w:hAnsi="Times New Roman"/>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ascii="Times New Roman" w:hAnsi="Times New Roman"/>
                <w:szCs w:val="21"/>
              </w:rPr>
            </w:pPr>
            <w:r>
              <w:rPr>
                <w:rFonts w:ascii="Times New Roman" w:hAnsi="Times New Roman"/>
                <w:szCs w:val="21"/>
              </w:rPr>
              <w:t>6</w:t>
            </w:r>
          </w:p>
        </w:tc>
        <w:tc>
          <w:tcPr>
            <w:tcW w:w="2632" w:type="dxa"/>
            <w:noWrap w:val="0"/>
            <w:vAlign w:val="center"/>
          </w:tcPr>
          <w:p>
            <w:pPr>
              <w:rPr>
                <w:rFonts w:hint="eastAsia" w:ascii="Times New Roman" w:hAnsi="Times New Roman"/>
                <w:kern w:val="0"/>
                <w:szCs w:val="21"/>
              </w:rPr>
            </w:pPr>
            <w:r>
              <w:rPr>
                <w:rFonts w:hint="eastAsia" w:ascii="Times New Roman" w:hAnsi="Times New Roman"/>
                <w:b/>
                <w:kern w:val="0"/>
                <w:szCs w:val="21"/>
              </w:rPr>
              <w:t>化工车间装置（布置）设计：</w:t>
            </w:r>
            <w:r>
              <w:rPr>
                <w:rFonts w:hint="eastAsia" w:ascii="Times New Roman" w:hAnsi="Times New Roman"/>
                <w:kern w:val="0"/>
                <w:szCs w:val="21"/>
              </w:rPr>
              <w:t>结合车间布置设计图及示例，主要讲授车间产房布置设计、设备布置设计及要求。</w:t>
            </w:r>
          </w:p>
          <w:p>
            <w:pPr>
              <w:rPr>
                <w:rFonts w:hint="eastAsia" w:ascii="Times New Roman" w:hAnsi="Times New Roman"/>
                <w:kern w:val="0"/>
                <w:szCs w:val="21"/>
              </w:rPr>
            </w:pPr>
          </w:p>
          <w:p>
            <w:pPr>
              <w:rPr>
                <w:rFonts w:hint="eastAsia" w:ascii="Times New Roman" w:hAnsi="Times New Roman"/>
                <w:kern w:val="0"/>
                <w:szCs w:val="21"/>
              </w:rPr>
            </w:pPr>
            <w:r>
              <w:rPr>
                <w:rFonts w:ascii="Times New Roman" w:hAnsi="Times New Roman"/>
                <w:b/>
                <w:kern w:val="0"/>
                <w:szCs w:val="21"/>
              </w:rPr>
              <w:t>重点和难点：</w:t>
            </w:r>
            <w:r>
              <w:rPr>
                <w:rFonts w:hint="eastAsia" w:ascii="Times New Roman" w:hAnsi="Times New Roman"/>
                <w:kern w:val="0"/>
                <w:szCs w:val="21"/>
              </w:rPr>
              <w:t>车间产房布置设计、设备布置设计及要求。</w:t>
            </w:r>
          </w:p>
          <w:p>
            <w:pPr>
              <w:rPr>
                <w:rFonts w:ascii="Times New Roman" w:hAnsi="Times New Roman"/>
                <w:kern w:val="0"/>
                <w:szCs w:val="21"/>
              </w:rPr>
            </w:pPr>
          </w:p>
        </w:tc>
        <w:tc>
          <w:tcPr>
            <w:tcW w:w="1134" w:type="dxa"/>
            <w:noWrap w:val="0"/>
            <w:vAlign w:val="center"/>
          </w:tcPr>
          <w:p>
            <w:pPr>
              <w:rPr>
                <w:rFonts w:ascii="Times New Roman" w:hAnsi="Times New Roman"/>
                <w:kern w:val="0"/>
                <w:szCs w:val="21"/>
              </w:rPr>
            </w:pPr>
            <w:r>
              <w:rPr>
                <w:rFonts w:hint="eastAsia" w:ascii="Times New Roman" w:hAnsi="Times New Roman"/>
                <w:kern w:val="0"/>
                <w:szCs w:val="21"/>
              </w:rPr>
              <w:t>引导学生依据国家规范、标准开展设计，加强工匠精神教育。</w:t>
            </w:r>
          </w:p>
        </w:tc>
        <w:tc>
          <w:tcPr>
            <w:tcW w:w="2028" w:type="dxa"/>
            <w:noWrap w:val="0"/>
            <w:vAlign w:val="center"/>
          </w:tcPr>
          <w:p>
            <w:pPr>
              <w:rPr>
                <w:rFonts w:hint="eastAsia" w:ascii="Times New Roman" w:hAnsi="Times New Roman"/>
                <w:kern w:val="0"/>
                <w:szCs w:val="21"/>
              </w:rPr>
            </w:pPr>
            <w:r>
              <w:rPr>
                <w:rFonts w:hint="eastAsia" w:ascii="Times New Roman" w:hAnsi="Times New Roman"/>
                <w:kern w:val="0"/>
                <w:szCs w:val="21"/>
              </w:rPr>
              <w:t>理解：车间布置设计；</w:t>
            </w:r>
          </w:p>
          <w:p>
            <w:pPr>
              <w:rPr>
                <w:rFonts w:hint="eastAsia" w:ascii="Times New Roman" w:hAnsi="Times New Roman"/>
                <w:kern w:val="0"/>
                <w:szCs w:val="21"/>
              </w:rPr>
            </w:pPr>
            <w:r>
              <w:rPr>
                <w:rFonts w:hint="eastAsia" w:ascii="Times New Roman" w:hAnsi="Times New Roman"/>
                <w:kern w:val="0"/>
                <w:szCs w:val="21"/>
              </w:rPr>
              <w:t>掌握：车间产房布置设计、设备布置设计及要求。</w:t>
            </w:r>
          </w:p>
          <w:p>
            <w:pPr>
              <w:rPr>
                <w:rFonts w:ascii="Times New Roman" w:hAnsi="Times New Roman"/>
                <w:kern w:val="0"/>
                <w:szCs w:val="21"/>
              </w:rPr>
            </w:pPr>
          </w:p>
        </w:tc>
        <w:tc>
          <w:tcPr>
            <w:tcW w:w="699" w:type="dxa"/>
            <w:noWrap w:val="0"/>
            <w:vAlign w:val="center"/>
          </w:tcPr>
          <w:p>
            <w:pPr>
              <w:jc w:val="center"/>
              <w:rPr>
                <w:rFonts w:hint="eastAsia" w:ascii="Times New Roman" w:hAnsi="Times New Roman" w:eastAsia="宋体"/>
                <w:szCs w:val="21"/>
                <w:lang w:eastAsia="zh-CN"/>
              </w:rPr>
            </w:pPr>
            <w:r>
              <w:rPr>
                <w:rFonts w:hint="eastAsia" w:ascii="Times New Roman" w:hAnsi="Times New Roman"/>
                <w:szCs w:val="21"/>
                <w:lang w:val="en-US" w:eastAsia="zh-CN"/>
              </w:rPr>
              <w:t>6</w:t>
            </w:r>
          </w:p>
        </w:tc>
        <w:tc>
          <w:tcPr>
            <w:tcW w:w="975" w:type="dxa"/>
            <w:noWrap w:val="0"/>
            <w:vAlign w:val="center"/>
          </w:tcPr>
          <w:p>
            <w:pPr>
              <w:rPr>
                <w:rFonts w:ascii="Times New Roman" w:hAnsi="Times New Roman"/>
                <w:szCs w:val="21"/>
              </w:rPr>
            </w:pPr>
            <w:r>
              <w:rPr>
                <w:rFonts w:ascii="Times New Roman" w:hAnsi="Times New Roman"/>
                <w:szCs w:val="21"/>
              </w:rPr>
              <w:t>讲授/实验/讨论/等</w:t>
            </w:r>
          </w:p>
        </w:tc>
        <w:tc>
          <w:tcPr>
            <w:tcW w:w="925" w:type="dxa"/>
            <w:noWrap w:val="0"/>
            <w:vAlign w:val="center"/>
          </w:tcPr>
          <w:p>
            <w:pPr>
              <w:jc w:val="center"/>
              <w:rPr>
                <w:rFonts w:hint="eastAsia" w:ascii="Times New Roman" w:hAnsi="Times New Roman" w:eastAsia="宋体"/>
                <w:szCs w:val="21"/>
                <w:lang w:eastAsia="zh-CN"/>
              </w:rPr>
            </w:pPr>
            <w:r>
              <w:rPr>
                <w:rFonts w:ascii="Times New Roman" w:hAnsi="Times New Roman"/>
                <w:b/>
                <w:kern w:val="0"/>
                <w:szCs w:val="21"/>
              </w:rPr>
              <w:t>目标</w:t>
            </w:r>
            <w:r>
              <w:rPr>
                <w:rFonts w:hint="eastAsia" w:ascii="Times New Roman" w:hAnsi="Times New Roman"/>
                <w:b/>
                <w:kern w:val="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ascii="Times New Roman" w:hAnsi="Times New Roman"/>
                <w:szCs w:val="21"/>
              </w:rPr>
            </w:pPr>
            <w:r>
              <w:rPr>
                <w:rFonts w:ascii="Times New Roman" w:hAnsi="Times New Roman"/>
                <w:szCs w:val="21"/>
              </w:rPr>
              <w:t>7</w:t>
            </w:r>
          </w:p>
        </w:tc>
        <w:tc>
          <w:tcPr>
            <w:tcW w:w="2632" w:type="dxa"/>
            <w:noWrap w:val="0"/>
            <w:vAlign w:val="center"/>
          </w:tcPr>
          <w:p>
            <w:pPr>
              <w:rPr>
                <w:rFonts w:hint="eastAsia" w:ascii="Times New Roman" w:hAnsi="Times New Roman"/>
                <w:kern w:val="0"/>
                <w:szCs w:val="21"/>
              </w:rPr>
            </w:pPr>
            <w:r>
              <w:rPr>
                <w:rFonts w:hint="eastAsia" w:ascii="Times New Roman" w:hAnsi="Times New Roman"/>
                <w:b/>
                <w:kern w:val="0"/>
                <w:szCs w:val="21"/>
              </w:rPr>
              <w:t>化工管路设计：</w:t>
            </w:r>
            <w:r>
              <w:rPr>
                <w:rFonts w:hint="eastAsia" w:ascii="Times New Roman" w:hAnsi="Times New Roman"/>
                <w:kern w:val="0"/>
                <w:szCs w:val="21"/>
              </w:rPr>
              <w:t>依托典型设备的管道布置设计实例，讲述管道设计基础、绝热过程、化工管路设计内容及要求，管道布置图的绘制方法。</w:t>
            </w:r>
          </w:p>
          <w:p>
            <w:pPr>
              <w:rPr>
                <w:rFonts w:ascii="Times New Roman" w:hAnsi="Times New Roman"/>
                <w:kern w:val="0"/>
                <w:szCs w:val="21"/>
              </w:rPr>
            </w:pPr>
          </w:p>
          <w:p>
            <w:pPr>
              <w:rPr>
                <w:rFonts w:hint="eastAsia" w:ascii="Times New Roman" w:hAnsi="Times New Roman"/>
                <w:kern w:val="0"/>
                <w:szCs w:val="21"/>
              </w:rPr>
            </w:pPr>
            <w:r>
              <w:rPr>
                <w:rFonts w:ascii="Times New Roman" w:hAnsi="Times New Roman"/>
                <w:b/>
                <w:kern w:val="0"/>
                <w:szCs w:val="21"/>
              </w:rPr>
              <w:t>重点和难点：</w:t>
            </w:r>
            <w:r>
              <w:rPr>
                <w:rFonts w:hint="eastAsia" w:ascii="Times New Roman" w:hAnsi="Times New Roman"/>
                <w:kern w:val="0"/>
                <w:szCs w:val="21"/>
              </w:rPr>
              <w:t>化工管路设计内容及要求，管道布置图的绘制方法；管道布置图的绘制方法。</w:t>
            </w:r>
          </w:p>
          <w:p>
            <w:pPr>
              <w:rPr>
                <w:rFonts w:ascii="Times New Roman" w:hAnsi="Times New Roman"/>
                <w:kern w:val="0"/>
                <w:szCs w:val="21"/>
              </w:rPr>
            </w:pPr>
          </w:p>
        </w:tc>
        <w:tc>
          <w:tcPr>
            <w:tcW w:w="1134" w:type="dxa"/>
            <w:noWrap w:val="0"/>
            <w:vAlign w:val="center"/>
          </w:tcPr>
          <w:p>
            <w:pPr>
              <w:rPr>
                <w:rFonts w:ascii="Times New Roman" w:hAnsi="Times New Roman"/>
                <w:kern w:val="0"/>
                <w:szCs w:val="21"/>
              </w:rPr>
            </w:pPr>
          </w:p>
        </w:tc>
        <w:tc>
          <w:tcPr>
            <w:tcW w:w="2028" w:type="dxa"/>
            <w:noWrap w:val="0"/>
            <w:vAlign w:val="center"/>
          </w:tcPr>
          <w:p>
            <w:pPr>
              <w:rPr>
                <w:rFonts w:hint="eastAsia" w:ascii="Times New Roman" w:hAnsi="Times New Roman"/>
                <w:kern w:val="0"/>
                <w:szCs w:val="21"/>
              </w:rPr>
            </w:pPr>
            <w:r>
              <w:rPr>
                <w:rFonts w:hint="eastAsia" w:ascii="Times New Roman" w:hAnsi="Times New Roman"/>
                <w:kern w:val="0"/>
                <w:szCs w:val="21"/>
              </w:rPr>
              <w:t>理解：管道布置设计，化工管路设计内容及要求；</w:t>
            </w:r>
          </w:p>
          <w:p>
            <w:pPr>
              <w:rPr>
                <w:rFonts w:hint="eastAsia" w:ascii="Times New Roman" w:hAnsi="Times New Roman"/>
                <w:kern w:val="0"/>
                <w:szCs w:val="21"/>
              </w:rPr>
            </w:pPr>
            <w:r>
              <w:rPr>
                <w:rFonts w:hint="eastAsia" w:ascii="Times New Roman" w:hAnsi="Times New Roman"/>
                <w:kern w:val="0"/>
                <w:szCs w:val="21"/>
              </w:rPr>
              <w:t>掌握：管道布置图的绘制方法；</w:t>
            </w:r>
          </w:p>
          <w:p>
            <w:pPr>
              <w:rPr>
                <w:rFonts w:hint="eastAsia" w:ascii="Times New Roman" w:hAnsi="Times New Roman"/>
                <w:kern w:val="0"/>
                <w:szCs w:val="21"/>
              </w:rPr>
            </w:pPr>
            <w:r>
              <w:rPr>
                <w:rFonts w:hint="eastAsia" w:ascii="Times New Roman" w:hAnsi="Times New Roman"/>
                <w:kern w:val="0"/>
                <w:szCs w:val="21"/>
              </w:rPr>
              <w:t>了解：管道设计基础。</w:t>
            </w:r>
          </w:p>
          <w:p>
            <w:pPr>
              <w:rPr>
                <w:rFonts w:ascii="Times New Roman" w:hAnsi="Times New Roman"/>
                <w:kern w:val="0"/>
                <w:szCs w:val="21"/>
              </w:rPr>
            </w:pPr>
          </w:p>
        </w:tc>
        <w:tc>
          <w:tcPr>
            <w:tcW w:w="699" w:type="dxa"/>
            <w:noWrap w:val="0"/>
            <w:vAlign w:val="center"/>
          </w:tcPr>
          <w:p>
            <w:pPr>
              <w:jc w:val="center"/>
              <w:rPr>
                <w:rFonts w:hint="eastAsia" w:ascii="Times New Roman" w:hAnsi="Times New Roman"/>
                <w:szCs w:val="21"/>
              </w:rPr>
            </w:pPr>
            <w:r>
              <w:rPr>
                <w:rFonts w:hint="eastAsia" w:ascii="Times New Roman" w:hAnsi="Times New Roman"/>
                <w:szCs w:val="21"/>
              </w:rPr>
              <w:t>6</w:t>
            </w:r>
          </w:p>
        </w:tc>
        <w:tc>
          <w:tcPr>
            <w:tcW w:w="975" w:type="dxa"/>
            <w:noWrap w:val="0"/>
            <w:vAlign w:val="center"/>
          </w:tcPr>
          <w:p>
            <w:pPr>
              <w:rPr>
                <w:rFonts w:ascii="Times New Roman" w:hAnsi="Times New Roman"/>
                <w:szCs w:val="21"/>
              </w:rPr>
            </w:pPr>
            <w:r>
              <w:rPr>
                <w:rFonts w:ascii="Times New Roman" w:hAnsi="Times New Roman"/>
                <w:szCs w:val="21"/>
              </w:rPr>
              <w:t>讲授/讨论/等</w:t>
            </w:r>
          </w:p>
        </w:tc>
        <w:tc>
          <w:tcPr>
            <w:tcW w:w="925" w:type="dxa"/>
            <w:noWrap w:val="0"/>
            <w:vAlign w:val="center"/>
          </w:tcPr>
          <w:p>
            <w:pPr>
              <w:jc w:val="center"/>
              <w:rPr>
                <w:rFonts w:hint="eastAsia" w:ascii="Times New Roman" w:hAnsi="Times New Roman" w:eastAsia="宋体"/>
                <w:szCs w:val="21"/>
                <w:lang w:eastAsia="zh-CN"/>
              </w:rPr>
            </w:pPr>
            <w:r>
              <w:rPr>
                <w:rFonts w:ascii="Times New Roman" w:hAnsi="Times New Roman"/>
                <w:b/>
                <w:kern w:val="0"/>
                <w:szCs w:val="21"/>
              </w:rPr>
              <w:t>目标</w:t>
            </w:r>
            <w:r>
              <w:rPr>
                <w:rFonts w:hint="eastAsia" w:ascii="Times New Roman" w:hAnsi="Times New Roman"/>
                <w:b/>
                <w:kern w:val="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ascii="Times New Roman" w:hAnsi="Times New Roman"/>
                <w:szCs w:val="21"/>
              </w:rPr>
            </w:pPr>
            <w:r>
              <w:rPr>
                <w:rFonts w:ascii="Times New Roman" w:hAnsi="Times New Roman"/>
                <w:szCs w:val="21"/>
              </w:rPr>
              <w:t>8</w:t>
            </w:r>
          </w:p>
        </w:tc>
        <w:tc>
          <w:tcPr>
            <w:tcW w:w="2632" w:type="dxa"/>
            <w:noWrap w:val="0"/>
            <w:vAlign w:val="center"/>
          </w:tcPr>
          <w:p>
            <w:pPr>
              <w:rPr>
                <w:rFonts w:hint="eastAsia" w:ascii="Times New Roman" w:hAnsi="Times New Roman"/>
                <w:kern w:val="0"/>
                <w:szCs w:val="21"/>
              </w:rPr>
            </w:pPr>
            <w:r>
              <w:rPr>
                <w:rFonts w:hint="eastAsia" w:ascii="Times New Roman" w:hAnsi="Times New Roman"/>
                <w:b/>
                <w:kern w:val="0"/>
                <w:szCs w:val="21"/>
              </w:rPr>
              <w:t>化工公用工程设计及安全知识：</w:t>
            </w:r>
            <w:r>
              <w:rPr>
                <w:rFonts w:hint="eastAsia" w:ascii="Times New Roman" w:hAnsi="Times New Roman"/>
                <w:kern w:val="0"/>
                <w:szCs w:val="21"/>
              </w:rPr>
              <w:t>供水与排水、供热、供电、采暖与通风、安全和卫生。</w:t>
            </w:r>
          </w:p>
          <w:p>
            <w:pPr>
              <w:rPr>
                <w:rFonts w:ascii="Times New Roman" w:hAnsi="Times New Roman"/>
                <w:kern w:val="0"/>
                <w:szCs w:val="21"/>
              </w:rPr>
            </w:pPr>
          </w:p>
          <w:p>
            <w:pPr>
              <w:rPr>
                <w:rFonts w:hint="eastAsia" w:ascii="Times New Roman" w:hAnsi="Times New Roman"/>
                <w:kern w:val="0"/>
                <w:szCs w:val="21"/>
              </w:rPr>
            </w:pPr>
            <w:r>
              <w:rPr>
                <w:rFonts w:ascii="Times New Roman" w:hAnsi="Times New Roman"/>
                <w:b/>
                <w:kern w:val="0"/>
                <w:szCs w:val="21"/>
              </w:rPr>
              <w:t>重点和难点：</w:t>
            </w:r>
            <w:r>
              <w:rPr>
                <w:rFonts w:hint="eastAsia" w:ascii="Times New Roman" w:hAnsi="Times New Roman"/>
                <w:kern w:val="0"/>
                <w:szCs w:val="21"/>
              </w:rPr>
              <w:t>供水与排水、供热、供电、采暖与通风、安全和卫生。</w:t>
            </w:r>
          </w:p>
          <w:p>
            <w:pPr>
              <w:rPr>
                <w:rFonts w:ascii="Times New Roman" w:hAnsi="Times New Roman"/>
                <w:kern w:val="0"/>
                <w:szCs w:val="21"/>
              </w:rPr>
            </w:pPr>
          </w:p>
        </w:tc>
        <w:tc>
          <w:tcPr>
            <w:tcW w:w="1134" w:type="dxa"/>
            <w:noWrap w:val="0"/>
            <w:vAlign w:val="center"/>
          </w:tcPr>
          <w:p>
            <w:pPr>
              <w:autoSpaceDE w:val="0"/>
              <w:autoSpaceDN w:val="0"/>
              <w:adjustRightInd w:val="0"/>
              <w:rPr>
                <w:rFonts w:ascii="Times New Roman" w:hAnsi="Times New Roman"/>
                <w:kern w:val="0"/>
                <w:szCs w:val="21"/>
              </w:rPr>
            </w:pPr>
            <w:r>
              <w:rPr>
                <w:rFonts w:hint="eastAsia" w:ascii="Times New Roman" w:hAnsi="Times New Roman"/>
                <w:kern w:val="0"/>
                <w:szCs w:val="21"/>
              </w:rPr>
              <w:t>职业安全素养的培养。</w:t>
            </w:r>
          </w:p>
        </w:tc>
        <w:tc>
          <w:tcPr>
            <w:tcW w:w="2028" w:type="dxa"/>
            <w:noWrap w:val="0"/>
            <w:vAlign w:val="center"/>
          </w:tcPr>
          <w:p>
            <w:pPr>
              <w:autoSpaceDE w:val="0"/>
              <w:autoSpaceDN w:val="0"/>
              <w:adjustRightInd w:val="0"/>
              <w:rPr>
                <w:rFonts w:hint="eastAsia" w:ascii="Times New Roman" w:hAnsi="Times New Roman"/>
                <w:kern w:val="0"/>
                <w:szCs w:val="21"/>
              </w:rPr>
            </w:pPr>
            <w:r>
              <w:rPr>
                <w:rFonts w:hint="eastAsia" w:ascii="Times New Roman" w:hAnsi="Times New Roman"/>
                <w:kern w:val="0"/>
                <w:szCs w:val="21"/>
              </w:rPr>
              <w:t>了解：供水与排水、供热、供电、采暖与通风、安全和卫生。</w:t>
            </w:r>
          </w:p>
          <w:p>
            <w:pPr>
              <w:autoSpaceDE w:val="0"/>
              <w:autoSpaceDN w:val="0"/>
              <w:adjustRightInd w:val="0"/>
              <w:rPr>
                <w:rFonts w:ascii="Times New Roman" w:hAnsi="Times New Roman"/>
                <w:kern w:val="0"/>
                <w:szCs w:val="21"/>
              </w:rPr>
            </w:pPr>
          </w:p>
        </w:tc>
        <w:tc>
          <w:tcPr>
            <w:tcW w:w="699" w:type="dxa"/>
            <w:noWrap w:val="0"/>
            <w:vAlign w:val="center"/>
          </w:tcPr>
          <w:p>
            <w:pPr>
              <w:jc w:val="center"/>
              <w:rPr>
                <w:rFonts w:ascii="Times New Roman" w:hAnsi="Times New Roman"/>
                <w:szCs w:val="21"/>
              </w:rPr>
            </w:pPr>
            <w:r>
              <w:rPr>
                <w:rFonts w:hint="eastAsia" w:ascii="Times New Roman" w:hAnsi="Times New Roman"/>
                <w:szCs w:val="21"/>
              </w:rPr>
              <w:t>2</w:t>
            </w:r>
          </w:p>
        </w:tc>
        <w:tc>
          <w:tcPr>
            <w:tcW w:w="975" w:type="dxa"/>
            <w:noWrap w:val="0"/>
            <w:vAlign w:val="center"/>
          </w:tcPr>
          <w:p>
            <w:pPr>
              <w:rPr>
                <w:rFonts w:ascii="Times New Roman" w:hAnsi="Times New Roman"/>
                <w:szCs w:val="21"/>
              </w:rPr>
            </w:pPr>
            <w:r>
              <w:rPr>
                <w:rFonts w:ascii="Times New Roman" w:hAnsi="Times New Roman"/>
                <w:szCs w:val="21"/>
              </w:rPr>
              <w:t>讲授/讨论/等</w:t>
            </w:r>
          </w:p>
        </w:tc>
        <w:tc>
          <w:tcPr>
            <w:tcW w:w="925" w:type="dxa"/>
            <w:noWrap w:val="0"/>
            <w:vAlign w:val="center"/>
          </w:tcPr>
          <w:p>
            <w:pPr>
              <w:jc w:val="center"/>
              <w:rPr>
                <w:rFonts w:hint="eastAsia" w:ascii="Times New Roman" w:hAnsi="Times New Roman" w:eastAsia="宋体"/>
                <w:szCs w:val="21"/>
                <w:lang w:eastAsia="zh-CN"/>
              </w:rPr>
            </w:pPr>
            <w:r>
              <w:rPr>
                <w:rFonts w:ascii="Times New Roman" w:hAnsi="Times New Roman"/>
                <w:b/>
                <w:kern w:val="0"/>
                <w:szCs w:val="21"/>
              </w:rPr>
              <w:t>目标</w:t>
            </w:r>
            <w:r>
              <w:rPr>
                <w:rFonts w:hint="eastAsia" w:ascii="Times New Roman" w:hAnsi="Times New Roman"/>
                <w:b/>
                <w:kern w:val="0"/>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hint="eastAsia" w:ascii="Times New Roman" w:hAnsi="Times New Roman" w:eastAsia="宋体"/>
                <w:szCs w:val="21"/>
                <w:lang w:eastAsia="zh-CN"/>
              </w:rPr>
            </w:pPr>
            <w:r>
              <w:rPr>
                <w:rFonts w:hint="eastAsia" w:ascii="Times New Roman" w:hAnsi="Times New Roman"/>
                <w:szCs w:val="21"/>
                <w:lang w:val="en-US" w:eastAsia="zh-CN"/>
              </w:rPr>
              <w:t>9</w:t>
            </w:r>
          </w:p>
        </w:tc>
        <w:tc>
          <w:tcPr>
            <w:tcW w:w="2632" w:type="dxa"/>
            <w:noWrap w:val="0"/>
            <w:vAlign w:val="center"/>
          </w:tcPr>
          <w:p>
            <w:pPr>
              <w:rPr>
                <w:rFonts w:hint="eastAsia" w:ascii="Times New Roman" w:hAnsi="Times New Roman"/>
                <w:kern w:val="0"/>
                <w:szCs w:val="21"/>
              </w:rPr>
            </w:pPr>
            <w:r>
              <w:rPr>
                <w:rFonts w:hint="eastAsia" w:ascii="Times New Roman" w:hAnsi="Times New Roman"/>
                <w:b/>
                <w:kern w:val="0"/>
                <w:szCs w:val="21"/>
              </w:rPr>
              <w:t>化工环境工程设计：</w:t>
            </w:r>
            <w:r>
              <w:rPr>
                <w:rFonts w:hint="eastAsia" w:ascii="Times New Roman" w:hAnsi="Times New Roman"/>
                <w:kern w:val="0"/>
                <w:szCs w:val="21"/>
              </w:rPr>
              <w:t>化工环境污染概况，化工污染物的种类及来源，化工生产的污染特点，化工生产中对环境有害的污染物，化工“三废”的一般处理方法、处理工程实例，化工污染防治的发展趋势，化工清洁生产与循环经济。</w:t>
            </w:r>
          </w:p>
          <w:p>
            <w:pPr>
              <w:rPr>
                <w:rFonts w:ascii="Times New Roman" w:hAnsi="Times New Roman"/>
                <w:kern w:val="0"/>
                <w:szCs w:val="21"/>
              </w:rPr>
            </w:pPr>
          </w:p>
          <w:p>
            <w:pPr>
              <w:rPr>
                <w:rFonts w:hint="eastAsia" w:ascii="Times New Roman" w:hAnsi="Times New Roman"/>
                <w:kern w:val="0"/>
                <w:szCs w:val="21"/>
              </w:rPr>
            </w:pPr>
            <w:r>
              <w:rPr>
                <w:rFonts w:ascii="Times New Roman" w:hAnsi="Times New Roman"/>
                <w:b/>
                <w:kern w:val="0"/>
                <w:szCs w:val="21"/>
              </w:rPr>
              <w:t>重点和难点：</w:t>
            </w:r>
            <w:r>
              <w:rPr>
                <w:rFonts w:hint="eastAsia" w:ascii="Times New Roman" w:hAnsi="Times New Roman"/>
                <w:kern w:val="0"/>
                <w:szCs w:val="21"/>
              </w:rPr>
              <w:t>化工“三废”的一般处理方法。</w:t>
            </w:r>
          </w:p>
          <w:p>
            <w:pPr>
              <w:rPr>
                <w:rFonts w:hint="eastAsia" w:ascii="Times New Roman" w:hAnsi="Times New Roman"/>
                <w:kern w:val="0"/>
                <w:szCs w:val="21"/>
              </w:rPr>
            </w:pPr>
          </w:p>
          <w:p>
            <w:pPr>
              <w:rPr>
                <w:rFonts w:ascii="Times New Roman" w:hAnsi="Times New Roman"/>
                <w:kern w:val="0"/>
                <w:szCs w:val="21"/>
              </w:rPr>
            </w:pPr>
          </w:p>
        </w:tc>
        <w:tc>
          <w:tcPr>
            <w:tcW w:w="1134" w:type="dxa"/>
            <w:noWrap w:val="0"/>
            <w:vAlign w:val="center"/>
          </w:tcPr>
          <w:p>
            <w:pPr>
              <w:autoSpaceDE w:val="0"/>
              <w:autoSpaceDN w:val="0"/>
              <w:adjustRightInd w:val="0"/>
              <w:rPr>
                <w:rFonts w:ascii="Times New Roman" w:hAnsi="Times New Roman"/>
                <w:kern w:val="0"/>
                <w:szCs w:val="21"/>
              </w:rPr>
            </w:pPr>
            <w:r>
              <w:rPr>
                <w:rFonts w:hint="eastAsia" w:ascii="Times New Roman" w:hAnsi="Times New Roman"/>
                <w:kern w:val="0"/>
                <w:szCs w:val="21"/>
              </w:rPr>
              <w:t>生态文明教育：绿水青山才是金山银山。化工设计必须考虑清洁生产、可循环利用。</w:t>
            </w:r>
          </w:p>
        </w:tc>
        <w:tc>
          <w:tcPr>
            <w:tcW w:w="2028" w:type="dxa"/>
            <w:noWrap w:val="0"/>
            <w:vAlign w:val="center"/>
          </w:tcPr>
          <w:p>
            <w:pPr>
              <w:autoSpaceDE w:val="0"/>
              <w:autoSpaceDN w:val="0"/>
              <w:adjustRightInd w:val="0"/>
              <w:rPr>
                <w:rFonts w:hint="eastAsia" w:ascii="Times New Roman" w:hAnsi="Times New Roman"/>
                <w:kern w:val="0"/>
                <w:szCs w:val="21"/>
              </w:rPr>
            </w:pPr>
            <w:r>
              <w:rPr>
                <w:rFonts w:hint="eastAsia" w:ascii="Times New Roman" w:hAnsi="Times New Roman"/>
                <w:kern w:val="0"/>
                <w:szCs w:val="21"/>
              </w:rPr>
              <w:t>理解：化工污染物的种类及来源，化工生产的污染特点，化工生产中对环境有害的污染物；</w:t>
            </w:r>
          </w:p>
          <w:p>
            <w:pPr>
              <w:autoSpaceDE w:val="0"/>
              <w:autoSpaceDN w:val="0"/>
              <w:adjustRightInd w:val="0"/>
              <w:rPr>
                <w:rFonts w:hint="eastAsia" w:ascii="Times New Roman" w:hAnsi="Times New Roman"/>
                <w:kern w:val="0"/>
                <w:szCs w:val="21"/>
              </w:rPr>
            </w:pPr>
            <w:r>
              <w:rPr>
                <w:rFonts w:hint="eastAsia" w:ascii="Times New Roman" w:hAnsi="Times New Roman"/>
                <w:kern w:val="0"/>
                <w:szCs w:val="21"/>
              </w:rPr>
              <w:t>掌握：化工“三废”的一般处理方法；</w:t>
            </w:r>
          </w:p>
          <w:p>
            <w:pPr>
              <w:autoSpaceDE w:val="0"/>
              <w:autoSpaceDN w:val="0"/>
              <w:adjustRightInd w:val="0"/>
              <w:rPr>
                <w:rFonts w:hint="eastAsia" w:ascii="Times New Roman" w:hAnsi="Times New Roman"/>
                <w:kern w:val="0"/>
                <w:szCs w:val="21"/>
              </w:rPr>
            </w:pPr>
            <w:r>
              <w:rPr>
                <w:rFonts w:hint="eastAsia" w:ascii="Times New Roman" w:hAnsi="Times New Roman"/>
                <w:kern w:val="0"/>
                <w:szCs w:val="21"/>
              </w:rPr>
              <w:t>了解：化工环境污染概况，化工污染防治的发展趋势，化工清洁生产与循环经济。</w:t>
            </w:r>
          </w:p>
          <w:p>
            <w:pPr>
              <w:autoSpaceDE w:val="0"/>
              <w:autoSpaceDN w:val="0"/>
              <w:adjustRightInd w:val="0"/>
              <w:rPr>
                <w:rFonts w:ascii="Times New Roman" w:hAnsi="Times New Roman"/>
                <w:kern w:val="0"/>
                <w:szCs w:val="21"/>
              </w:rPr>
            </w:pPr>
          </w:p>
        </w:tc>
        <w:tc>
          <w:tcPr>
            <w:tcW w:w="699" w:type="dxa"/>
            <w:noWrap w:val="0"/>
            <w:vAlign w:val="center"/>
          </w:tcPr>
          <w:p>
            <w:pPr>
              <w:jc w:val="center"/>
              <w:rPr>
                <w:rFonts w:hint="eastAsia" w:ascii="Times New Roman" w:hAnsi="Times New Roman"/>
                <w:szCs w:val="21"/>
              </w:rPr>
            </w:pPr>
            <w:r>
              <w:rPr>
                <w:rFonts w:hint="eastAsia" w:ascii="Times New Roman" w:hAnsi="Times New Roman"/>
                <w:szCs w:val="21"/>
              </w:rPr>
              <w:t>2</w:t>
            </w:r>
          </w:p>
        </w:tc>
        <w:tc>
          <w:tcPr>
            <w:tcW w:w="975" w:type="dxa"/>
            <w:noWrap w:val="0"/>
            <w:vAlign w:val="center"/>
          </w:tcPr>
          <w:p>
            <w:pPr>
              <w:rPr>
                <w:rFonts w:ascii="Times New Roman" w:hAnsi="Times New Roman"/>
                <w:szCs w:val="21"/>
              </w:rPr>
            </w:pPr>
            <w:r>
              <w:rPr>
                <w:rFonts w:ascii="Times New Roman" w:hAnsi="Times New Roman"/>
                <w:szCs w:val="21"/>
              </w:rPr>
              <w:t>讲授/讨论/等</w:t>
            </w:r>
          </w:p>
        </w:tc>
        <w:tc>
          <w:tcPr>
            <w:tcW w:w="925" w:type="dxa"/>
            <w:noWrap w:val="0"/>
            <w:vAlign w:val="center"/>
          </w:tcPr>
          <w:p>
            <w:pPr>
              <w:jc w:val="center"/>
              <w:rPr>
                <w:rFonts w:hint="eastAsia" w:ascii="Times New Roman" w:hAnsi="Times New Roman" w:eastAsia="宋体"/>
                <w:szCs w:val="21"/>
                <w:lang w:eastAsia="zh-CN"/>
              </w:rPr>
            </w:pPr>
            <w:r>
              <w:rPr>
                <w:rFonts w:ascii="Times New Roman" w:hAnsi="Times New Roman"/>
                <w:b/>
                <w:kern w:val="0"/>
                <w:szCs w:val="21"/>
              </w:rPr>
              <w:t>目标</w:t>
            </w:r>
            <w:r>
              <w:rPr>
                <w:rFonts w:hint="eastAsia" w:ascii="Times New Roman" w:hAnsi="Times New Roman"/>
                <w:b/>
                <w:kern w:val="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hint="eastAsia" w:ascii="Times New Roman" w:hAnsi="Times New Roman" w:eastAsia="宋体"/>
                <w:szCs w:val="21"/>
                <w:lang w:val="en-US" w:eastAsia="zh-CN"/>
              </w:rPr>
            </w:pPr>
            <w:r>
              <w:rPr>
                <w:rFonts w:hint="eastAsia" w:ascii="Times New Roman" w:hAnsi="Times New Roman"/>
                <w:szCs w:val="21"/>
              </w:rPr>
              <w:t>1</w:t>
            </w:r>
            <w:r>
              <w:rPr>
                <w:rFonts w:hint="eastAsia" w:ascii="Times New Roman" w:hAnsi="Times New Roman"/>
                <w:szCs w:val="21"/>
                <w:lang w:val="en-US" w:eastAsia="zh-CN"/>
              </w:rPr>
              <w:t>0</w:t>
            </w:r>
          </w:p>
        </w:tc>
        <w:tc>
          <w:tcPr>
            <w:tcW w:w="2632" w:type="dxa"/>
            <w:noWrap w:val="0"/>
            <w:vAlign w:val="center"/>
          </w:tcPr>
          <w:p>
            <w:pPr>
              <w:rPr>
                <w:rFonts w:hint="eastAsia" w:ascii="Times New Roman" w:hAnsi="Times New Roman"/>
                <w:kern w:val="0"/>
                <w:szCs w:val="21"/>
              </w:rPr>
            </w:pPr>
            <w:r>
              <w:rPr>
                <w:rFonts w:hint="eastAsia" w:ascii="Times New Roman" w:hAnsi="Times New Roman"/>
                <w:b/>
                <w:kern w:val="0"/>
                <w:szCs w:val="21"/>
              </w:rPr>
              <w:t>化工设计常用软件介绍：</w:t>
            </w:r>
            <w:r>
              <w:rPr>
                <w:rFonts w:hint="eastAsia" w:ascii="Times New Roman" w:hAnsi="Times New Roman"/>
                <w:kern w:val="0"/>
                <w:szCs w:val="21"/>
              </w:rPr>
              <w:t>化工软件发展概述，ASPEN PLUS 简介，工程绘图软件Auto CAD应用介绍。</w:t>
            </w:r>
          </w:p>
          <w:p>
            <w:pPr>
              <w:rPr>
                <w:rFonts w:ascii="Times New Roman" w:hAnsi="Times New Roman"/>
                <w:kern w:val="0"/>
                <w:szCs w:val="21"/>
              </w:rPr>
            </w:pPr>
          </w:p>
          <w:p>
            <w:pPr>
              <w:rPr>
                <w:rFonts w:ascii="Times New Roman" w:hAnsi="Times New Roman"/>
                <w:kern w:val="0"/>
                <w:szCs w:val="21"/>
              </w:rPr>
            </w:pPr>
            <w:r>
              <w:rPr>
                <w:rFonts w:ascii="Times New Roman" w:hAnsi="Times New Roman"/>
                <w:b/>
                <w:kern w:val="0"/>
                <w:szCs w:val="21"/>
              </w:rPr>
              <w:t>重点和难点：</w:t>
            </w:r>
            <w:r>
              <w:rPr>
                <w:rFonts w:hint="eastAsia" w:ascii="Times New Roman" w:hAnsi="Times New Roman"/>
                <w:bCs/>
                <w:kern w:val="0"/>
                <w:szCs w:val="21"/>
              </w:rPr>
              <w:t>ASPEN PLUS 的使用</w:t>
            </w:r>
          </w:p>
        </w:tc>
        <w:tc>
          <w:tcPr>
            <w:tcW w:w="1134" w:type="dxa"/>
            <w:noWrap w:val="0"/>
            <w:vAlign w:val="center"/>
          </w:tcPr>
          <w:p>
            <w:pPr>
              <w:autoSpaceDE w:val="0"/>
              <w:autoSpaceDN w:val="0"/>
              <w:adjustRightInd w:val="0"/>
              <w:rPr>
                <w:rFonts w:ascii="Times New Roman" w:hAnsi="Times New Roman"/>
                <w:kern w:val="0"/>
                <w:szCs w:val="21"/>
              </w:rPr>
            </w:pPr>
            <w:r>
              <w:rPr>
                <w:rFonts w:hint="eastAsia" w:ascii="Times New Roman" w:hAnsi="Times New Roman"/>
                <w:kern w:val="0"/>
                <w:szCs w:val="21"/>
              </w:rPr>
              <w:t>以化工设计由手工设计向软件设计进化为例，灌输改革创新为核心的时代精神。</w:t>
            </w:r>
          </w:p>
        </w:tc>
        <w:tc>
          <w:tcPr>
            <w:tcW w:w="2028" w:type="dxa"/>
            <w:noWrap w:val="0"/>
            <w:vAlign w:val="center"/>
          </w:tcPr>
          <w:p>
            <w:pPr>
              <w:autoSpaceDE w:val="0"/>
              <w:autoSpaceDN w:val="0"/>
              <w:adjustRightInd w:val="0"/>
              <w:rPr>
                <w:rFonts w:hint="eastAsia" w:ascii="Times New Roman" w:hAnsi="Times New Roman"/>
                <w:kern w:val="0"/>
                <w:szCs w:val="21"/>
              </w:rPr>
            </w:pPr>
            <w:r>
              <w:rPr>
                <w:rFonts w:hint="eastAsia" w:ascii="Times New Roman" w:hAnsi="Times New Roman"/>
                <w:kern w:val="0"/>
                <w:szCs w:val="21"/>
              </w:rPr>
              <w:t>理解：化工软件作用；了解工程绘图软件Auto CAD应用；</w:t>
            </w:r>
          </w:p>
          <w:p>
            <w:pPr>
              <w:autoSpaceDE w:val="0"/>
              <w:autoSpaceDN w:val="0"/>
              <w:adjustRightInd w:val="0"/>
              <w:rPr>
                <w:rFonts w:hint="eastAsia" w:ascii="Times New Roman" w:hAnsi="Times New Roman"/>
                <w:kern w:val="0"/>
                <w:szCs w:val="21"/>
              </w:rPr>
            </w:pPr>
            <w:r>
              <w:rPr>
                <w:rFonts w:hint="eastAsia" w:ascii="Times New Roman" w:hAnsi="Times New Roman"/>
                <w:kern w:val="0"/>
                <w:szCs w:val="21"/>
              </w:rPr>
              <w:t>了解ASPEN PLUS。</w:t>
            </w:r>
          </w:p>
          <w:p>
            <w:pPr>
              <w:autoSpaceDE w:val="0"/>
              <w:autoSpaceDN w:val="0"/>
              <w:adjustRightInd w:val="0"/>
              <w:rPr>
                <w:rFonts w:hint="eastAsia" w:ascii="Times New Roman" w:hAnsi="Times New Roman"/>
                <w:kern w:val="0"/>
                <w:szCs w:val="21"/>
              </w:rPr>
            </w:pPr>
          </w:p>
          <w:p>
            <w:pPr>
              <w:autoSpaceDE w:val="0"/>
              <w:autoSpaceDN w:val="0"/>
              <w:adjustRightInd w:val="0"/>
              <w:rPr>
                <w:rFonts w:ascii="Times New Roman" w:hAnsi="Times New Roman"/>
                <w:kern w:val="0"/>
                <w:szCs w:val="21"/>
              </w:rPr>
            </w:pPr>
          </w:p>
        </w:tc>
        <w:tc>
          <w:tcPr>
            <w:tcW w:w="699" w:type="dxa"/>
            <w:noWrap w:val="0"/>
            <w:vAlign w:val="center"/>
          </w:tcPr>
          <w:p>
            <w:pPr>
              <w:jc w:val="center"/>
              <w:rPr>
                <w:rFonts w:hint="eastAsia" w:ascii="Times New Roman" w:hAnsi="Times New Roman" w:eastAsia="宋体"/>
                <w:szCs w:val="21"/>
                <w:lang w:eastAsia="zh-CN"/>
              </w:rPr>
            </w:pPr>
            <w:r>
              <w:rPr>
                <w:rFonts w:hint="eastAsia" w:ascii="Times New Roman" w:hAnsi="Times New Roman"/>
                <w:szCs w:val="21"/>
                <w:lang w:val="en-US" w:eastAsia="zh-CN"/>
              </w:rPr>
              <w:t>2</w:t>
            </w:r>
          </w:p>
        </w:tc>
        <w:tc>
          <w:tcPr>
            <w:tcW w:w="975" w:type="dxa"/>
            <w:noWrap w:val="0"/>
            <w:vAlign w:val="center"/>
          </w:tcPr>
          <w:p>
            <w:pPr>
              <w:rPr>
                <w:rFonts w:ascii="Times New Roman" w:hAnsi="Times New Roman"/>
                <w:szCs w:val="21"/>
              </w:rPr>
            </w:pPr>
            <w:r>
              <w:rPr>
                <w:rFonts w:ascii="Times New Roman" w:hAnsi="Times New Roman"/>
                <w:szCs w:val="21"/>
              </w:rPr>
              <w:t>讲授/讨论/等</w:t>
            </w:r>
          </w:p>
        </w:tc>
        <w:tc>
          <w:tcPr>
            <w:tcW w:w="925" w:type="dxa"/>
            <w:noWrap w:val="0"/>
            <w:vAlign w:val="center"/>
          </w:tcPr>
          <w:p>
            <w:pPr>
              <w:jc w:val="center"/>
              <w:rPr>
                <w:rFonts w:hint="eastAsia" w:ascii="Times New Roman" w:hAnsi="Times New Roman"/>
                <w:szCs w:val="21"/>
              </w:rPr>
            </w:pPr>
            <w:r>
              <w:rPr>
                <w:rFonts w:ascii="Times New Roman" w:hAnsi="Times New Roman"/>
                <w:b/>
                <w:kern w:val="0"/>
                <w:szCs w:val="21"/>
              </w:rPr>
              <w:t>目标</w:t>
            </w:r>
            <w:r>
              <w:rPr>
                <w:rFonts w:hint="eastAsia" w:ascii="Times New Roman" w:hAnsi="Times New Roman"/>
                <w:b/>
                <w:kern w:val="0"/>
                <w:szCs w:val="21"/>
              </w:rPr>
              <w:t>1</w:t>
            </w:r>
          </w:p>
        </w:tc>
      </w:tr>
    </w:tbl>
    <w:p>
      <w:pPr>
        <w:spacing w:line="360" w:lineRule="auto"/>
        <w:ind w:firstLine="562" w:firstLineChars="200"/>
        <w:rPr>
          <w:rFonts w:hint="eastAsia" w:ascii="Times New Roman" w:hAnsi="Times New Roman"/>
          <w:b/>
          <w:sz w:val="28"/>
          <w:szCs w:val="28"/>
        </w:rPr>
      </w:pPr>
      <w:r>
        <w:rPr>
          <w:rFonts w:hint="eastAsia" w:ascii="Times New Roman" w:hAnsi="Times New Roman"/>
          <w:b/>
          <w:sz w:val="28"/>
          <w:szCs w:val="28"/>
        </w:rPr>
        <w:t>四、课程实施</w:t>
      </w:r>
    </w:p>
    <w:p>
      <w:pPr>
        <w:spacing w:line="360" w:lineRule="auto"/>
        <w:ind w:firstLine="482" w:firstLineChars="200"/>
        <w:rPr>
          <w:rFonts w:hint="eastAsia" w:ascii="Times New Roman" w:hAnsi="Times New Roman"/>
          <w:b/>
          <w:sz w:val="24"/>
        </w:rPr>
      </w:pPr>
      <w:r>
        <w:rPr>
          <w:rFonts w:hint="eastAsia" w:ascii="Times New Roman" w:hAnsi="Times New Roman"/>
          <w:b/>
          <w:sz w:val="24"/>
        </w:rPr>
        <w:t>（一）教学方法与教学手段</w:t>
      </w:r>
    </w:p>
    <w:p>
      <w:pPr>
        <w:spacing w:line="360" w:lineRule="auto"/>
        <w:ind w:firstLine="480" w:firstLineChars="200"/>
        <w:rPr>
          <w:rFonts w:ascii="Times New Roman" w:hAnsi="Times New Roman"/>
          <w:sz w:val="24"/>
        </w:rPr>
      </w:pPr>
      <w:r>
        <w:rPr>
          <w:rFonts w:ascii="Times New Roman" w:hAnsi="Times New Roman"/>
          <w:sz w:val="24"/>
        </w:rPr>
        <w:t>1</w:t>
      </w:r>
      <w:r>
        <w:rPr>
          <w:rFonts w:hint="eastAsia" w:ascii="Times New Roman" w:hAnsi="Times New Roman"/>
          <w:sz w:val="24"/>
        </w:rPr>
        <w:t>.</w:t>
      </w:r>
      <w:r>
        <w:rPr>
          <w:rFonts w:ascii="Times New Roman" w:hAnsi="Times New Roman"/>
          <w:sz w:val="24"/>
        </w:rPr>
        <w:t>把握主线，引导学生掌握</w:t>
      </w:r>
      <w:r>
        <w:rPr>
          <w:rFonts w:hint="eastAsia" w:ascii="Times New Roman" w:hAnsi="Times New Roman"/>
          <w:sz w:val="24"/>
        </w:rPr>
        <w:t>化工设计基本概</w:t>
      </w:r>
      <w:r>
        <w:rPr>
          <w:rFonts w:ascii="Times New Roman" w:hAnsi="Times New Roman"/>
          <w:sz w:val="24"/>
        </w:rPr>
        <w:t>念</w:t>
      </w:r>
      <w:r>
        <w:rPr>
          <w:rFonts w:hint="eastAsia" w:ascii="Times New Roman" w:hAnsi="Times New Roman"/>
          <w:sz w:val="24"/>
        </w:rPr>
        <w:t>，</w:t>
      </w:r>
      <w:r>
        <w:rPr>
          <w:rFonts w:ascii="Times New Roman" w:hAnsi="Times New Roman"/>
          <w:sz w:val="24"/>
        </w:rPr>
        <w:t>利用</w:t>
      </w:r>
      <w:r>
        <w:rPr>
          <w:rFonts w:hint="eastAsia" w:ascii="Times New Roman" w:hAnsi="Times New Roman"/>
          <w:sz w:val="24"/>
        </w:rPr>
        <w:t>现代化工设计</w:t>
      </w:r>
      <w:r>
        <w:rPr>
          <w:rFonts w:ascii="Times New Roman" w:hAnsi="Times New Roman"/>
          <w:sz w:val="24"/>
        </w:rPr>
        <w:t>中的实际案例，帮助学生理解</w:t>
      </w:r>
      <w:r>
        <w:rPr>
          <w:rFonts w:hint="eastAsia" w:ascii="Times New Roman" w:hAnsi="Times New Roman"/>
          <w:sz w:val="24"/>
        </w:rPr>
        <w:t>化工设计程序与方法</w:t>
      </w:r>
      <w:r>
        <w:rPr>
          <w:rFonts w:ascii="Times New Roman" w:hAnsi="Times New Roman"/>
          <w:sz w:val="24"/>
        </w:rPr>
        <w:t>，使学生</w:t>
      </w:r>
      <w:r>
        <w:rPr>
          <w:rFonts w:hint="eastAsia" w:ascii="Times New Roman" w:hAnsi="Times New Roman"/>
          <w:sz w:val="24"/>
        </w:rPr>
        <w:t>熟练掌握物料衡算、能量衡算、化工车间布置、管道设计、公用工程、三废处理等关键程序</w:t>
      </w:r>
      <w:r>
        <w:rPr>
          <w:rFonts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2.</w:t>
      </w:r>
      <w:r>
        <w:rPr>
          <w:rFonts w:ascii="Times New Roman" w:hAnsi="Times New Roman"/>
          <w:sz w:val="24"/>
        </w:rPr>
        <w:t>采用多媒体教学手段，配合</w:t>
      </w:r>
      <w:r>
        <w:rPr>
          <w:rFonts w:hint="eastAsia" w:ascii="Times New Roman" w:hAnsi="Times New Roman"/>
          <w:sz w:val="24"/>
        </w:rPr>
        <w:t>实例</w:t>
      </w:r>
      <w:r>
        <w:rPr>
          <w:rFonts w:ascii="Times New Roman" w:hAnsi="Times New Roman"/>
          <w:sz w:val="24"/>
        </w:rPr>
        <w:t>的讲解及适当的思考题，保证讲课进度的同时，注意学生的掌握程度和课堂的气氛</w:t>
      </w:r>
      <w:r>
        <w:rPr>
          <w:rFonts w:hint="eastAsia" w:ascii="Times New Roman" w:hAnsi="Times New Roman"/>
          <w:sz w:val="24"/>
        </w:rPr>
        <w:t>。</w:t>
      </w:r>
    </w:p>
    <w:p>
      <w:pPr>
        <w:spacing w:line="360" w:lineRule="auto"/>
        <w:ind w:firstLine="480" w:firstLineChars="200"/>
        <w:rPr>
          <w:rFonts w:hint="eastAsia" w:ascii="Times New Roman" w:hAnsi="Times New Roman"/>
          <w:sz w:val="24"/>
        </w:rPr>
      </w:pPr>
      <w:r>
        <w:rPr>
          <w:rFonts w:ascii="Times New Roman" w:hAnsi="Times New Roman"/>
          <w:sz w:val="24"/>
        </w:rPr>
        <w:t>3</w:t>
      </w:r>
      <w:r>
        <w:rPr>
          <w:rFonts w:hint="eastAsia" w:ascii="Times New Roman" w:hAnsi="Times New Roman"/>
          <w:sz w:val="24"/>
        </w:rPr>
        <w:t>.</w:t>
      </w:r>
      <w:r>
        <w:rPr>
          <w:rFonts w:ascii="Times New Roman" w:hAnsi="Times New Roman"/>
          <w:sz w:val="24"/>
        </w:rPr>
        <w:t>采用案例式教学，引进</w:t>
      </w:r>
      <w:r>
        <w:rPr>
          <w:rFonts w:hint="eastAsia" w:ascii="Times New Roman" w:hAnsi="Times New Roman"/>
          <w:sz w:val="24"/>
        </w:rPr>
        <w:t>化工</w:t>
      </w:r>
      <w:r>
        <w:rPr>
          <w:rFonts w:hint="eastAsia" w:ascii="Times New Roman" w:hAnsi="Times New Roman"/>
          <w:sz w:val="24"/>
          <w:lang w:val="en-US" w:eastAsia="zh-CN"/>
        </w:rPr>
        <w:t>厂</w:t>
      </w:r>
      <w:r>
        <w:rPr>
          <w:rFonts w:hint="eastAsia" w:ascii="Times New Roman" w:hAnsi="Times New Roman"/>
          <w:sz w:val="24"/>
        </w:rPr>
        <w:t>设计的</w:t>
      </w:r>
      <w:r>
        <w:rPr>
          <w:rFonts w:ascii="Times New Roman" w:hAnsi="Times New Roman"/>
          <w:sz w:val="24"/>
        </w:rPr>
        <w:t>的实际案例，让学生真正了解并掌握</w:t>
      </w:r>
      <w:r>
        <w:rPr>
          <w:rFonts w:hint="eastAsia" w:ascii="Times New Roman" w:hAnsi="Times New Roman"/>
          <w:sz w:val="24"/>
        </w:rPr>
        <w:t>化工设计全流程</w:t>
      </w:r>
      <w:r>
        <w:rPr>
          <w:rFonts w:ascii="Times New Roman" w:hAnsi="Times New Roman"/>
          <w:sz w:val="24"/>
        </w:rPr>
        <w:t>，从而具备相关知识和方法的实际应用能力。</w:t>
      </w:r>
    </w:p>
    <w:p>
      <w:pPr>
        <w:spacing w:line="360" w:lineRule="auto"/>
        <w:ind w:firstLine="482" w:firstLineChars="200"/>
        <w:rPr>
          <w:rFonts w:hint="eastAsia" w:ascii="Times New Roman" w:hAnsi="Times New Roman"/>
          <w:b/>
          <w:sz w:val="24"/>
        </w:rPr>
      </w:pPr>
      <w:r>
        <w:rPr>
          <w:rFonts w:hint="eastAsia" w:ascii="Times New Roman" w:hAnsi="Times New Roman"/>
          <w:b/>
          <w:sz w:val="24"/>
        </w:rPr>
        <w:t>（二）课程实施与保障</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
        <w:gridCol w:w="1701"/>
        <w:gridCol w:w="6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3" w:type="dxa"/>
            <w:gridSpan w:val="2"/>
            <w:tcBorders>
              <w:top w:val="single" w:color="auto" w:sz="8" w:space="0"/>
              <w:left w:val="single" w:color="auto" w:sz="8" w:space="0"/>
              <w:right w:val="single" w:color="auto" w:sz="8" w:space="0"/>
            </w:tcBorders>
            <w:noWrap w:val="0"/>
            <w:tcMar>
              <w:left w:w="28" w:type="dxa"/>
              <w:right w:w="28" w:type="dxa"/>
            </w:tcMar>
            <w:vAlign w:val="center"/>
          </w:tcPr>
          <w:p>
            <w:pPr>
              <w:spacing w:line="276" w:lineRule="auto"/>
              <w:jc w:val="center"/>
              <w:rPr>
                <w:rFonts w:ascii="Times New Roman" w:hAnsi="Times New Roman"/>
                <w:szCs w:val="21"/>
              </w:rPr>
            </w:pPr>
            <w:r>
              <w:rPr>
                <w:rFonts w:ascii="Times New Roman" w:hAnsi="Times New Roman"/>
                <w:bCs/>
                <w:szCs w:val="21"/>
              </w:rPr>
              <w:t>主要教学环节</w:t>
            </w:r>
          </w:p>
        </w:tc>
        <w:tc>
          <w:tcPr>
            <w:tcW w:w="6817" w:type="dxa"/>
            <w:tcBorders>
              <w:top w:val="single" w:color="auto" w:sz="8" w:space="0"/>
              <w:left w:val="single" w:color="auto" w:sz="8" w:space="0"/>
              <w:right w:val="single" w:color="auto" w:sz="8" w:space="0"/>
            </w:tcBorders>
            <w:noWrap w:val="0"/>
            <w:vAlign w:val="center"/>
          </w:tcPr>
          <w:p>
            <w:pPr>
              <w:spacing w:line="276" w:lineRule="auto"/>
              <w:jc w:val="center"/>
              <w:rPr>
                <w:rFonts w:ascii="Times New Roman" w:hAnsi="Times New Roman"/>
                <w:szCs w:val="21"/>
              </w:rPr>
            </w:pPr>
            <w:r>
              <w:rPr>
                <w:rFonts w:ascii="Times New Roman" w:hAnsi="Times New Roman"/>
                <w:bCs/>
                <w:szCs w:val="21"/>
              </w:rPr>
              <w:t>质量</w:t>
            </w:r>
            <w:r>
              <w:rPr>
                <w:rFonts w:hint="eastAsia" w:ascii="Times New Roman" w:hAnsi="Times New Roman"/>
                <w:bCs/>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6" w:hRule="atLeast"/>
          <w:jc w:val="center"/>
        </w:trPr>
        <w:tc>
          <w:tcPr>
            <w:tcW w:w="582" w:type="dxa"/>
            <w:tcBorders>
              <w:left w:val="single" w:color="auto" w:sz="8" w:space="0"/>
            </w:tcBorders>
            <w:noWrap w:val="0"/>
            <w:vAlign w:val="center"/>
          </w:tcPr>
          <w:p>
            <w:pPr>
              <w:spacing w:line="276" w:lineRule="auto"/>
              <w:jc w:val="center"/>
              <w:rPr>
                <w:rFonts w:ascii="Times New Roman" w:hAnsi="Times New Roman"/>
                <w:szCs w:val="21"/>
              </w:rPr>
            </w:pPr>
            <w:r>
              <w:rPr>
                <w:rFonts w:ascii="Times New Roman" w:hAnsi="Times New Roman"/>
                <w:szCs w:val="21"/>
              </w:rPr>
              <w:t>1</w:t>
            </w:r>
          </w:p>
        </w:tc>
        <w:tc>
          <w:tcPr>
            <w:tcW w:w="1701" w:type="dxa"/>
            <w:noWrap w:val="0"/>
            <w:tcMar>
              <w:left w:w="28" w:type="dxa"/>
              <w:right w:w="28" w:type="dxa"/>
            </w:tcMar>
            <w:vAlign w:val="center"/>
          </w:tcPr>
          <w:p>
            <w:pPr>
              <w:spacing w:line="276" w:lineRule="auto"/>
              <w:jc w:val="center"/>
              <w:rPr>
                <w:rFonts w:ascii="Times New Roman" w:hAnsi="Times New Roman"/>
                <w:szCs w:val="21"/>
              </w:rPr>
            </w:pPr>
            <w:r>
              <w:rPr>
                <w:rFonts w:ascii="Times New Roman" w:hAnsi="Times New Roman"/>
                <w:szCs w:val="21"/>
              </w:rPr>
              <w:t>备课</w:t>
            </w:r>
          </w:p>
        </w:tc>
        <w:tc>
          <w:tcPr>
            <w:tcW w:w="6817" w:type="dxa"/>
            <w:tcBorders>
              <w:right w:val="single" w:color="auto" w:sz="8" w:space="0"/>
            </w:tcBorders>
            <w:noWrap w:val="0"/>
            <w:vAlign w:val="center"/>
          </w:tcPr>
          <w:p>
            <w:pPr>
              <w:spacing w:line="276" w:lineRule="auto"/>
              <w:rPr>
                <w:rFonts w:ascii="Times New Roman" w:hAnsi="Times New Roman"/>
                <w:szCs w:val="21"/>
              </w:rPr>
            </w:pPr>
            <w:r>
              <w:rPr>
                <w:rFonts w:ascii="Times New Roman" w:hAnsi="Times New Roman"/>
                <w:szCs w:val="21"/>
              </w:rPr>
              <w:t>（1）掌握本课程教学大纲内容，严格按照教学大纲要求进行课程教学内容的组织。</w:t>
            </w:r>
          </w:p>
          <w:p>
            <w:pPr>
              <w:spacing w:line="276" w:lineRule="auto"/>
              <w:rPr>
                <w:rFonts w:ascii="Times New Roman" w:hAnsi="Times New Roman"/>
                <w:szCs w:val="21"/>
              </w:rPr>
            </w:pPr>
            <w:r>
              <w:rPr>
                <w:rFonts w:ascii="Times New Roman" w:hAnsi="Times New Roman"/>
                <w:szCs w:val="21"/>
              </w:rPr>
              <w:t>（2）熟悉教材各章节，借助专业书籍资料，并依据教学大纲编写授课计划，编写每次授课的教案。教案内容包括章节标题、教学目的、教法设计、课堂类型、时间分配、授课内容、课后作业、教学效果分析等方面。</w:t>
            </w:r>
          </w:p>
          <w:p>
            <w:pPr>
              <w:spacing w:line="276" w:lineRule="auto"/>
              <w:rPr>
                <w:rFonts w:ascii="Times New Roman" w:hAnsi="Times New Roman"/>
                <w:szCs w:val="21"/>
              </w:rPr>
            </w:pPr>
            <w:r>
              <w:rPr>
                <w:rFonts w:ascii="Times New Roman" w:hAnsi="Times New Roman"/>
                <w:szCs w:val="21"/>
              </w:rPr>
              <w:t>（3）</w:t>
            </w:r>
            <w:r>
              <w:rPr>
                <w:rFonts w:hint="eastAsia" w:ascii="Times New Roman" w:hAnsi="Times New Roman"/>
                <w:szCs w:val="21"/>
              </w:rPr>
              <w:t>根据</w:t>
            </w:r>
            <w:r>
              <w:rPr>
                <w:rFonts w:ascii="Times New Roman" w:hAnsi="Times New Roman"/>
                <w:szCs w:val="21"/>
              </w:rPr>
              <w:t>各部分</w:t>
            </w:r>
            <w:r>
              <w:rPr>
                <w:rFonts w:hint="eastAsia" w:ascii="Times New Roman" w:hAnsi="Times New Roman"/>
                <w:szCs w:val="21"/>
              </w:rPr>
              <w:t>教学</w:t>
            </w:r>
            <w:r>
              <w:rPr>
                <w:rFonts w:ascii="Times New Roman" w:hAnsi="Times New Roman"/>
                <w:szCs w:val="21"/>
              </w:rPr>
              <w:t>内容</w:t>
            </w:r>
            <w:r>
              <w:rPr>
                <w:rFonts w:hint="eastAsia" w:ascii="Times New Roman" w:hAnsi="Times New Roman"/>
                <w:szCs w:val="21"/>
              </w:rPr>
              <w:t>，</w:t>
            </w:r>
            <w:r>
              <w:rPr>
                <w:rFonts w:ascii="Times New Roman" w:hAnsi="Times New Roman"/>
                <w:szCs w:val="21"/>
              </w:rPr>
              <w:t>构思授课思路、技巧</w:t>
            </w:r>
            <w:r>
              <w:rPr>
                <w:rFonts w:hint="eastAsia" w:ascii="Times New Roman" w:hAnsi="Times New Roman"/>
                <w:szCs w:val="21"/>
              </w:rPr>
              <w:t>，选择合适的</w:t>
            </w:r>
            <w:r>
              <w:rPr>
                <w:rFonts w:ascii="Times New Roman" w:hAnsi="Times New Roman"/>
                <w:szCs w:val="21"/>
              </w:rPr>
              <w:t>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tcBorders>
              <w:left w:val="single" w:color="auto" w:sz="8" w:space="0"/>
            </w:tcBorders>
            <w:noWrap w:val="0"/>
            <w:vAlign w:val="center"/>
          </w:tcPr>
          <w:p>
            <w:pPr>
              <w:spacing w:line="276" w:lineRule="auto"/>
              <w:jc w:val="center"/>
              <w:rPr>
                <w:rFonts w:ascii="Times New Roman" w:hAnsi="Times New Roman"/>
                <w:szCs w:val="21"/>
              </w:rPr>
            </w:pPr>
            <w:r>
              <w:rPr>
                <w:rFonts w:ascii="Times New Roman" w:hAnsi="Times New Roman"/>
                <w:szCs w:val="21"/>
              </w:rPr>
              <w:t>2</w:t>
            </w:r>
          </w:p>
        </w:tc>
        <w:tc>
          <w:tcPr>
            <w:tcW w:w="1701" w:type="dxa"/>
            <w:noWrap w:val="0"/>
            <w:tcMar>
              <w:left w:w="28" w:type="dxa"/>
              <w:right w:w="28" w:type="dxa"/>
            </w:tcMar>
            <w:vAlign w:val="center"/>
          </w:tcPr>
          <w:p>
            <w:pPr>
              <w:spacing w:line="276" w:lineRule="auto"/>
              <w:jc w:val="center"/>
              <w:rPr>
                <w:rFonts w:ascii="Times New Roman" w:hAnsi="Times New Roman"/>
                <w:szCs w:val="21"/>
              </w:rPr>
            </w:pPr>
            <w:r>
              <w:rPr>
                <w:rFonts w:ascii="Times New Roman" w:hAnsi="Times New Roman"/>
                <w:szCs w:val="21"/>
              </w:rPr>
              <w:t>讲授</w:t>
            </w:r>
          </w:p>
        </w:tc>
        <w:tc>
          <w:tcPr>
            <w:tcW w:w="6817" w:type="dxa"/>
            <w:tcBorders>
              <w:right w:val="single" w:color="auto" w:sz="8" w:space="0"/>
            </w:tcBorders>
            <w:noWrap w:val="0"/>
            <w:vAlign w:val="center"/>
          </w:tcPr>
          <w:p>
            <w:pPr>
              <w:spacing w:line="276" w:lineRule="auto"/>
              <w:rPr>
                <w:rFonts w:ascii="Times New Roman" w:hAnsi="Times New Roman"/>
                <w:szCs w:val="21"/>
              </w:rPr>
            </w:pPr>
            <w:r>
              <w:rPr>
                <w:rFonts w:hint="eastAsia" w:ascii="Times New Roman" w:hAnsi="Times New Roman"/>
                <w:szCs w:val="21"/>
              </w:rPr>
              <w:t>（1）</w:t>
            </w:r>
            <w:r>
              <w:rPr>
                <w:rFonts w:ascii="Times New Roman" w:hAnsi="Times New Roman"/>
                <w:szCs w:val="21"/>
              </w:rPr>
              <w:t>要点准确</w:t>
            </w:r>
            <w:r>
              <w:rPr>
                <w:rFonts w:hint="eastAsia" w:ascii="Times New Roman" w:hAnsi="Times New Roman"/>
                <w:szCs w:val="21"/>
              </w:rPr>
              <w:t>、</w:t>
            </w:r>
            <w:r>
              <w:rPr>
                <w:rFonts w:ascii="Times New Roman" w:hAnsi="Times New Roman"/>
                <w:szCs w:val="21"/>
              </w:rPr>
              <w:t>推理正确</w:t>
            </w:r>
            <w:r>
              <w:rPr>
                <w:rFonts w:hint="eastAsia" w:ascii="Times New Roman" w:hAnsi="Times New Roman"/>
                <w:szCs w:val="21"/>
              </w:rPr>
              <w:t>、</w:t>
            </w:r>
            <w:r>
              <w:rPr>
                <w:rFonts w:ascii="Times New Roman" w:hAnsi="Times New Roman"/>
                <w:szCs w:val="21"/>
              </w:rPr>
              <w:t>条理清晰</w:t>
            </w:r>
            <w:r>
              <w:rPr>
                <w:rFonts w:hint="eastAsia" w:ascii="Times New Roman" w:hAnsi="Times New Roman"/>
                <w:szCs w:val="21"/>
              </w:rPr>
              <w:t>、</w:t>
            </w:r>
            <w:r>
              <w:rPr>
                <w:rFonts w:ascii="Times New Roman" w:hAnsi="Times New Roman"/>
                <w:szCs w:val="21"/>
              </w:rPr>
              <w:t>重点突出，</w:t>
            </w:r>
            <w:r>
              <w:rPr>
                <w:rFonts w:hint="eastAsia" w:ascii="Times New Roman" w:hAnsi="Times New Roman"/>
                <w:szCs w:val="21"/>
              </w:rPr>
              <w:t>能够</w:t>
            </w:r>
            <w:r>
              <w:rPr>
                <w:rFonts w:ascii="Times New Roman" w:hAnsi="Times New Roman"/>
                <w:szCs w:val="21"/>
              </w:rPr>
              <w:t>理论联系实际，熟练地解答和讲解例题。</w:t>
            </w:r>
          </w:p>
          <w:p>
            <w:pPr>
              <w:spacing w:line="276" w:lineRule="auto"/>
              <w:rPr>
                <w:rFonts w:ascii="Times New Roman" w:hAnsi="Times New Roman"/>
                <w:szCs w:val="21"/>
              </w:rPr>
            </w:pPr>
            <w:r>
              <w:rPr>
                <w:rFonts w:hint="eastAsia" w:ascii="Times New Roman" w:hAnsi="Times New Roman"/>
                <w:szCs w:val="21"/>
              </w:rPr>
              <w:t>（2）</w:t>
            </w:r>
            <w:r>
              <w:rPr>
                <w:rFonts w:ascii="Times New Roman" w:hAnsi="Times New Roman"/>
                <w:szCs w:val="21"/>
              </w:rPr>
              <w:t>采用多种教学方式（如启发式教学、案例分析教学、讨论式教学、多媒体示范教学等），注重培养学生发现、分析和解决问题的能力。</w:t>
            </w:r>
          </w:p>
          <w:p>
            <w:pPr>
              <w:spacing w:line="276" w:lineRule="auto"/>
              <w:rPr>
                <w:rFonts w:ascii="Times New Roman" w:hAnsi="Times New Roman"/>
                <w:szCs w:val="21"/>
              </w:rPr>
            </w:pPr>
            <w:r>
              <w:rPr>
                <w:rFonts w:hint="eastAsia" w:ascii="Times New Roman" w:hAnsi="Times New Roman"/>
                <w:szCs w:val="21"/>
              </w:rPr>
              <w:t>（3）能够采用现代信息技术辅助</w:t>
            </w:r>
            <w:r>
              <w:rPr>
                <w:rFonts w:ascii="Times New Roman" w:hAnsi="Times New Roman"/>
                <w:szCs w:val="21"/>
              </w:rPr>
              <w:t>教学。</w:t>
            </w:r>
          </w:p>
          <w:p>
            <w:pPr>
              <w:spacing w:line="276" w:lineRule="auto"/>
              <w:rPr>
                <w:rFonts w:ascii="Times New Roman" w:hAnsi="Times New Roman"/>
                <w:szCs w:val="21"/>
              </w:rPr>
            </w:pPr>
            <w:r>
              <w:rPr>
                <w:rFonts w:hint="eastAsia" w:ascii="Times New Roman" w:hAnsi="Times New Roman"/>
                <w:szCs w:val="21"/>
              </w:rPr>
              <w:t>（4）</w:t>
            </w:r>
            <w:r>
              <w:rPr>
                <w:rFonts w:ascii="Times New Roman" w:hAnsi="Times New Roman"/>
                <w:szCs w:val="21"/>
              </w:rPr>
              <w:t>表达方式</w:t>
            </w:r>
            <w:r>
              <w:rPr>
                <w:rFonts w:hint="eastAsia" w:ascii="Times New Roman" w:hAnsi="Times New Roman"/>
                <w:szCs w:val="21"/>
              </w:rPr>
              <w:t>应能</w:t>
            </w:r>
            <w:r>
              <w:rPr>
                <w:rFonts w:ascii="Times New Roman" w:hAnsi="Times New Roman"/>
                <w:szCs w:val="21"/>
              </w:rPr>
              <w:t>便于学生理解、接受，力求形象生动，使学生在掌握知识的过程中，保持较为浓厚的</w:t>
            </w:r>
            <w:r>
              <w:rPr>
                <w:rFonts w:hint="eastAsia" w:ascii="Times New Roman" w:hAnsi="Times New Roman"/>
                <w:szCs w:val="21"/>
              </w:rPr>
              <w:t>学习</w:t>
            </w:r>
            <w:r>
              <w:rPr>
                <w:rFonts w:ascii="Times New Roman" w:hAnsi="Times New Roman"/>
                <w:szCs w:val="21"/>
              </w:rPr>
              <w:t>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jc w:val="center"/>
        </w:trPr>
        <w:tc>
          <w:tcPr>
            <w:tcW w:w="582" w:type="dxa"/>
            <w:tcBorders>
              <w:left w:val="single" w:color="auto" w:sz="8" w:space="0"/>
            </w:tcBorders>
            <w:noWrap w:val="0"/>
            <w:vAlign w:val="center"/>
          </w:tcPr>
          <w:p>
            <w:pPr>
              <w:spacing w:line="276" w:lineRule="auto"/>
              <w:jc w:val="center"/>
              <w:rPr>
                <w:rFonts w:ascii="Times New Roman" w:hAnsi="Times New Roman"/>
                <w:szCs w:val="21"/>
              </w:rPr>
            </w:pPr>
            <w:r>
              <w:rPr>
                <w:rFonts w:ascii="Times New Roman" w:hAnsi="Times New Roman"/>
                <w:szCs w:val="21"/>
              </w:rPr>
              <w:t>3</w:t>
            </w:r>
          </w:p>
        </w:tc>
        <w:tc>
          <w:tcPr>
            <w:tcW w:w="1701" w:type="dxa"/>
            <w:noWrap w:val="0"/>
            <w:tcMar>
              <w:left w:w="28" w:type="dxa"/>
              <w:right w:w="28" w:type="dxa"/>
            </w:tcMar>
            <w:vAlign w:val="center"/>
          </w:tcPr>
          <w:p>
            <w:pPr>
              <w:spacing w:line="276" w:lineRule="auto"/>
              <w:jc w:val="center"/>
              <w:rPr>
                <w:rFonts w:ascii="Times New Roman" w:hAnsi="Times New Roman"/>
                <w:szCs w:val="21"/>
              </w:rPr>
            </w:pPr>
            <w:r>
              <w:rPr>
                <w:rFonts w:ascii="Times New Roman" w:hAnsi="Times New Roman"/>
                <w:szCs w:val="21"/>
              </w:rPr>
              <w:t>作业布置与批改</w:t>
            </w:r>
          </w:p>
        </w:tc>
        <w:tc>
          <w:tcPr>
            <w:tcW w:w="6817" w:type="dxa"/>
            <w:tcBorders>
              <w:right w:val="single" w:color="auto" w:sz="8" w:space="0"/>
            </w:tcBorders>
            <w:noWrap w:val="0"/>
            <w:vAlign w:val="center"/>
          </w:tcPr>
          <w:p>
            <w:pPr>
              <w:spacing w:line="276" w:lineRule="auto"/>
              <w:rPr>
                <w:rFonts w:ascii="Times New Roman" w:hAnsi="Times New Roman"/>
                <w:szCs w:val="21"/>
              </w:rPr>
            </w:pPr>
            <w:r>
              <w:rPr>
                <w:rFonts w:ascii="Times New Roman" w:hAnsi="Times New Roman"/>
                <w:szCs w:val="21"/>
              </w:rPr>
              <w:t>学生必须完成</w:t>
            </w:r>
            <w:r>
              <w:rPr>
                <w:rFonts w:hint="eastAsia" w:ascii="Times New Roman" w:hAnsi="Times New Roman"/>
                <w:szCs w:val="21"/>
              </w:rPr>
              <w:t>规定</w:t>
            </w:r>
            <w:r>
              <w:rPr>
                <w:rFonts w:ascii="Times New Roman" w:hAnsi="Times New Roman"/>
                <w:szCs w:val="21"/>
              </w:rPr>
              <w:t>数量的作业</w:t>
            </w:r>
            <w:r>
              <w:rPr>
                <w:rFonts w:hint="eastAsia" w:ascii="Times New Roman" w:hAnsi="Times New Roman"/>
                <w:szCs w:val="21"/>
              </w:rPr>
              <w:t>，</w:t>
            </w:r>
            <w:r>
              <w:rPr>
                <w:rFonts w:ascii="Times New Roman" w:hAnsi="Times New Roman"/>
                <w:szCs w:val="21"/>
              </w:rPr>
              <w:t>作业必须达到以下基本要求：</w:t>
            </w:r>
          </w:p>
          <w:p>
            <w:pPr>
              <w:spacing w:line="276" w:lineRule="auto"/>
              <w:rPr>
                <w:rFonts w:ascii="Times New Roman" w:hAnsi="Times New Roman"/>
                <w:szCs w:val="21"/>
              </w:rPr>
            </w:pPr>
            <w:r>
              <w:rPr>
                <w:rFonts w:hint="eastAsia" w:ascii="Times New Roman" w:hAnsi="Times New Roman"/>
                <w:szCs w:val="21"/>
              </w:rPr>
              <w:t>（1）</w:t>
            </w:r>
            <w:r>
              <w:rPr>
                <w:rFonts w:ascii="Times New Roman" w:hAnsi="Times New Roman"/>
                <w:szCs w:val="21"/>
              </w:rPr>
              <w:t>按时按量完成作业，不缺交，不抄袭</w:t>
            </w:r>
            <w:r>
              <w:rPr>
                <w:rFonts w:hint="eastAsia" w:ascii="Times New Roman" w:hAnsi="Times New Roman"/>
                <w:szCs w:val="21"/>
              </w:rPr>
              <w:t>。</w:t>
            </w:r>
          </w:p>
          <w:p>
            <w:pPr>
              <w:spacing w:line="276" w:lineRule="auto"/>
              <w:rPr>
                <w:rFonts w:ascii="Times New Roman" w:hAnsi="Times New Roman"/>
                <w:szCs w:val="21"/>
              </w:rPr>
            </w:pPr>
            <w:r>
              <w:rPr>
                <w:rFonts w:hint="eastAsia" w:ascii="Times New Roman" w:hAnsi="Times New Roman"/>
                <w:szCs w:val="21"/>
              </w:rPr>
              <w:t>（2）书写</w:t>
            </w:r>
            <w:r>
              <w:rPr>
                <w:rFonts w:ascii="Times New Roman" w:hAnsi="Times New Roman"/>
                <w:szCs w:val="21"/>
              </w:rPr>
              <w:t>规范</w:t>
            </w:r>
            <w:r>
              <w:rPr>
                <w:rFonts w:hint="eastAsia" w:ascii="Times New Roman" w:hAnsi="Times New Roman"/>
                <w:szCs w:val="21"/>
              </w:rPr>
              <w:t>、</w:t>
            </w:r>
            <w:r>
              <w:rPr>
                <w:rFonts w:ascii="Times New Roman" w:hAnsi="Times New Roman"/>
                <w:szCs w:val="21"/>
              </w:rPr>
              <w:t>清晰</w:t>
            </w:r>
            <w:r>
              <w:rPr>
                <w:rFonts w:hint="eastAsia" w:ascii="Times New Roman" w:hAnsi="Times New Roman"/>
                <w:szCs w:val="21"/>
              </w:rPr>
              <w:t>。</w:t>
            </w:r>
          </w:p>
          <w:p>
            <w:pPr>
              <w:spacing w:line="276" w:lineRule="auto"/>
              <w:rPr>
                <w:rFonts w:ascii="Times New Roman" w:hAnsi="Times New Roman"/>
                <w:szCs w:val="21"/>
              </w:rPr>
            </w:pPr>
            <w:r>
              <w:rPr>
                <w:rFonts w:hint="eastAsia" w:ascii="Times New Roman" w:hAnsi="Times New Roman"/>
                <w:szCs w:val="21"/>
              </w:rPr>
              <w:t>（3）</w:t>
            </w:r>
            <w:r>
              <w:rPr>
                <w:rFonts w:ascii="Times New Roman" w:hAnsi="Times New Roman"/>
                <w:szCs w:val="21"/>
              </w:rPr>
              <w:t>解题方法和步骤正确。</w:t>
            </w:r>
          </w:p>
          <w:p>
            <w:pPr>
              <w:spacing w:line="276" w:lineRule="auto"/>
              <w:rPr>
                <w:rFonts w:ascii="Times New Roman" w:hAnsi="Times New Roman"/>
                <w:szCs w:val="21"/>
              </w:rPr>
            </w:pPr>
            <w:r>
              <w:rPr>
                <w:rFonts w:ascii="Times New Roman" w:hAnsi="Times New Roman"/>
                <w:szCs w:val="21"/>
              </w:rPr>
              <w:t>教师批改</w:t>
            </w:r>
            <w:r>
              <w:rPr>
                <w:rFonts w:hint="eastAsia" w:ascii="Times New Roman" w:hAnsi="Times New Roman"/>
                <w:szCs w:val="21"/>
              </w:rPr>
              <w:t>和</w:t>
            </w:r>
            <w:r>
              <w:rPr>
                <w:rFonts w:ascii="Times New Roman" w:hAnsi="Times New Roman"/>
                <w:szCs w:val="21"/>
              </w:rPr>
              <w:t>讲评作业要求如下：</w:t>
            </w:r>
          </w:p>
          <w:p>
            <w:pPr>
              <w:spacing w:line="276" w:lineRule="auto"/>
              <w:rPr>
                <w:rFonts w:ascii="Times New Roman" w:hAnsi="Times New Roman"/>
                <w:szCs w:val="21"/>
              </w:rPr>
            </w:pPr>
            <w:r>
              <w:rPr>
                <w:rFonts w:hint="eastAsia" w:ascii="Times New Roman" w:hAnsi="Times New Roman"/>
                <w:szCs w:val="21"/>
              </w:rPr>
              <w:t>（1）</w:t>
            </w:r>
            <w:r>
              <w:rPr>
                <w:rFonts w:ascii="Times New Roman" w:hAnsi="Times New Roman"/>
                <w:szCs w:val="21"/>
              </w:rPr>
              <w:t>学生的作业要</w:t>
            </w:r>
            <w:r>
              <w:rPr>
                <w:rFonts w:hint="eastAsia" w:ascii="Times New Roman" w:hAnsi="Times New Roman"/>
                <w:szCs w:val="21"/>
              </w:rPr>
              <w:t>按时</w:t>
            </w:r>
            <w:r>
              <w:rPr>
                <w:rFonts w:ascii="Times New Roman" w:hAnsi="Times New Roman"/>
                <w:szCs w:val="21"/>
              </w:rPr>
              <w:t>全</w:t>
            </w:r>
            <w:r>
              <w:rPr>
                <w:rFonts w:hint="eastAsia" w:ascii="Times New Roman" w:hAnsi="Times New Roman"/>
                <w:szCs w:val="21"/>
              </w:rPr>
              <w:t>部</w:t>
            </w:r>
            <w:r>
              <w:rPr>
                <w:rFonts w:ascii="Times New Roman" w:hAnsi="Times New Roman"/>
                <w:szCs w:val="21"/>
              </w:rPr>
              <w:t>批改，并</w:t>
            </w:r>
            <w:r>
              <w:rPr>
                <w:rFonts w:hint="eastAsia" w:ascii="Times New Roman" w:hAnsi="Times New Roman"/>
                <w:szCs w:val="21"/>
              </w:rPr>
              <w:t>及时进行</w:t>
            </w:r>
            <w:r>
              <w:rPr>
                <w:rFonts w:ascii="Times New Roman" w:hAnsi="Times New Roman"/>
                <w:szCs w:val="21"/>
              </w:rPr>
              <w:t>讲评</w:t>
            </w:r>
            <w:r>
              <w:rPr>
                <w:rFonts w:hint="eastAsia" w:ascii="Times New Roman" w:hAnsi="Times New Roman"/>
                <w:szCs w:val="21"/>
              </w:rPr>
              <w:t>。</w:t>
            </w:r>
          </w:p>
          <w:p>
            <w:pPr>
              <w:spacing w:line="276" w:lineRule="auto"/>
              <w:rPr>
                <w:rFonts w:ascii="Times New Roman" w:hAnsi="Times New Roman"/>
                <w:szCs w:val="21"/>
              </w:rPr>
            </w:pPr>
            <w:r>
              <w:rPr>
                <w:rFonts w:hint="eastAsia" w:ascii="Times New Roman" w:hAnsi="Times New Roman"/>
                <w:szCs w:val="21"/>
              </w:rPr>
              <w:t>（2）</w:t>
            </w:r>
            <w:r>
              <w:rPr>
                <w:rFonts w:ascii="Times New Roman" w:hAnsi="Times New Roman"/>
                <w:szCs w:val="21"/>
              </w:rPr>
              <w:t>教师批改</w:t>
            </w:r>
            <w:r>
              <w:rPr>
                <w:rFonts w:hint="eastAsia" w:ascii="Times New Roman" w:hAnsi="Times New Roman"/>
                <w:szCs w:val="21"/>
              </w:rPr>
              <w:t>和</w:t>
            </w:r>
            <w:r>
              <w:rPr>
                <w:rFonts w:ascii="Times New Roman" w:hAnsi="Times New Roman"/>
                <w:szCs w:val="21"/>
              </w:rPr>
              <w:t>讲评作业要认真、细致，按百分制评定成绩并写明日期</w:t>
            </w:r>
            <w:r>
              <w:rPr>
                <w:rFonts w:hint="eastAsia" w:ascii="Times New Roman" w:hAnsi="Times New Roman"/>
                <w:szCs w:val="21"/>
              </w:rPr>
              <w:t>。</w:t>
            </w:r>
          </w:p>
          <w:p>
            <w:pPr>
              <w:spacing w:line="276" w:lineRule="auto"/>
              <w:rPr>
                <w:rFonts w:ascii="Times New Roman" w:hAnsi="Times New Roman"/>
                <w:szCs w:val="21"/>
              </w:rPr>
            </w:pPr>
            <w:r>
              <w:rPr>
                <w:rFonts w:hint="eastAsia" w:ascii="Times New Roman" w:hAnsi="Times New Roman"/>
                <w:szCs w:val="21"/>
              </w:rPr>
              <w:t>（3）</w:t>
            </w:r>
            <w:r>
              <w:rPr>
                <w:rFonts w:ascii="Times New Roman" w:hAnsi="Times New Roman"/>
                <w:szCs w:val="21"/>
              </w:rPr>
              <w:t>学生作业的平均成绩</w:t>
            </w:r>
            <w:r>
              <w:rPr>
                <w:rFonts w:hint="eastAsia" w:ascii="Times New Roman" w:hAnsi="Times New Roman"/>
                <w:szCs w:val="21"/>
              </w:rPr>
              <w:t>应</w:t>
            </w:r>
            <w:r>
              <w:rPr>
                <w:rFonts w:ascii="Times New Roman" w:hAnsi="Times New Roman"/>
                <w:szCs w:val="21"/>
              </w:rPr>
              <w:t>作为本课程总评成绩中平时成绩的重要组成部分。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582" w:type="dxa"/>
            <w:tcBorders>
              <w:left w:val="single" w:color="auto" w:sz="8" w:space="0"/>
            </w:tcBorders>
            <w:noWrap w:val="0"/>
            <w:vAlign w:val="center"/>
          </w:tcPr>
          <w:p>
            <w:pPr>
              <w:spacing w:line="276" w:lineRule="auto"/>
              <w:jc w:val="center"/>
              <w:rPr>
                <w:rFonts w:ascii="Times New Roman" w:hAnsi="Times New Roman"/>
                <w:szCs w:val="21"/>
              </w:rPr>
            </w:pPr>
            <w:r>
              <w:rPr>
                <w:rFonts w:ascii="Times New Roman" w:hAnsi="Times New Roman"/>
                <w:szCs w:val="21"/>
              </w:rPr>
              <w:t>4</w:t>
            </w:r>
          </w:p>
        </w:tc>
        <w:tc>
          <w:tcPr>
            <w:tcW w:w="1701" w:type="dxa"/>
            <w:noWrap w:val="0"/>
            <w:tcMar>
              <w:left w:w="28" w:type="dxa"/>
              <w:right w:w="28" w:type="dxa"/>
            </w:tcMar>
            <w:vAlign w:val="center"/>
          </w:tcPr>
          <w:p>
            <w:pPr>
              <w:spacing w:line="276" w:lineRule="auto"/>
              <w:jc w:val="center"/>
              <w:rPr>
                <w:rFonts w:ascii="Times New Roman" w:hAnsi="Times New Roman"/>
                <w:szCs w:val="21"/>
              </w:rPr>
            </w:pPr>
            <w:r>
              <w:rPr>
                <w:rFonts w:ascii="Times New Roman" w:hAnsi="Times New Roman"/>
                <w:szCs w:val="21"/>
              </w:rPr>
              <w:t>课外答疑</w:t>
            </w:r>
          </w:p>
        </w:tc>
        <w:tc>
          <w:tcPr>
            <w:tcW w:w="6817" w:type="dxa"/>
            <w:tcBorders>
              <w:right w:val="single" w:color="auto" w:sz="8" w:space="0"/>
            </w:tcBorders>
            <w:noWrap w:val="0"/>
            <w:vAlign w:val="center"/>
          </w:tcPr>
          <w:p>
            <w:pPr>
              <w:spacing w:line="276" w:lineRule="auto"/>
              <w:rPr>
                <w:rFonts w:ascii="Times New Roman" w:hAnsi="Times New Roman"/>
                <w:szCs w:val="21"/>
              </w:rPr>
            </w:pPr>
            <w:r>
              <w:rPr>
                <w:rFonts w:ascii="Times New Roman" w:hAnsi="Times New Roman"/>
                <w:szCs w:val="21"/>
              </w:rPr>
              <w:t>为了解学生的学习情况，帮助学生</w:t>
            </w:r>
            <w:r>
              <w:rPr>
                <w:rFonts w:hint="eastAsia" w:ascii="Times New Roman" w:hAnsi="Times New Roman"/>
                <w:szCs w:val="21"/>
              </w:rPr>
              <w:t>更好地</w:t>
            </w:r>
            <w:r>
              <w:rPr>
                <w:rFonts w:ascii="Times New Roman" w:hAnsi="Times New Roman"/>
                <w:szCs w:val="21"/>
              </w:rPr>
              <w:t>理解和消化所学知识、改进学习方法和思维方式，培养其独立思考问题的能力，任课教师</w:t>
            </w:r>
            <w:r>
              <w:rPr>
                <w:rFonts w:hint="eastAsia" w:ascii="Times New Roman" w:hAnsi="Times New Roman"/>
                <w:szCs w:val="21"/>
              </w:rPr>
              <w:t>需</w:t>
            </w:r>
            <w:r>
              <w:rPr>
                <w:rFonts w:ascii="Times New Roman" w:hAnsi="Times New Roman"/>
                <w:szCs w:val="21"/>
              </w:rPr>
              <w:t>每周安排</w:t>
            </w:r>
            <w:r>
              <w:rPr>
                <w:rFonts w:hint="eastAsia" w:ascii="Times New Roman" w:hAnsi="Times New Roman"/>
                <w:szCs w:val="21"/>
              </w:rPr>
              <w:t>一定</w:t>
            </w:r>
            <w:r>
              <w:rPr>
                <w:rFonts w:ascii="Times New Roman" w:hAnsi="Times New Roman"/>
                <w:szCs w:val="21"/>
              </w:rPr>
              <w:t>时间进行课外答疑与辅导。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582" w:type="dxa"/>
            <w:tcBorders>
              <w:left w:val="single" w:color="auto" w:sz="8" w:space="0"/>
            </w:tcBorders>
            <w:noWrap w:val="0"/>
            <w:vAlign w:val="center"/>
          </w:tcPr>
          <w:p>
            <w:pPr>
              <w:spacing w:line="276" w:lineRule="auto"/>
              <w:jc w:val="center"/>
              <w:rPr>
                <w:rFonts w:ascii="Times New Roman" w:hAnsi="Times New Roman"/>
                <w:szCs w:val="21"/>
              </w:rPr>
            </w:pPr>
            <w:r>
              <w:rPr>
                <w:rFonts w:ascii="Times New Roman" w:hAnsi="Times New Roman"/>
                <w:szCs w:val="21"/>
              </w:rPr>
              <w:t>5</w:t>
            </w:r>
          </w:p>
        </w:tc>
        <w:tc>
          <w:tcPr>
            <w:tcW w:w="1701" w:type="dxa"/>
            <w:noWrap w:val="0"/>
            <w:tcMar>
              <w:left w:w="28" w:type="dxa"/>
              <w:right w:w="28" w:type="dxa"/>
            </w:tcMar>
            <w:vAlign w:val="center"/>
          </w:tcPr>
          <w:p>
            <w:pPr>
              <w:spacing w:line="276" w:lineRule="auto"/>
              <w:jc w:val="center"/>
              <w:rPr>
                <w:rFonts w:ascii="Times New Roman" w:hAnsi="Times New Roman"/>
                <w:szCs w:val="21"/>
              </w:rPr>
            </w:pPr>
            <w:r>
              <w:rPr>
                <w:rFonts w:ascii="Times New Roman" w:hAnsi="Times New Roman"/>
                <w:szCs w:val="21"/>
              </w:rPr>
              <w:t>成绩考核</w:t>
            </w:r>
          </w:p>
        </w:tc>
        <w:tc>
          <w:tcPr>
            <w:tcW w:w="6817" w:type="dxa"/>
            <w:tcBorders>
              <w:right w:val="single" w:color="auto" w:sz="8" w:space="0"/>
            </w:tcBorders>
            <w:noWrap w:val="0"/>
            <w:vAlign w:val="center"/>
          </w:tcPr>
          <w:p>
            <w:pPr>
              <w:spacing w:line="276" w:lineRule="auto"/>
              <w:rPr>
                <w:rFonts w:ascii="Times New Roman" w:hAnsi="Times New Roman"/>
                <w:szCs w:val="21"/>
              </w:rPr>
            </w:pPr>
            <w:r>
              <w:rPr>
                <w:rFonts w:ascii="Times New Roman" w:hAnsi="Times New Roman"/>
                <w:szCs w:val="21"/>
              </w:rPr>
              <w:t>本课程考核的方式</w:t>
            </w:r>
            <w:r>
              <w:rPr>
                <w:rFonts w:hint="eastAsia" w:ascii="Times New Roman" w:hAnsi="Times New Roman"/>
                <w:szCs w:val="21"/>
              </w:rPr>
              <w:t>为期末大作业</w:t>
            </w:r>
            <w:r>
              <w:rPr>
                <w:rFonts w:ascii="Times New Roman" w:hAnsi="Times New Roman"/>
                <w:szCs w:val="21"/>
              </w:rPr>
              <w:t>。有下列情况之一者，总评成绩为不及格：</w:t>
            </w:r>
          </w:p>
          <w:p>
            <w:pPr>
              <w:spacing w:line="276" w:lineRule="auto"/>
              <w:rPr>
                <w:rFonts w:ascii="Times New Roman" w:hAnsi="Times New Roman"/>
                <w:szCs w:val="21"/>
              </w:rPr>
            </w:pPr>
            <w:r>
              <w:rPr>
                <w:rFonts w:hint="eastAsia" w:ascii="Times New Roman" w:hAnsi="Times New Roman"/>
                <w:szCs w:val="21"/>
              </w:rPr>
              <w:t>（1）</w:t>
            </w:r>
            <w:r>
              <w:rPr>
                <w:rFonts w:ascii="Times New Roman" w:hAnsi="Times New Roman"/>
                <w:szCs w:val="21"/>
              </w:rPr>
              <w:t>缺交作业次数达1/3以上者</w:t>
            </w:r>
            <w:r>
              <w:rPr>
                <w:rFonts w:hint="eastAsia" w:ascii="Times New Roman" w:hAnsi="Times New Roman"/>
                <w:szCs w:val="21"/>
              </w:rPr>
              <w:t>。</w:t>
            </w:r>
          </w:p>
          <w:p>
            <w:pPr>
              <w:spacing w:line="276" w:lineRule="auto"/>
              <w:rPr>
                <w:rFonts w:ascii="Times New Roman" w:hAnsi="Times New Roman"/>
                <w:szCs w:val="21"/>
              </w:rPr>
            </w:pPr>
            <w:r>
              <w:rPr>
                <w:rFonts w:hint="eastAsia" w:ascii="Times New Roman" w:hAnsi="Times New Roman"/>
                <w:szCs w:val="21"/>
              </w:rPr>
              <w:t>（2）</w:t>
            </w:r>
            <w:r>
              <w:rPr>
                <w:rFonts w:ascii="Times New Roman" w:hAnsi="Times New Roman"/>
                <w:szCs w:val="21"/>
              </w:rPr>
              <w:t>缺课次数达本学期总授课学时的1/3以上者</w:t>
            </w:r>
            <w:r>
              <w:rPr>
                <w:rFonts w:hint="eastAsia" w:ascii="Times New Roman" w:hAnsi="Times New Roman"/>
                <w:szCs w:val="21"/>
              </w:rPr>
              <w:t>。</w:t>
            </w:r>
          </w:p>
          <w:p>
            <w:pPr>
              <w:spacing w:line="276" w:lineRule="auto"/>
              <w:rPr>
                <w:rFonts w:ascii="Times New Roman" w:hAnsi="Times New Roman"/>
                <w:szCs w:val="21"/>
              </w:rPr>
            </w:pPr>
            <w:r>
              <w:rPr>
                <w:rFonts w:hint="eastAsia" w:ascii="Times New Roman" w:hAnsi="Times New Roman"/>
                <w:szCs w:val="21"/>
              </w:rPr>
              <w:t>（3）</w:t>
            </w:r>
            <w:r>
              <w:rPr>
                <w:rFonts w:ascii="Times New Roman" w:hAnsi="Times New Roman"/>
                <w:szCs w:val="21"/>
              </w:rPr>
              <w:t>课程目标小于0.6。</w:t>
            </w:r>
          </w:p>
        </w:tc>
      </w:tr>
    </w:tbl>
    <w:p>
      <w:pPr>
        <w:spacing w:line="360" w:lineRule="auto"/>
        <w:ind w:firstLine="562" w:firstLineChars="200"/>
        <w:rPr>
          <w:rFonts w:hint="eastAsia" w:ascii="Times New Roman" w:hAnsi="Times New Roman"/>
          <w:b/>
          <w:sz w:val="28"/>
          <w:szCs w:val="28"/>
        </w:rPr>
      </w:pPr>
      <w:r>
        <w:rPr>
          <w:rFonts w:hint="eastAsia" w:ascii="Times New Roman" w:hAnsi="Times New Roman"/>
          <w:b/>
          <w:sz w:val="28"/>
          <w:szCs w:val="28"/>
        </w:rPr>
        <w:t>五、课程考核方式</w:t>
      </w:r>
    </w:p>
    <w:p>
      <w:pPr>
        <w:spacing w:line="360" w:lineRule="auto"/>
        <w:ind w:firstLine="480" w:firstLineChars="200"/>
        <w:rPr>
          <w:rFonts w:ascii="Times New Roman" w:hAnsi="Times New Roman"/>
          <w:sz w:val="24"/>
        </w:rPr>
      </w:pPr>
      <w:r>
        <w:rPr>
          <w:rFonts w:hint="eastAsia" w:ascii="Times New Roman" w:hAnsi="Times New Roman"/>
          <w:sz w:val="24"/>
        </w:rPr>
        <w:t>（一）</w:t>
      </w:r>
      <w:r>
        <w:rPr>
          <w:rFonts w:ascii="Times New Roman" w:hAnsi="Times New Roman"/>
          <w:sz w:val="24"/>
        </w:rPr>
        <w:t>课程考核包括期末</w:t>
      </w:r>
      <w:r>
        <w:rPr>
          <w:rFonts w:hint="eastAsia" w:ascii="Times New Roman" w:hAnsi="Times New Roman"/>
          <w:sz w:val="24"/>
          <w:lang w:val="en-US" w:eastAsia="zh-CN"/>
        </w:rPr>
        <w:t>大作业</w:t>
      </w:r>
      <w:r>
        <w:rPr>
          <w:rFonts w:ascii="Times New Roman" w:hAnsi="Times New Roman"/>
          <w:sz w:val="24"/>
        </w:rPr>
        <w:t>、平时及作业情况考核和</w:t>
      </w:r>
      <w:r>
        <w:rPr>
          <w:rFonts w:hint="eastAsia" w:ascii="Times New Roman" w:hAnsi="Times New Roman"/>
          <w:sz w:val="24"/>
          <w:lang w:val="en-US" w:eastAsia="zh-CN"/>
        </w:rPr>
        <w:t>课堂互动</w:t>
      </w:r>
      <w:r>
        <w:rPr>
          <w:rFonts w:ascii="Times New Roman" w:hAnsi="Times New Roman"/>
          <w:sz w:val="24"/>
        </w:rPr>
        <w:t>考核，。</w:t>
      </w:r>
    </w:p>
    <w:p>
      <w:pPr>
        <w:spacing w:line="360" w:lineRule="auto"/>
        <w:ind w:firstLine="480" w:firstLineChars="200"/>
        <w:rPr>
          <w:rFonts w:ascii="Times New Roman" w:hAnsi="Times New Roman"/>
          <w:sz w:val="24"/>
        </w:rPr>
      </w:pPr>
      <w:r>
        <w:rPr>
          <w:rFonts w:hint="eastAsia" w:ascii="Times New Roman" w:hAnsi="Times New Roman"/>
          <w:sz w:val="24"/>
        </w:rPr>
        <w:t>（二）</w:t>
      </w:r>
      <w:r>
        <w:rPr>
          <w:rFonts w:ascii="Times New Roman" w:hAnsi="Times New Roman"/>
          <w:sz w:val="24"/>
        </w:rPr>
        <w:t>课程成绩=平时</w:t>
      </w:r>
      <w:r>
        <w:rPr>
          <w:rFonts w:hint="eastAsia" w:ascii="Times New Roman" w:hAnsi="Times New Roman"/>
          <w:sz w:val="24"/>
          <w:lang w:val="en-US" w:eastAsia="zh-CN"/>
        </w:rPr>
        <w:t>作业</w:t>
      </w:r>
      <w:r>
        <w:rPr>
          <w:rFonts w:ascii="Times New Roman" w:hAnsi="Times New Roman"/>
          <w:sz w:val="24"/>
        </w:rPr>
        <w:t>成绩×</w:t>
      </w:r>
      <w:r>
        <w:rPr>
          <w:rFonts w:hint="eastAsia" w:ascii="Times New Roman" w:hAnsi="Times New Roman"/>
          <w:sz w:val="24"/>
          <w:lang w:val="en-US" w:eastAsia="zh-CN"/>
        </w:rPr>
        <w:t>2</w:t>
      </w:r>
      <w:r>
        <w:rPr>
          <w:rFonts w:ascii="Times New Roman" w:hAnsi="Times New Roman"/>
          <w:sz w:val="24"/>
        </w:rPr>
        <w:t>0%+</w:t>
      </w:r>
      <w:r>
        <w:rPr>
          <w:rFonts w:hint="eastAsia" w:ascii="Times New Roman" w:hAnsi="Times New Roman"/>
          <w:sz w:val="24"/>
          <w:lang w:val="en-US" w:eastAsia="zh-CN"/>
        </w:rPr>
        <w:t>考勤及课堂练习20%+</w:t>
      </w:r>
      <w:r>
        <w:rPr>
          <w:rFonts w:ascii="Times New Roman" w:hAnsi="Times New Roman"/>
          <w:sz w:val="24"/>
        </w:rPr>
        <w:t>期末考试成绩×60%。</w:t>
      </w:r>
      <w:r>
        <w:rPr>
          <w:rFonts w:hint="eastAsia" w:ascii="Times New Roman" w:hAnsi="Times New Roman"/>
          <w:sz w:val="24"/>
        </w:rPr>
        <w:t>具体内容和比例如表所示。</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1565"/>
        <w:gridCol w:w="808"/>
        <w:gridCol w:w="4410"/>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FFFFFF"/>
            <w:noWrap w:val="0"/>
            <w:tcMar>
              <w:left w:w="57" w:type="dxa"/>
              <w:right w:w="57" w:type="dxa"/>
            </w:tcMar>
            <w:vAlign w:val="center"/>
          </w:tcPr>
          <w:p>
            <w:pPr>
              <w:pStyle w:val="14"/>
              <w:jc w:val="center"/>
              <w:rPr>
                <w:rFonts w:ascii="Times New Roman" w:hAnsi="Times New Roman" w:eastAsia="宋体"/>
              </w:rPr>
            </w:pPr>
            <w:r>
              <w:rPr>
                <w:rFonts w:ascii="Times New Roman" w:hAnsi="Times New Roman" w:eastAsia="宋体"/>
              </w:rPr>
              <w:t>成绩组成</w:t>
            </w:r>
          </w:p>
        </w:tc>
        <w:tc>
          <w:tcPr>
            <w:tcW w:w="1565" w:type="dxa"/>
            <w:shd w:val="clear" w:color="auto" w:fill="FFFFFF"/>
            <w:noWrap w:val="0"/>
            <w:vAlign w:val="center"/>
          </w:tcPr>
          <w:p>
            <w:pPr>
              <w:pStyle w:val="14"/>
              <w:jc w:val="center"/>
              <w:rPr>
                <w:rFonts w:ascii="Times New Roman" w:hAnsi="Times New Roman" w:eastAsia="宋体"/>
              </w:rPr>
            </w:pPr>
            <w:r>
              <w:rPr>
                <w:rFonts w:ascii="Times New Roman" w:hAnsi="Times New Roman" w:eastAsia="宋体"/>
              </w:rPr>
              <w:t>考核/评价环节</w:t>
            </w:r>
          </w:p>
        </w:tc>
        <w:tc>
          <w:tcPr>
            <w:tcW w:w="808" w:type="dxa"/>
            <w:shd w:val="clear" w:color="auto" w:fill="FFFFFF"/>
            <w:noWrap w:val="0"/>
            <w:vAlign w:val="center"/>
          </w:tcPr>
          <w:p>
            <w:pPr>
              <w:pStyle w:val="14"/>
              <w:jc w:val="center"/>
              <w:rPr>
                <w:rFonts w:ascii="Times New Roman" w:hAnsi="Times New Roman" w:eastAsia="宋体"/>
              </w:rPr>
            </w:pPr>
            <w:r>
              <w:rPr>
                <w:rFonts w:hint="eastAsia" w:ascii="Times New Roman" w:hAnsi="Times New Roman" w:eastAsia="宋体"/>
              </w:rPr>
              <w:t>权重</w:t>
            </w:r>
          </w:p>
        </w:tc>
        <w:tc>
          <w:tcPr>
            <w:tcW w:w="4410" w:type="dxa"/>
            <w:shd w:val="clear" w:color="auto" w:fill="FFFFFF"/>
            <w:noWrap w:val="0"/>
            <w:vAlign w:val="center"/>
          </w:tcPr>
          <w:p>
            <w:pPr>
              <w:pStyle w:val="14"/>
              <w:jc w:val="center"/>
              <w:rPr>
                <w:rFonts w:ascii="Times New Roman" w:hAnsi="Times New Roman" w:eastAsia="宋体"/>
              </w:rPr>
            </w:pPr>
            <w:r>
              <w:rPr>
                <w:rFonts w:ascii="Times New Roman" w:hAnsi="Times New Roman" w:eastAsia="宋体"/>
              </w:rPr>
              <w:t>考核/评价细则</w:t>
            </w:r>
          </w:p>
        </w:tc>
        <w:tc>
          <w:tcPr>
            <w:tcW w:w="1470" w:type="dxa"/>
            <w:shd w:val="clear" w:color="auto" w:fill="FFFFFF"/>
            <w:noWrap w:val="0"/>
            <w:vAlign w:val="center"/>
          </w:tcPr>
          <w:p>
            <w:pPr>
              <w:pStyle w:val="14"/>
              <w:jc w:val="center"/>
              <w:rPr>
                <w:rFonts w:ascii="Times New Roman" w:hAnsi="Times New Roman" w:eastAsia="宋体"/>
              </w:rPr>
            </w:pPr>
            <w:r>
              <w:rPr>
                <w:rFonts w:ascii="Times New Roman" w:hAnsi="Times New Roman" w:eastAsia="宋体"/>
              </w:rPr>
              <w:t>对应的毕业要求指标点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044" w:type="dxa"/>
            <w:vMerge w:val="restart"/>
            <w:noWrap w:val="0"/>
            <w:tcMar>
              <w:left w:w="57" w:type="dxa"/>
              <w:right w:w="57" w:type="dxa"/>
            </w:tcMar>
            <w:vAlign w:val="center"/>
          </w:tcPr>
          <w:p>
            <w:pPr>
              <w:pStyle w:val="14"/>
              <w:jc w:val="center"/>
              <w:rPr>
                <w:rFonts w:ascii="Times New Roman" w:hAnsi="Times New Roman" w:eastAsia="宋体"/>
              </w:rPr>
            </w:pPr>
            <w:r>
              <w:rPr>
                <w:rFonts w:ascii="Times New Roman" w:hAnsi="Times New Roman" w:eastAsia="宋体"/>
              </w:rPr>
              <w:t>平时成绩</w:t>
            </w:r>
          </w:p>
        </w:tc>
        <w:tc>
          <w:tcPr>
            <w:tcW w:w="1565" w:type="dxa"/>
            <w:noWrap w:val="0"/>
            <w:vAlign w:val="center"/>
          </w:tcPr>
          <w:p>
            <w:pPr>
              <w:pStyle w:val="14"/>
              <w:jc w:val="center"/>
              <w:rPr>
                <w:rFonts w:ascii="Times New Roman" w:hAnsi="Times New Roman" w:eastAsia="宋体"/>
              </w:rPr>
            </w:pPr>
            <w:r>
              <w:rPr>
                <w:rFonts w:ascii="Times New Roman" w:hAnsi="Times New Roman" w:eastAsia="宋体"/>
              </w:rPr>
              <w:t>平时作业</w:t>
            </w:r>
          </w:p>
        </w:tc>
        <w:tc>
          <w:tcPr>
            <w:tcW w:w="808" w:type="dxa"/>
            <w:noWrap w:val="0"/>
            <w:vAlign w:val="center"/>
          </w:tcPr>
          <w:p>
            <w:pPr>
              <w:pStyle w:val="14"/>
              <w:jc w:val="center"/>
              <w:rPr>
                <w:rFonts w:ascii="Times New Roman" w:hAnsi="Times New Roman" w:eastAsia="宋体"/>
              </w:rPr>
            </w:pPr>
            <w:r>
              <w:rPr>
                <w:rFonts w:ascii="Times New Roman" w:hAnsi="Times New Roman" w:eastAsia="宋体"/>
              </w:rPr>
              <w:t>20%</w:t>
            </w:r>
          </w:p>
        </w:tc>
        <w:tc>
          <w:tcPr>
            <w:tcW w:w="4410" w:type="dxa"/>
            <w:noWrap w:val="0"/>
            <w:vAlign w:val="center"/>
          </w:tcPr>
          <w:p>
            <w:pPr>
              <w:pStyle w:val="14"/>
              <w:rPr>
                <w:rFonts w:ascii="Times New Roman" w:hAnsi="Times New Roman" w:eastAsia="宋体"/>
              </w:rPr>
            </w:pPr>
            <w:r>
              <w:rPr>
                <w:rFonts w:ascii="Times New Roman" w:hAnsi="Times New Roman" w:eastAsia="宋体"/>
              </w:rPr>
              <w:t>课后完成20-30个习题，主要考核学生对每节课知识点的复习、理解和掌握程度，计算全部作业的平均成绩再按20%计入总成绩。</w:t>
            </w:r>
          </w:p>
        </w:tc>
        <w:tc>
          <w:tcPr>
            <w:tcW w:w="1470" w:type="dxa"/>
            <w:noWrap w:val="0"/>
            <w:vAlign w:val="center"/>
          </w:tcPr>
          <w:p>
            <w:pPr>
              <w:pStyle w:val="14"/>
              <w:jc w:val="center"/>
              <w:rPr>
                <w:rFonts w:hint="default" w:ascii="Times New Roman" w:hAnsi="Times New Roman" w:eastAsia="宋体"/>
                <w:lang w:val="en-US" w:eastAsia="zh-CN"/>
              </w:rPr>
            </w:pPr>
            <w:r>
              <w:rPr>
                <w:rFonts w:hint="eastAsia" w:eastAsia="宋体"/>
                <w:lang w:val="en-US" w:eastAsia="zh-CN"/>
              </w:rPr>
              <w:t>2-2、3-4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trPr>
        <w:tc>
          <w:tcPr>
            <w:tcW w:w="1044" w:type="dxa"/>
            <w:vMerge w:val="continue"/>
            <w:noWrap w:val="0"/>
            <w:tcMar>
              <w:left w:w="57" w:type="dxa"/>
              <w:right w:w="57" w:type="dxa"/>
            </w:tcMar>
            <w:vAlign w:val="center"/>
          </w:tcPr>
          <w:p>
            <w:pPr>
              <w:pStyle w:val="14"/>
              <w:jc w:val="center"/>
              <w:rPr>
                <w:rFonts w:ascii="Times New Roman" w:hAnsi="Times New Roman" w:eastAsia="宋体"/>
              </w:rPr>
            </w:pPr>
          </w:p>
        </w:tc>
        <w:tc>
          <w:tcPr>
            <w:tcW w:w="1565" w:type="dxa"/>
            <w:noWrap w:val="0"/>
            <w:vAlign w:val="center"/>
          </w:tcPr>
          <w:p>
            <w:pPr>
              <w:pStyle w:val="14"/>
              <w:jc w:val="center"/>
              <w:rPr>
                <w:rFonts w:hint="eastAsia" w:ascii="Times New Roman" w:hAnsi="Times New Roman" w:eastAsia="宋体"/>
              </w:rPr>
            </w:pPr>
            <w:r>
              <w:rPr>
                <w:rFonts w:hint="eastAsia" w:ascii="Times New Roman" w:hAnsi="Times New Roman" w:eastAsia="宋体"/>
              </w:rPr>
              <w:t>考勤</w:t>
            </w:r>
            <w:r>
              <w:rPr>
                <w:rFonts w:ascii="Times New Roman" w:hAnsi="Times New Roman" w:eastAsia="宋体"/>
              </w:rPr>
              <w:t>及</w:t>
            </w:r>
          </w:p>
          <w:p>
            <w:pPr>
              <w:pStyle w:val="14"/>
              <w:jc w:val="center"/>
              <w:rPr>
                <w:rFonts w:ascii="Times New Roman" w:hAnsi="Times New Roman" w:eastAsia="宋体"/>
              </w:rPr>
            </w:pPr>
            <w:r>
              <w:rPr>
                <w:rFonts w:ascii="Times New Roman" w:hAnsi="Times New Roman" w:eastAsia="宋体"/>
              </w:rPr>
              <w:t>课堂练习</w:t>
            </w:r>
          </w:p>
        </w:tc>
        <w:tc>
          <w:tcPr>
            <w:tcW w:w="808" w:type="dxa"/>
            <w:noWrap w:val="0"/>
            <w:vAlign w:val="center"/>
          </w:tcPr>
          <w:p>
            <w:pPr>
              <w:pStyle w:val="14"/>
              <w:jc w:val="center"/>
              <w:rPr>
                <w:rFonts w:ascii="Times New Roman" w:hAnsi="Times New Roman" w:eastAsia="宋体"/>
              </w:rPr>
            </w:pPr>
            <w:r>
              <w:rPr>
                <w:rFonts w:ascii="Times New Roman" w:hAnsi="Times New Roman" w:eastAsia="宋体"/>
              </w:rPr>
              <w:t>20%</w:t>
            </w:r>
          </w:p>
        </w:tc>
        <w:tc>
          <w:tcPr>
            <w:tcW w:w="4410" w:type="dxa"/>
            <w:noWrap w:val="0"/>
            <w:vAlign w:val="center"/>
          </w:tcPr>
          <w:p>
            <w:pPr>
              <w:pStyle w:val="14"/>
              <w:rPr>
                <w:rFonts w:ascii="Times New Roman" w:hAnsi="Times New Roman" w:eastAsia="宋体"/>
                <w:szCs w:val="21"/>
              </w:rPr>
            </w:pPr>
            <w:r>
              <w:rPr>
                <w:rFonts w:ascii="Times New Roman" w:hAnsi="Times New Roman" w:eastAsia="宋体"/>
                <w:color w:val="000000"/>
                <w:szCs w:val="21"/>
              </w:rPr>
              <w:t>以随机的形式，在每章内容进行中或结束后，随堂测试1-3题，主要考核学生课堂的听课效果和课后及时复习消化本章知识的能力</w:t>
            </w:r>
            <w:r>
              <w:rPr>
                <w:rFonts w:ascii="Times New Roman" w:hAnsi="Times New Roman" w:eastAsia="宋体"/>
                <w:szCs w:val="21"/>
              </w:rPr>
              <w:t>，结合平时</w:t>
            </w:r>
            <w:r>
              <w:rPr>
                <w:rFonts w:hint="eastAsia" w:ascii="Times New Roman" w:hAnsi="Times New Roman" w:eastAsia="宋体"/>
                <w:szCs w:val="21"/>
              </w:rPr>
              <w:t>考勤</w:t>
            </w:r>
            <w:r>
              <w:rPr>
                <w:rFonts w:ascii="Times New Roman" w:hAnsi="Times New Roman" w:eastAsia="宋体"/>
                <w:szCs w:val="21"/>
              </w:rPr>
              <w:t>，最后按20%计入课程总成绩。</w:t>
            </w:r>
          </w:p>
        </w:tc>
        <w:tc>
          <w:tcPr>
            <w:tcW w:w="1470" w:type="dxa"/>
            <w:noWrap w:val="0"/>
            <w:vAlign w:val="center"/>
          </w:tcPr>
          <w:p>
            <w:pPr>
              <w:pStyle w:val="14"/>
              <w:jc w:val="center"/>
              <w:rPr>
                <w:rFonts w:ascii="Times New Roman" w:hAnsi="Times New Roman" w:eastAsia="宋体"/>
              </w:rPr>
            </w:pPr>
            <w:r>
              <w:rPr>
                <w:rFonts w:hint="eastAsia" w:ascii="Times New Roman" w:hAnsi="Times New Roman" w:eastAsia="宋体"/>
              </w:rPr>
              <w:t>2-2、3-4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trPr>
        <w:tc>
          <w:tcPr>
            <w:tcW w:w="1044" w:type="dxa"/>
            <w:noWrap w:val="0"/>
            <w:tcMar>
              <w:left w:w="57" w:type="dxa"/>
              <w:right w:w="57" w:type="dxa"/>
            </w:tcMar>
            <w:vAlign w:val="center"/>
          </w:tcPr>
          <w:p>
            <w:pPr>
              <w:pStyle w:val="14"/>
              <w:jc w:val="center"/>
              <w:rPr>
                <w:rFonts w:ascii="Times New Roman" w:hAnsi="Times New Roman" w:eastAsia="宋体"/>
              </w:rPr>
            </w:pPr>
            <w:r>
              <w:rPr>
                <w:rFonts w:ascii="Times New Roman" w:hAnsi="Times New Roman" w:eastAsia="宋体"/>
              </w:rPr>
              <w:t>期末考试</w:t>
            </w:r>
          </w:p>
          <w:p>
            <w:pPr>
              <w:pStyle w:val="14"/>
              <w:jc w:val="center"/>
              <w:rPr>
                <w:rFonts w:ascii="Times New Roman" w:hAnsi="Times New Roman" w:eastAsia="宋体"/>
              </w:rPr>
            </w:pPr>
          </w:p>
        </w:tc>
        <w:tc>
          <w:tcPr>
            <w:tcW w:w="1565" w:type="dxa"/>
            <w:noWrap w:val="0"/>
            <w:vAlign w:val="center"/>
          </w:tcPr>
          <w:p>
            <w:pPr>
              <w:pStyle w:val="14"/>
              <w:jc w:val="center"/>
              <w:rPr>
                <w:rFonts w:ascii="Times New Roman" w:hAnsi="Times New Roman" w:eastAsia="宋体"/>
              </w:rPr>
            </w:pPr>
            <w:r>
              <w:rPr>
                <w:rFonts w:ascii="Times New Roman" w:hAnsi="Times New Roman" w:eastAsia="宋体"/>
              </w:rPr>
              <w:t>期末</w:t>
            </w:r>
            <w:r>
              <w:rPr>
                <w:rFonts w:hint="eastAsia" w:ascii="Times New Roman" w:hAnsi="Times New Roman" w:eastAsia="宋体"/>
              </w:rPr>
              <w:t>大作业</w:t>
            </w:r>
          </w:p>
        </w:tc>
        <w:tc>
          <w:tcPr>
            <w:tcW w:w="808" w:type="dxa"/>
            <w:noWrap w:val="0"/>
            <w:vAlign w:val="center"/>
          </w:tcPr>
          <w:p>
            <w:pPr>
              <w:pStyle w:val="14"/>
              <w:jc w:val="center"/>
              <w:rPr>
                <w:rFonts w:ascii="Times New Roman" w:hAnsi="Times New Roman" w:eastAsia="宋体"/>
              </w:rPr>
            </w:pPr>
            <w:r>
              <w:rPr>
                <w:rFonts w:ascii="Times New Roman" w:hAnsi="Times New Roman" w:eastAsia="宋体"/>
              </w:rPr>
              <w:t>60%</w:t>
            </w:r>
          </w:p>
        </w:tc>
        <w:tc>
          <w:tcPr>
            <w:tcW w:w="4410" w:type="dxa"/>
            <w:noWrap w:val="0"/>
            <w:vAlign w:val="center"/>
          </w:tcPr>
          <w:p>
            <w:pPr>
              <w:pStyle w:val="14"/>
              <w:rPr>
                <w:rFonts w:ascii="Times New Roman" w:hAnsi="Times New Roman" w:eastAsia="宋体"/>
                <w:color w:val="000000"/>
                <w:szCs w:val="21"/>
              </w:rPr>
            </w:pPr>
            <w:r>
              <w:rPr>
                <w:rFonts w:hint="eastAsia" w:ascii="Times New Roman" w:hAnsi="Times New Roman" w:eastAsia="宋体"/>
                <w:color w:val="000000"/>
                <w:szCs w:val="21"/>
              </w:rPr>
              <w:t>期末大作业为设计一座化工厂，设计成品包括初步设计说明书及图纸</w:t>
            </w:r>
            <w:r>
              <w:rPr>
                <w:rFonts w:ascii="Times New Roman" w:hAnsi="Times New Roman" w:eastAsia="宋体"/>
                <w:color w:val="000000"/>
                <w:szCs w:val="21"/>
              </w:rPr>
              <w:t>，以成绩的60%计入课程总成绩。</w:t>
            </w:r>
          </w:p>
        </w:tc>
        <w:tc>
          <w:tcPr>
            <w:tcW w:w="1470" w:type="dxa"/>
            <w:noWrap w:val="0"/>
            <w:vAlign w:val="center"/>
          </w:tcPr>
          <w:p>
            <w:pPr>
              <w:pStyle w:val="14"/>
              <w:jc w:val="center"/>
              <w:rPr>
                <w:rFonts w:ascii="Times New Roman" w:hAnsi="Times New Roman" w:eastAsia="宋体"/>
                <w:highlight w:val="yellow"/>
              </w:rPr>
            </w:pPr>
            <w:r>
              <w:rPr>
                <w:rFonts w:hint="eastAsia" w:ascii="Times New Roman" w:hAnsi="Times New Roman" w:eastAsia="宋体"/>
              </w:rPr>
              <w:t>2-2、3-4</w:t>
            </w:r>
          </w:p>
        </w:tc>
      </w:tr>
    </w:tbl>
    <w:p>
      <w:pPr>
        <w:spacing w:line="360" w:lineRule="auto"/>
        <w:ind w:firstLine="480" w:firstLineChars="200"/>
        <w:rPr>
          <w:rFonts w:ascii="Times New Roman" w:hAnsi="Times New Roman"/>
          <w:sz w:val="24"/>
          <w:szCs w:val="22"/>
        </w:rPr>
      </w:pPr>
      <w:r>
        <w:rPr>
          <w:rFonts w:ascii="Times New Roman" w:hAnsi="Times New Roman"/>
          <w:sz w:val="24"/>
          <w:szCs w:val="22"/>
        </w:rPr>
        <w:t>（三）所有课程目标均</w:t>
      </w:r>
      <w:r>
        <w:rPr>
          <w:rFonts w:hint="eastAsia" w:ascii="Times New Roman" w:hAnsi="Times New Roman"/>
          <w:sz w:val="24"/>
          <w:szCs w:val="22"/>
        </w:rPr>
        <w:t>需</w:t>
      </w:r>
      <w:r>
        <w:rPr>
          <w:rFonts w:ascii="Times New Roman" w:hAnsi="Times New Roman"/>
          <w:sz w:val="24"/>
          <w:szCs w:val="22"/>
        </w:rPr>
        <w:t>大于等于0.6，否则总评成绩不及格，需要补考或重</w:t>
      </w:r>
      <w:r>
        <w:rPr>
          <w:rFonts w:hint="eastAsia" w:ascii="Times New Roman" w:hAnsi="Times New Roman"/>
          <w:sz w:val="24"/>
          <w:szCs w:val="22"/>
        </w:rPr>
        <w:t>修。</w:t>
      </w:r>
      <w:r>
        <w:rPr>
          <w:rFonts w:ascii="Times New Roman" w:hAnsi="Times New Roman"/>
          <w:sz w:val="24"/>
          <w:szCs w:val="22"/>
        </w:rPr>
        <w:t>每</w:t>
      </w:r>
      <w:r>
        <w:rPr>
          <w:rFonts w:hint="eastAsia" w:ascii="Times New Roman" w:hAnsi="Times New Roman"/>
          <w:sz w:val="24"/>
          <w:szCs w:val="22"/>
        </w:rPr>
        <w:t>个</w:t>
      </w:r>
      <w:r>
        <w:rPr>
          <w:rFonts w:ascii="Times New Roman" w:hAnsi="Times New Roman"/>
          <w:sz w:val="24"/>
          <w:szCs w:val="22"/>
        </w:rPr>
        <w:t>课程目标达成度计算方法如下：</w:t>
      </w:r>
    </w:p>
    <w:p>
      <w:pPr>
        <w:widowControl/>
        <w:spacing w:line="360" w:lineRule="auto"/>
        <w:jc w:val="center"/>
        <w:textAlignment w:val="baseline"/>
        <w:rPr>
          <w:rFonts w:hint="eastAsia" w:ascii="Times New Roman" w:hAnsi="Times New Roman"/>
          <w:kern w:val="0"/>
          <w:position w:val="-22"/>
          <w:szCs w:val="21"/>
        </w:rPr>
      </w:pPr>
      <w:r>
        <w:rPr>
          <w:rFonts w:ascii="Times New Roman" w:hAnsi="Times New Roman"/>
          <w:kern w:val="0"/>
          <w:position w:val="-22"/>
          <w:szCs w:val="21"/>
        </w:rPr>
        <w:pict>
          <v:shape id="_x0000_s2055" o:spid="_x0000_s2055" o:spt="75" type="#_x0000_t75" style="position:absolute;left:0pt;margin-left:42.7pt;margin-top:7.85pt;height:32.65pt;width:249.4pt;mso-wrap-distance-bottom:0pt;mso-wrap-distance-left:9pt;mso-wrap-distance-right:9pt;mso-wrap-distance-top:0pt;z-index:251663360;mso-width-relative:page;mso-height-relative:page;" o:ole="t" filled="f" o:preferrelative="t" stroked="f" coordsize="21600,21600">
            <v:path/>
            <v:fill on="f" focussize="0,0"/>
            <v:stroke on="f"/>
            <v:imagedata r:id="rId36" o:title=""/>
            <o:lock v:ext="edit" aspectratio="t"/>
            <w10:wrap type="square"/>
          </v:shape>
          <o:OLEObject Type="Embed" ProgID="Equation.3" ShapeID="_x0000_s2055" DrawAspect="Content" ObjectID="_1468075737" r:id="rId35">
            <o:LockedField>false</o:LockedField>
          </o:OLEObject>
        </w:pict>
      </w:r>
    </w:p>
    <w:p>
      <w:pPr>
        <w:widowControl/>
        <w:spacing w:line="360" w:lineRule="auto"/>
        <w:jc w:val="center"/>
        <w:textAlignment w:val="baseline"/>
        <w:rPr>
          <w:rFonts w:hint="eastAsia" w:ascii="Times New Roman" w:hAnsi="Times New Roman"/>
          <w:kern w:val="0"/>
          <w:position w:val="-22"/>
          <w:szCs w:val="21"/>
        </w:rPr>
      </w:pPr>
    </w:p>
    <w:p>
      <w:pPr>
        <w:spacing w:line="360" w:lineRule="auto"/>
        <w:rPr>
          <w:rFonts w:ascii="Times New Roman" w:hAnsi="Times New Roman"/>
          <w:sz w:val="24"/>
          <w:szCs w:val="22"/>
        </w:rPr>
      </w:pPr>
      <w:r>
        <w:rPr>
          <w:rFonts w:ascii="Times New Roman" w:hAnsi="Times New Roman"/>
          <w:sz w:val="24"/>
          <w:szCs w:val="22"/>
        </w:rPr>
        <w:t>式中：Ai=平时成绩占总评成绩的权重×课程目标i在平时成绩中的权重，</w:t>
      </w:r>
    </w:p>
    <w:p>
      <w:pPr>
        <w:spacing w:line="360" w:lineRule="auto"/>
        <w:ind w:firstLine="720" w:firstLineChars="300"/>
        <w:rPr>
          <w:rFonts w:ascii="Times New Roman" w:hAnsi="Times New Roman"/>
          <w:sz w:val="24"/>
          <w:szCs w:val="22"/>
        </w:rPr>
      </w:pPr>
      <w:r>
        <w:rPr>
          <w:rFonts w:ascii="Times New Roman" w:hAnsi="Times New Roman"/>
          <w:sz w:val="24"/>
          <w:szCs w:val="22"/>
        </w:rPr>
        <w:t>Bi</w:t>
      </w:r>
      <w:r>
        <w:rPr>
          <w:rFonts w:hint="eastAsia" w:ascii="Times New Roman" w:hAnsi="Times New Roman"/>
          <w:sz w:val="24"/>
          <w:szCs w:val="22"/>
        </w:rPr>
        <w:t>=期末</w:t>
      </w:r>
      <w:r>
        <w:rPr>
          <w:rFonts w:ascii="Times New Roman" w:hAnsi="Times New Roman"/>
          <w:sz w:val="24"/>
          <w:szCs w:val="22"/>
        </w:rPr>
        <w:t>成绩占总评成绩的权重×课程目标i在</w:t>
      </w:r>
      <w:r>
        <w:rPr>
          <w:rFonts w:hint="eastAsia" w:ascii="Times New Roman" w:hAnsi="Times New Roman"/>
          <w:sz w:val="24"/>
          <w:szCs w:val="22"/>
        </w:rPr>
        <w:t>期末</w:t>
      </w:r>
      <w:r>
        <w:rPr>
          <w:rFonts w:ascii="Times New Roman" w:hAnsi="Times New Roman"/>
          <w:sz w:val="24"/>
          <w:szCs w:val="22"/>
        </w:rPr>
        <w:t>成绩中的权重。</w:t>
      </w:r>
    </w:p>
    <w:p>
      <w:pPr>
        <w:spacing w:line="360" w:lineRule="auto"/>
        <w:ind w:firstLine="562" w:firstLineChars="200"/>
        <w:rPr>
          <w:rFonts w:hint="eastAsia" w:ascii="Times New Roman" w:hAnsi="Times New Roman"/>
          <w:b/>
          <w:sz w:val="28"/>
          <w:szCs w:val="28"/>
        </w:rPr>
      </w:pPr>
      <w:r>
        <w:rPr>
          <w:rFonts w:hint="eastAsia" w:ascii="Times New Roman" w:hAnsi="Times New Roman"/>
          <w:b/>
          <w:sz w:val="28"/>
          <w:szCs w:val="28"/>
        </w:rPr>
        <w:t>六</w:t>
      </w:r>
      <w:r>
        <w:rPr>
          <w:rFonts w:ascii="Times New Roman" w:hAnsi="Times New Roman"/>
          <w:b/>
          <w:sz w:val="28"/>
          <w:szCs w:val="28"/>
        </w:rPr>
        <w:t>、</w:t>
      </w:r>
      <w:r>
        <w:rPr>
          <w:rFonts w:hint="eastAsia" w:ascii="Times New Roman" w:hAnsi="Times New Roman"/>
          <w:b/>
          <w:sz w:val="28"/>
          <w:szCs w:val="28"/>
        </w:rPr>
        <w:t>有关说明</w:t>
      </w:r>
    </w:p>
    <w:p>
      <w:pPr>
        <w:spacing w:line="360" w:lineRule="auto"/>
        <w:ind w:firstLine="482" w:firstLineChars="200"/>
        <w:rPr>
          <w:rFonts w:hint="eastAsia" w:ascii="Times New Roman" w:hAnsi="Times New Roman"/>
          <w:b/>
          <w:color w:val="000000"/>
          <w:sz w:val="24"/>
        </w:rPr>
      </w:pPr>
      <w:r>
        <w:rPr>
          <w:rFonts w:hint="eastAsia" w:ascii="Times New Roman" w:hAnsi="Times New Roman"/>
          <w:b/>
          <w:color w:val="000000"/>
          <w:sz w:val="24"/>
        </w:rPr>
        <w:t>（一）持续改进</w:t>
      </w:r>
    </w:p>
    <w:p>
      <w:pPr>
        <w:spacing w:line="360" w:lineRule="auto"/>
        <w:ind w:firstLine="480" w:firstLineChars="200"/>
        <w:rPr>
          <w:rFonts w:ascii="Times New Roman" w:hAnsi="Times New Roman"/>
          <w:sz w:val="24"/>
          <w:szCs w:val="22"/>
        </w:rPr>
      </w:pPr>
      <w:r>
        <w:rPr>
          <w:rFonts w:ascii="Times New Roman" w:hAnsi="Times New Roman"/>
          <w:sz w:val="24"/>
          <w:szCs w:val="22"/>
        </w:rPr>
        <w:t>本课程根据学生作业、课堂讨论、、平时考核情况和学生、教学督导等</w:t>
      </w:r>
      <w:r>
        <w:rPr>
          <w:rFonts w:hint="eastAsia" w:ascii="Times New Roman" w:hAnsi="Times New Roman"/>
          <w:sz w:val="24"/>
          <w:szCs w:val="22"/>
        </w:rPr>
        <w:t>的</w:t>
      </w:r>
      <w:r>
        <w:rPr>
          <w:rFonts w:ascii="Times New Roman" w:hAnsi="Times New Roman"/>
          <w:sz w:val="24"/>
          <w:szCs w:val="22"/>
        </w:rPr>
        <w:t>反馈，及时对教学中</w:t>
      </w:r>
      <w:r>
        <w:rPr>
          <w:rFonts w:hint="eastAsia" w:ascii="Times New Roman" w:hAnsi="Times New Roman"/>
          <w:sz w:val="24"/>
          <w:szCs w:val="22"/>
        </w:rPr>
        <w:t>的</w:t>
      </w:r>
      <w:r>
        <w:rPr>
          <w:rFonts w:ascii="Times New Roman" w:hAnsi="Times New Roman"/>
          <w:sz w:val="24"/>
          <w:szCs w:val="22"/>
        </w:rPr>
        <w:t>不足之处进行改进，并在下一轮课程教学中</w:t>
      </w:r>
      <w:r>
        <w:rPr>
          <w:rFonts w:hint="eastAsia" w:ascii="Times New Roman" w:hAnsi="Times New Roman"/>
          <w:sz w:val="24"/>
          <w:szCs w:val="22"/>
        </w:rPr>
        <w:t>整改完善</w:t>
      </w:r>
      <w:r>
        <w:rPr>
          <w:rFonts w:ascii="Times New Roman" w:hAnsi="Times New Roman"/>
          <w:sz w:val="24"/>
          <w:szCs w:val="22"/>
        </w:rPr>
        <w:t>，确保相应毕业要求指标点达成。</w:t>
      </w:r>
    </w:p>
    <w:p>
      <w:pPr>
        <w:spacing w:line="360" w:lineRule="auto"/>
        <w:ind w:firstLine="482" w:firstLineChars="200"/>
        <w:rPr>
          <w:rFonts w:hint="eastAsia" w:ascii="Times New Roman" w:hAnsi="Times New Roman"/>
          <w:b/>
          <w:color w:val="000000"/>
          <w:sz w:val="24"/>
        </w:rPr>
      </w:pPr>
      <w:r>
        <w:rPr>
          <w:rFonts w:hint="eastAsia" w:ascii="Times New Roman" w:hAnsi="Times New Roman"/>
          <w:b/>
          <w:color w:val="000000"/>
          <w:sz w:val="24"/>
        </w:rPr>
        <w:t>（二）</w:t>
      </w:r>
      <w:r>
        <w:rPr>
          <w:rFonts w:ascii="Times New Roman" w:hAnsi="Times New Roman"/>
          <w:b/>
          <w:color w:val="000000"/>
          <w:sz w:val="24"/>
        </w:rPr>
        <w:t>参考书目及学习资料</w:t>
      </w:r>
    </w:p>
    <w:p>
      <w:pPr>
        <w:spacing w:line="440" w:lineRule="exact"/>
        <w:ind w:firstLine="480" w:firstLineChars="200"/>
        <w:rPr>
          <w:rFonts w:hint="eastAsia" w:ascii="Times New Roman" w:hAnsi="Times New Roman"/>
          <w:sz w:val="24"/>
        </w:rPr>
      </w:pPr>
      <w:r>
        <w:rPr>
          <w:rFonts w:hint="eastAsia" w:ascii="Times New Roman" w:hAnsi="Times New Roman"/>
          <w:sz w:val="24"/>
        </w:rPr>
        <w:t>1. 尹先清等. .化工设计. 北京：石油工业出版社, 2010年</w:t>
      </w:r>
    </w:p>
    <w:p>
      <w:pPr>
        <w:spacing w:line="440" w:lineRule="exact"/>
        <w:ind w:firstLine="480" w:firstLineChars="200"/>
        <w:rPr>
          <w:rFonts w:hint="eastAsia" w:ascii="Times New Roman" w:hAnsi="Times New Roman"/>
          <w:sz w:val="24"/>
        </w:rPr>
      </w:pPr>
      <w:r>
        <w:rPr>
          <w:rFonts w:hint="eastAsia" w:ascii="Times New Roman" w:hAnsi="Times New Roman"/>
          <w:sz w:val="24"/>
        </w:rPr>
        <w:t>2. 王静康. 化工过程设计. 北京：化学工业出版社, 2006年</w:t>
      </w:r>
    </w:p>
    <w:p>
      <w:pPr>
        <w:autoSpaceDE w:val="0"/>
        <w:autoSpaceDN w:val="0"/>
        <w:adjustRightInd w:val="0"/>
        <w:spacing w:line="360" w:lineRule="auto"/>
        <w:ind w:firstLine="480" w:firstLineChars="200"/>
        <w:jc w:val="left"/>
        <w:rPr>
          <w:rFonts w:hint="eastAsia" w:ascii="Times New Roman" w:hAnsi="Times New Roman"/>
          <w:kern w:val="0"/>
          <w:sz w:val="24"/>
        </w:rPr>
      </w:pPr>
      <w:r>
        <w:rPr>
          <w:rFonts w:hint="eastAsia" w:ascii="Times New Roman" w:hAnsi="Times New Roman"/>
          <w:sz w:val="24"/>
        </w:rPr>
        <w:t>3. 黄璐、王保国. 化工设计. 北京：化学工业出版社, 2017年</w:t>
      </w:r>
    </w:p>
    <w:p>
      <w:pPr>
        <w:autoSpaceDE w:val="0"/>
        <w:autoSpaceDN w:val="0"/>
        <w:adjustRightInd w:val="0"/>
        <w:spacing w:line="360" w:lineRule="auto"/>
        <w:ind w:firstLine="6480" w:firstLineChars="2700"/>
        <w:jc w:val="left"/>
        <w:rPr>
          <w:rFonts w:ascii="Times New Roman" w:hAnsi="Times New Roman"/>
          <w:kern w:val="0"/>
          <w:sz w:val="24"/>
          <w:szCs w:val="21"/>
        </w:rPr>
      </w:pPr>
      <w:r>
        <w:rPr>
          <w:rFonts w:ascii="Times New Roman" w:hAnsi="Times New Roman"/>
          <w:kern w:val="0"/>
          <w:sz w:val="24"/>
          <w:szCs w:val="21"/>
        </w:rPr>
        <w:t>执笔人：</w:t>
      </w:r>
      <w:r>
        <w:rPr>
          <w:rFonts w:hint="eastAsia" w:ascii="Times New Roman" w:hAnsi="Times New Roman"/>
          <w:kern w:val="0"/>
          <w:sz w:val="24"/>
          <w:szCs w:val="21"/>
        </w:rPr>
        <w:t>蒋夫花</w:t>
      </w:r>
      <w:r>
        <w:rPr>
          <w:rFonts w:ascii="Times New Roman" w:hAnsi="Times New Roman"/>
          <w:kern w:val="0"/>
          <w:sz w:val="24"/>
          <w:szCs w:val="21"/>
        </w:rPr>
        <w:t xml:space="preserve"> </w:t>
      </w:r>
    </w:p>
    <w:p>
      <w:pPr>
        <w:autoSpaceDE w:val="0"/>
        <w:autoSpaceDN w:val="0"/>
        <w:adjustRightInd w:val="0"/>
        <w:spacing w:line="360" w:lineRule="auto"/>
        <w:ind w:firstLine="6480" w:firstLineChars="2700"/>
        <w:jc w:val="left"/>
        <w:rPr>
          <w:rFonts w:hint="eastAsia" w:ascii="Times New Roman" w:hAnsi="Times New Roman" w:cs="宋体"/>
          <w:kern w:val="0"/>
          <w:sz w:val="24"/>
        </w:rPr>
      </w:pPr>
      <w:r>
        <w:rPr>
          <w:rFonts w:hint="eastAsia" w:ascii="Times New Roman" w:hAnsi="Times New Roman" w:cs="宋体"/>
          <w:kern w:val="0"/>
          <w:sz w:val="24"/>
        </w:rPr>
        <w:t>审定人：魏雪姣</w:t>
      </w:r>
    </w:p>
    <w:p>
      <w:pPr>
        <w:autoSpaceDE w:val="0"/>
        <w:autoSpaceDN w:val="0"/>
        <w:adjustRightInd w:val="0"/>
        <w:spacing w:line="360" w:lineRule="auto"/>
        <w:ind w:firstLine="6480" w:firstLineChars="2700"/>
        <w:jc w:val="left"/>
        <w:rPr>
          <w:rFonts w:hint="eastAsia" w:ascii="Times New Roman" w:hAnsi="Times New Roman" w:cs="宋体"/>
          <w:kern w:val="0"/>
          <w:sz w:val="24"/>
        </w:rPr>
      </w:pPr>
      <w:r>
        <w:rPr>
          <w:rFonts w:hint="eastAsia" w:ascii="Times New Roman" w:hAnsi="Times New Roman" w:cs="宋体"/>
          <w:kern w:val="0"/>
          <w:sz w:val="24"/>
        </w:rPr>
        <w:t>审批人：吴泽颖</w:t>
      </w:r>
    </w:p>
    <w:p>
      <w:pPr>
        <w:autoSpaceDE w:val="0"/>
        <w:autoSpaceDN w:val="0"/>
        <w:adjustRightInd w:val="0"/>
        <w:spacing w:line="360" w:lineRule="auto"/>
        <w:ind w:left="5880" w:leftChars="0" w:firstLine="420" w:firstLineChars="0"/>
        <w:jc w:val="left"/>
        <w:rPr>
          <w:rFonts w:hint="eastAsia" w:ascii="Times New Roman" w:hAnsi="Times New Roman" w:cs="宋体"/>
          <w:kern w:val="0"/>
          <w:sz w:val="24"/>
        </w:rPr>
      </w:pPr>
      <w:r>
        <w:rPr>
          <w:rFonts w:hint="eastAsia" w:ascii="Times New Roman" w:hAnsi="Times New Roman" w:cs="宋体"/>
          <w:kern w:val="0"/>
          <w:sz w:val="24"/>
        </w:rPr>
        <w:t>批准时间：</w:t>
      </w:r>
      <w:r>
        <w:rPr>
          <w:rFonts w:hint="eastAsia" w:ascii="Times New Roman" w:hAnsi="Times New Roman" w:cs="宋体"/>
          <w:kern w:val="0"/>
          <w:sz w:val="24"/>
          <w:lang w:val="en-US" w:eastAsia="zh-CN"/>
        </w:rPr>
        <w:t>2</w:t>
      </w:r>
      <w:r>
        <w:rPr>
          <w:rFonts w:hint="eastAsia" w:ascii="Times New Roman" w:hAnsi="Times New Roman" w:cs="宋体"/>
          <w:kern w:val="0"/>
          <w:sz w:val="24"/>
        </w:rPr>
        <w:t>02</w:t>
      </w:r>
      <w:r>
        <w:rPr>
          <w:rFonts w:hint="eastAsia" w:ascii="Times New Roman" w:hAnsi="Times New Roman" w:cs="宋体"/>
          <w:kern w:val="0"/>
          <w:sz w:val="24"/>
          <w:lang w:val="en-US" w:eastAsia="zh-CN"/>
        </w:rPr>
        <w:t>1</w:t>
      </w:r>
      <w:r>
        <w:rPr>
          <w:rFonts w:hint="eastAsia" w:ascii="Times New Roman" w:hAnsi="Times New Roman" w:cs="宋体"/>
          <w:kern w:val="0"/>
          <w:sz w:val="24"/>
        </w:rPr>
        <w:t>.9.1</w:t>
      </w:r>
    </w:p>
    <w:p>
      <w:pPr>
        <w:widowControl/>
        <w:jc w:val="left"/>
        <w:rPr>
          <w:rFonts w:ascii="Times New Roman" w:hAnsi="宋体"/>
          <w:kern w:val="0"/>
          <w:szCs w:val="21"/>
        </w:rPr>
        <w:sectPr>
          <w:footerReference r:id="rId12" w:type="first"/>
          <w:footerReference r:id="rId11" w:type="default"/>
          <w:pgSz w:w="11906" w:h="16838"/>
          <w:pgMar w:top="1440" w:right="1800" w:bottom="1440" w:left="1800" w:header="851" w:footer="992" w:gutter="0"/>
          <w:pgNumType w:fmt="decimal"/>
          <w:cols w:space="720" w:num="1"/>
          <w:docGrid w:type="lines" w:linePitch="312" w:charSpace="0"/>
        </w:sectPr>
      </w:pPr>
    </w:p>
    <w:p>
      <w:pPr>
        <w:spacing w:line="312" w:lineRule="auto"/>
        <w:jc w:val="center"/>
        <w:rPr>
          <w:b/>
          <w:bCs/>
          <w:sz w:val="30"/>
        </w:rPr>
      </w:pPr>
      <w:r>
        <w:rPr>
          <w:rFonts w:hint="eastAsia"/>
          <w:b/>
          <w:bCs/>
          <w:sz w:val="30"/>
        </w:rPr>
        <w:t>高分子化学（新创碳谷）</w:t>
      </w:r>
      <w:r>
        <w:rPr>
          <w:b/>
          <w:bCs/>
          <w:sz w:val="30"/>
        </w:rPr>
        <w:t>课程教学大纲</w:t>
      </w:r>
    </w:p>
    <w:p>
      <w:pPr>
        <w:spacing w:line="312" w:lineRule="auto"/>
        <w:jc w:val="center"/>
        <w:rPr>
          <w:b/>
          <w:bCs/>
          <w:sz w:val="30"/>
        </w:rPr>
      </w:pPr>
      <w:r>
        <w:rPr>
          <w:b/>
          <w:bCs/>
          <w:sz w:val="30"/>
        </w:rPr>
        <w:t>（</w:t>
      </w:r>
      <w:r>
        <w:rPr>
          <w:rFonts w:hint="eastAsia"/>
          <w:b/>
          <w:bCs/>
          <w:sz w:val="30"/>
        </w:rPr>
        <w:t>Polymer Chemistry</w:t>
      </w:r>
      <w:r>
        <w:rPr>
          <w:b/>
          <w:bCs/>
          <w:sz w:val="30"/>
        </w:rPr>
        <w:t>）</w:t>
      </w:r>
    </w:p>
    <w:p>
      <w:pPr>
        <w:spacing w:line="360" w:lineRule="auto"/>
        <w:ind w:firstLine="551" w:firstLineChars="196"/>
        <w:rPr>
          <w:b/>
          <w:sz w:val="28"/>
          <w:szCs w:val="28"/>
        </w:rPr>
      </w:pPr>
      <w:r>
        <w:rPr>
          <w:b/>
          <w:sz w:val="28"/>
          <w:szCs w:val="28"/>
        </w:rPr>
        <w:t>一、课程概况</w:t>
      </w:r>
    </w:p>
    <w:p>
      <w:pPr>
        <w:spacing w:line="360" w:lineRule="auto"/>
        <w:ind w:firstLine="482" w:firstLineChars="200"/>
        <w:rPr>
          <w:b/>
          <w:sz w:val="28"/>
          <w:szCs w:val="28"/>
        </w:rPr>
      </w:pPr>
      <w:r>
        <w:rPr>
          <w:b/>
          <w:bCs/>
          <w:kern w:val="0"/>
          <w:sz w:val="24"/>
        </w:rPr>
        <w:t>课程代码</w:t>
      </w:r>
      <w:r>
        <w:rPr>
          <w:b/>
          <w:kern w:val="0"/>
          <w:sz w:val="24"/>
        </w:rPr>
        <w:t>：</w:t>
      </w:r>
      <w:r>
        <w:rPr>
          <w:kern w:val="0"/>
          <w:sz w:val="24"/>
        </w:rPr>
        <w:t>2501056</w:t>
      </w:r>
    </w:p>
    <w:p>
      <w:pPr>
        <w:spacing w:line="360" w:lineRule="auto"/>
        <w:ind w:firstLine="482" w:firstLineChars="200"/>
        <w:rPr>
          <w:kern w:val="0"/>
          <w:sz w:val="24"/>
        </w:rPr>
      </w:pPr>
      <w:r>
        <w:rPr>
          <w:b/>
          <w:bCs/>
          <w:kern w:val="0"/>
          <w:sz w:val="24"/>
        </w:rPr>
        <w:t>学    分</w:t>
      </w:r>
      <w:r>
        <w:rPr>
          <w:b/>
          <w:kern w:val="0"/>
          <w:sz w:val="24"/>
        </w:rPr>
        <w:t>：</w:t>
      </w:r>
      <w:r>
        <w:rPr>
          <w:rFonts w:hint="eastAsia"/>
          <w:kern w:val="0"/>
          <w:sz w:val="24"/>
        </w:rPr>
        <w:t>2</w:t>
      </w:r>
    </w:p>
    <w:p>
      <w:pPr>
        <w:spacing w:line="360" w:lineRule="auto"/>
        <w:ind w:firstLine="482" w:firstLineChars="200"/>
        <w:rPr>
          <w:kern w:val="0"/>
          <w:sz w:val="24"/>
        </w:rPr>
      </w:pPr>
      <w:r>
        <w:rPr>
          <w:b/>
          <w:bCs/>
          <w:kern w:val="0"/>
          <w:sz w:val="24"/>
        </w:rPr>
        <w:t>学    时</w:t>
      </w:r>
      <w:r>
        <w:rPr>
          <w:b/>
          <w:kern w:val="0"/>
          <w:sz w:val="24"/>
        </w:rPr>
        <w:t>：</w:t>
      </w:r>
      <w:r>
        <w:rPr>
          <w:rFonts w:hint="eastAsia"/>
          <w:kern w:val="0"/>
          <w:sz w:val="24"/>
        </w:rPr>
        <w:t>32</w:t>
      </w:r>
    </w:p>
    <w:p>
      <w:pPr>
        <w:spacing w:line="360" w:lineRule="auto"/>
        <w:ind w:firstLine="482" w:firstLineChars="200"/>
        <w:rPr>
          <w:bCs/>
          <w:kern w:val="0"/>
          <w:sz w:val="24"/>
        </w:rPr>
      </w:pPr>
      <w:r>
        <w:rPr>
          <w:b/>
          <w:bCs/>
          <w:kern w:val="0"/>
          <w:sz w:val="24"/>
        </w:rPr>
        <w:t>先修课程</w:t>
      </w:r>
      <w:r>
        <w:rPr>
          <w:b/>
          <w:kern w:val="0"/>
          <w:sz w:val="24"/>
        </w:rPr>
        <w:t>：</w:t>
      </w:r>
      <w:r>
        <w:rPr>
          <w:rFonts w:hint="eastAsia"/>
          <w:bCs/>
          <w:kern w:val="0"/>
          <w:sz w:val="24"/>
        </w:rPr>
        <w:t>无机</w:t>
      </w:r>
      <w:r>
        <w:rPr>
          <w:sz w:val="24"/>
        </w:rPr>
        <w:t>化学、</w:t>
      </w:r>
      <w:r>
        <w:rPr>
          <w:rFonts w:hint="eastAsia"/>
          <w:sz w:val="24"/>
        </w:rPr>
        <w:t>有机化学、分析化学</w:t>
      </w:r>
      <w:r>
        <w:rPr>
          <w:sz w:val="24"/>
        </w:rPr>
        <w:t>等</w:t>
      </w:r>
    </w:p>
    <w:p>
      <w:pPr>
        <w:spacing w:line="360" w:lineRule="auto"/>
        <w:ind w:firstLine="482" w:firstLineChars="200"/>
        <w:rPr>
          <w:kern w:val="0"/>
          <w:sz w:val="24"/>
        </w:rPr>
      </w:pPr>
      <w:r>
        <w:rPr>
          <w:b/>
          <w:bCs/>
          <w:kern w:val="0"/>
          <w:sz w:val="24"/>
        </w:rPr>
        <w:t>适用专业</w:t>
      </w:r>
      <w:r>
        <w:rPr>
          <w:b/>
          <w:kern w:val="0"/>
          <w:sz w:val="24"/>
        </w:rPr>
        <w:t>：</w:t>
      </w:r>
      <w:r>
        <w:rPr>
          <w:rFonts w:hint="eastAsia"/>
          <w:kern w:val="0"/>
          <w:sz w:val="24"/>
        </w:rPr>
        <w:t>化学工程与工艺、应用化学</w:t>
      </w:r>
      <w:r>
        <w:rPr>
          <w:rFonts w:eastAsia="黑体"/>
          <w:sz w:val="24"/>
        </w:rPr>
        <w:t xml:space="preserve">  </w:t>
      </w:r>
      <w:r>
        <w:rPr>
          <w:kern w:val="0"/>
          <w:sz w:val="24"/>
        </w:rPr>
        <w:t xml:space="preserve">                          </w:t>
      </w:r>
    </w:p>
    <w:p>
      <w:pPr>
        <w:spacing w:line="360" w:lineRule="auto"/>
        <w:ind w:firstLine="482" w:firstLineChars="200"/>
        <w:rPr>
          <w:color w:val="FF0000"/>
          <w:sz w:val="24"/>
        </w:rPr>
      </w:pPr>
      <w:r>
        <w:rPr>
          <w:rFonts w:hint="eastAsia"/>
          <w:b/>
          <w:bCs/>
          <w:kern w:val="0"/>
          <w:sz w:val="24"/>
        </w:rPr>
        <w:t>建议</w:t>
      </w:r>
      <w:r>
        <w:rPr>
          <w:b/>
          <w:bCs/>
          <w:kern w:val="0"/>
          <w:sz w:val="24"/>
        </w:rPr>
        <w:t>教材</w:t>
      </w:r>
      <w:r>
        <w:rPr>
          <w:b/>
          <w:kern w:val="0"/>
          <w:sz w:val="24"/>
        </w:rPr>
        <w:t>：</w:t>
      </w:r>
      <w:r>
        <w:rPr>
          <w:sz w:val="24"/>
          <w:szCs w:val="21"/>
        </w:rPr>
        <w:t>《</w:t>
      </w:r>
      <w:r>
        <w:rPr>
          <w:rFonts w:hint="eastAsia"/>
          <w:sz w:val="24"/>
        </w:rPr>
        <w:t>高分子化学</w:t>
      </w:r>
      <w:r>
        <w:rPr>
          <w:sz w:val="24"/>
        </w:rPr>
        <w:t>》，</w:t>
      </w:r>
      <w:r>
        <w:rPr>
          <w:rFonts w:hint="eastAsia"/>
          <w:sz w:val="24"/>
        </w:rPr>
        <w:t>潘祖仁主编，化学工业出版社，2</w:t>
      </w:r>
      <w:r>
        <w:rPr>
          <w:sz w:val="24"/>
        </w:rPr>
        <w:t>0</w:t>
      </w:r>
      <w:r>
        <w:rPr>
          <w:rFonts w:hint="eastAsia"/>
          <w:sz w:val="24"/>
        </w:rPr>
        <w:t>1</w:t>
      </w:r>
      <w:r>
        <w:rPr>
          <w:sz w:val="24"/>
        </w:rPr>
        <w:t>1.5</w:t>
      </w:r>
    </w:p>
    <w:p>
      <w:pPr>
        <w:spacing w:line="360" w:lineRule="auto"/>
        <w:ind w:firstLine="482" w:firstLineChars="200"/>
        <w:rPr>
          <w:kern w:val="0"/>
          <w:sz w:val="24"/>
        </w:rPr>
      </w:pPr>
      <w:r>
        <w:rPr>
          <w:b/>
          <w:bCs/>
          <w:kern w:val="0"/>
          <w:sz w:val="24"/>
        </w:rPr>
        <w:t>课程归口：</w:t>
      </w:r>
      <w:r>
        <w:rPr>
          <w:rFonts w:hint="eastAsia"/>
          <w:bCs/>
          <w:kern w:val="0"/>
          <w:sz w:val="24"/>
        </w:rPr>
        <w:t>化工与材料学院</w:t>
      </w:r>
    </w:p>
    <w:p>
      <w:pPr>
        <w:spacing w:line="360" w:lineRule="auto"/>
        <w:ind w:firstLine="482" w:firstLineChars="200"/>
        <w:rPr>
          <w:sz w:val="24"/>
        </w:rPr>
      </w:pPr>
      <w:r>
        <w:rPr>
          <w:b/>
          <w:bCs/>
          <w:kern w:val="0"/>
          <w:sz w:val="24"/>
        </w:rPr>
        <w:t>课程的性质与任务</w:t>
      </w:r>
      <w:r>
        <w:rPr>
          <w:rFonts w:hint="eastAsia"/>
          <w:b/>
          <w:bCs/>
          <w:kern w:val="0"/>
          <w:sz w:val="24"/>
        </w:rPr>
        <w:t>：</w:t>
      </w:r>
      <w:r>
        <w:rPr>
          <w:rFonts w:hint="eastAsia"/>
          <w:sz w:val="24"/>
        </w:rPr>
        <w:t>本课程是化学工程与工艺及应用化学专业的一门专业基础课。通过本课程的学习，使学生在先修课程《无机化学》、《有机化学》、《分析化学》的基础上，选</w:t>
      </w:r>
      <w:r>
        <w:rPr>
          <w:sz w:val="24"/>
        </w:rPr>
        <w:t>修的专业基础课。本课程</w:t>
      </w:r>
      <w:r>
        <w:rPr>
          <w:rFonts w:hint="eastAsia"/>
          <w:sz w:val="24"/>
        </w:rPr>
        <w:t>任务是使学生了解和掌握各种</w:t>
      </w:r>
      <w:r>
        <w:rPr>
          <w:sz w:val="24"/>
        </w:rPr>
        <w:t>高分子</w:t>
      </w:r>
      <w:r>
        <w:rPr>
          <w:rFonts w:hint="eastAsia"/>
          <w:sz w:val="24"/>
        </w:rPr>
        <w:t>材料的种类、性能和用途以及</w:t>
      </w:r>
      <w:r>
        <w:rPr>
          <w:sz w:val="24"/>
        </w:rPr>
        <w:t>化合物的合成原理</w:t>
      </w:r>
      <w:r>
        <w:rPr>
          <w:rFonts w:hint="eastAsia"/>
          <w:sz w:val="24"/>
        </w:rPr>
        <w:t>及控制方法</w:t>
      </w:r>
      <w:r>
        <w:rPr>
          <w:sz w:val="24"/>
        </w:rPr>
        <w:t>的学科。通过本课程的学习，使学生</w:t>
      </w:r>
      <w:r>
        <w:rPr>
          <w:rFonts w:hint="eastAsia"/>
          <w:sz w:val="24"/>
        </w:rPr>
        <w:t>了解和</w:t>
      </w:r>
      <w:r>
        <w:rPr>
          <w:sz w:val="24"/>
        </w:rPr>
        <w:t>掌握高分子化合物的合成反应原理及</w:t>
      </w:r>
      <w:r>
        <w:rPr>
          <w:rFonts w:hint="eastAsia"/>
          <w:sz w:val="24"/>
        </w:rPr>
        <w:t>实施措施</w:t>
      </w:r>
      <w:r>
        <w:rPr>
          <w:sz w:val="24"/>
        </w:rPr>
        <w:t>，掌握高分子的基本概念和化学反应特征，培养</w:t>
      </w:r>
      <w:r>
        <w:rPr>
          <w:rFonts w:hint="eastAsia"/>
          <w:sz w:val="24"/>
        </w:rPr>
        <w:t>学生学习高分子材料相关学科知识</w:t>
      </w:r>
      <w:r>
        <w:rPr>
          <w:sz w:val="24"/>
        </w:rPr>
        <w:t>的能力</w:t>
      </w:r>
      <w:r>
        <w:rPr>
          <w:rFonts w:hint="eastAsia"/>
          <w:sz w:val="24"/>
        </w:rPr>
        <w:t>，为将来的工作和进一步学习打下良好的基础</w:t>
      </w:r>
      <w:r>
        <w:rPr>
          <w:sz w:val="24"/>
        </w:rPr>
        <w:t>。</w:t>
      </w:r>
    </w:p>
    <w:p>
      <w:pPr>
        <w:spacing w:line="360" w:lineRule="auto"/>
        <w:ind w:firstLine="562" w:firstLineChars="200"/>
        <w:rPr>
          <w:b/>
          <w:sz w:val="28"/>
          <w:szCs w:val="28"/>
        </w:rPr>
      </w:pPr>
      <w:r>
        <w:rPr>
          <w:rFonts w:hint="eastAsia"/>
          <w:b/>
          <w:sz w:val="28"/>
          <w:szCs w:val="28"/>
        </w:rPr>
        <w:t>二</w:t>
      </w:r>
      <w:r>
        <w:rPr>
          <w:b/>
          <w:sz w:val="28"/>
          <w:szCs w:val="28"/>
        </w:rPr>
        <w:t>、课程目标</w:t>
      </w:r>
      <w:r>
        <w:rPr>
          <w:rFonts w:hint="eastAsia"/>
          <w:b/>
          <w:sz w:val="28"/>
          <w:szCs w:val="28"/>
        </w:rPr>
        <w:t>及对毕业要求观测点的支撑</w:t>
      </w:r>
    </w:p>
    <w:tbl>
      <w:tblPr>
        <w:tblStyle w:val="1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118"/>
        <w:gridCol w:w="2292"/>
        <w:gridCol w:w="3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38" w:type="dxa"/>
            <w:noWrap/>
            <w:vAlign w:val="center"/>
          </w:tcPr>
          <w:p>
            <w:pPr>
              <w:widowControl/>
              <w:jc w:val="center"/>
              <w:rPr>
                <w:b/>
                <w:bCs/>
                <w:kern w:val="0"/>
                <w:szCs w:val="21"/>
              </w:rPr>
            </w:pPr>
            <w:r>
              <w:rPr>
                <w:b/>
                <w:bCs/>
                <w:kern w:val="0"/>
                <w:szCs w:val="21"/>
              </w:rPr>
              <w:t>序号</w:t>
            </w:r>
          </w:p>
        </w:tc>
        <w:tc>
          <w:tcPr>
            <w:tcW w:w="3118" w:type="dxa"/>
            <w:noWrap/>
            <w:vAlign w:val="center"/>
          </w:tcPr>
          <w:p>
            <w:pPr>
              <w:widowControl/>
              <w:jc w:val="center"/>
              <w:rPr>
                <w:b/>
                <w:bCs/>
                <w:kern w:val="0"/>
                <w:szCs w:val="21"/>
              </w:rPr>
            </w:pPr>
            <w:r>
              <w:rPr>
                <w:b/>
                <w:bCs/>
                <w:kern w:val="0"/>
                <w:szCs w:val="21"/>
              </w:rPr>
              <w:t>课程目标</w:t>
            </w:r>
          </w:p>
        </w:tc>
        <w:tc>
          <w:tcPr>
            <w:tcW w:w="2292" w:type="dxa"/>
            <w:noWrap/>
            <w:vAlign w:val="center"/>
          </w:tcPr>
          <w:p>
            <w:pPr>
              <w:widowControl/>
              <w:jc w:val="center"/>
              <w:rPr>
                <w:b/>
                <w:bCs/>
                <w:kern w:val="0"/>
                <w:szCs w:val="21"/>
              </w:rPr>
            </w:pPr>
            <w:r>
              <w:rPr>
                <w:b/>
                <w:bCs/>
                <w:kern w:val="0"/>
                <w:szCs w:val="21"/>
              </w:rPr>
              <w:t>支撑毕业要求观测点</w:t>
            </w:r>
          </w:p>
        </w:tc>
        <w:tc>
          <w:tcPr>
            <w:tcW w:w="3066" w:type="dxa"/>
            <w:noWrap/>
            <w:vAlign w:val="center"/>
          </w:tcPr>
          <w:p>
            <w:pPr>
              <w:widowControl/>
              <w:jc w:val="center"/>
              <w:rPr>
                <w:b/>
                <w:bCs/>
                <w:kern w:val="0"/>
                <w:szCs w:val="21"/>
              </w:rPr>
            </w:pPr>
            <w:r>
              <w:rPr>
                <w:b/>
                <w:bCs/>
                <w:kern w:val="0"/>
                <w:szCs w:val="21"/>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38" w:type="dxa"/>
            <w:noWrap/>
            <w:vAlign w:val="center"/>
          </w:tcPr>
          <w:p>
            <w:pPr>
              <w:widowControl/>
              <w:jc w:val="center"/>
              <w:rPr>
                <w:rFonts w:hint="eastAsia"/>
                <w:kern w:val="0"/>
                <w:szCs w:val="21"/>
              </w:rPr>
            </w:pPr>
            <w:r>
              <w:rPr>
                <w:rFonts w:hint="eastAsia"/>
                <w:kern w:val="0"/>
                <w:szCs w:val="21"/>
              </w:rPr>
              <w:t>1</w:t>
            </w:r>
          </w:p>
        </w:tc>
        <w:tc>
          <w:tcPr>
            <w:tcW w:w="3118" w:type="dxa"/>
            <w:noWrap/>
            <w:vAlign w:val="center"/>
          </w:tcPr>
          <w:p>
            <w:pPr>
              <w:spacing w:line="360" w:lineRule="auto"/>
              <w:jc w:val="left"/>
              <w:rPr>
                <w:rFonts w:hint="eastAsia"/>
                <w:kern w:val="0"/>
                <w:szCs w:val="21"/>
              </w:rPr>
            </w:pPr>
            <w:r>
              <w:rPr>
                <w:b/>
                <w:kern w:val="0"/>
                <w:szCs w:val="21"/>
              </w:rPr>
              <w:t>目标</w:t>
            </w:r>
            <w:r>
              <w:rPr>
                <w:rFonts w:hint="eastAsia"/>
                <w:b/>
                <w:kern w:val="0"/>
                <w:szCs w:val="21"/>
              </w:rPr>
              <w:t>1</w:t>
            </w:r>
            <w:r>
              <w:rPr>
                <w:b/>
                <w:kern w:val="0"/>
                <w:szCs w:val="21"/>
              </w:rPr>
              <w:t>：</w:t>
            </w:r>
            <w:r>
              <w:rPr>
                <w:rFonts w:hint="eastAsia"/>
                <w:sz w:val="24"/>
              </w:rPr>
              <w:t>了解和掌握高分子材料的主要种类，各类高分子材料的主要性能以及与其对应的各种应用。</w:t>
            </w:r>
          </w:p>
        </w:tc>
        <w:tc>
          <w:tcPr>
            <w:tcW w:w="2292" w:type="dxa"/>
            <w:noWrap/>
            <w:vAlign w:val="center"/>
          </w:tcPr>
          <w:p>
            <w:pPr>
              <w:widowControl/>
              <w:rPr>
                <w:rFonts w:hint="eastAsia"/>
                <w:bCs/>
                <w:szCs w:val="21"/>
              </w:rPr>
            </w:pPr>
            <w:r>
              <w:rPr>
                <w:b/>
                <w:kern w:val="0"/>
                <w:szCs w:val="21"/>
              </w:rPr>
              <w:t>观测点</w:t>
            </w:r>
            <w:r>
              <w:rPr>
                <w:rFonts w:hint="eastAsia"/>
                <w:b/>
                <w:szCs w:val="21"/>
              </w:rPr>
              <w:t>1-2</w:t>
            </w:r>
            <w:r>
              <w:rPr>
                <w:rFonts w:hint="eastAsia"/>
                <w:bCs/>
                <w:szCs w:val="21"/>
              </w:rPr>
              <w:t>：掌握化学和化工基础知识。</w:t>
            </w:r>
          </w:p>
          <w:p>
            <w:pPr>
              <w:widowControl/>
              <w:rPr>
                <w:kern w:val="0"/>
                <w:szCs w:val="21"/>
              </w:rPr>
            </w:pPr>
          </w:p>
        </w:tc>
        <w:tc>
          <w:tcPr>
            <w:tcW w:w="3066" w:type="dxa"/>
            <w:noWrap/>
            <w:vAlign w:val="center"/>
          </w:tcPr>
          <w:p>
            <w:pPr>
              <w:widowControl/>
              <w:rPr>
                <w:color w:val="000000"/>
                <w:szCs w:val="22"/>
              </w:rPr>
            </w:pPr>
            <w:r>
              <w:rPr>
                <w:b/>
                <w:color w:val="000000"/>
                <w:kern w:val="0"/>
                <w:szCs w:val="21"/>
              </w:rPr>
              <w:t>毕业要求</w:t>
            </w:r>
            <w:r>
              <w:rPr>
                <w:rFonts w:hint="eastAsia"/>
                <w:b/>
                <w:color w:val="000000"/>
                <w:kern w:val="0"/>
                <w:szCs w:val="21"/>
              </w:rPr>
              <w:t>1：</w:t>
            </w:r>
            <w:r>
              <w:rPr>
                <w:rFonts w:hint="eastAsia"/>
                <w:color w:val="000000"/>
                <w:szCs w:val="22"/>
              </w:rPr>
              <w:t>能够将数学、自然科学、工程基础和专业知识用于解决化学工程与工艺领域复杂工程问题</w:t>
            </w:r>
            <w:r>
              <w:rPr>
                <w:color w:val="000000"/>
                <w:szCs w:val="22"/>
              </w:rPr>
              <w:t>。</w:t>
            </w:r>
          </w:p>
          <w:p>
            <w:pPr>
              <w:widowControl/>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38" w:type="dxa"/>
            <w:noWrap/>
            <w:vAlign w:val="center"/>
          </w:tcPr>
          <w:p>
            <w:pPr>
              <w:widowControl/>
              <w:jc w:val="center"/>
              <w:rPr>
                <w:rFonts w:hint="eastAsia"/>
                <w:kern w:val="0"/>
                <w:szCs w:val="21"/>
              </w:rPr>
            </w:pPr>
            <w:r>
              <w:rPr>
                <w:rFonts w:hint="eastAsia"/>
                <w:kern w:val="0"/>
                <w:szCs w:val="21"/>
              </w:rPr>
              <w:t>2</w:t>
            </w:r>
          </w:p>
        </w:tc>
        <w:tc>
          <w:tcPr>
            <w:tcW w:w="3118" w:type="dxa"/>
            <w:noWrap/>
            <w:vAlign w:val="center"/>
          </w:tcPr>
          <w:p>
            <w:pPr>
              <w:widowControl/>
              <w:rPr>
                <w:rFonts w:hint="eastAsia"/>
                <w:b/>
                <w:kern w:val="0"/>
                <w:szCs w:val="21"/>
              </w:rPr>
            </w:pPr>
            <w:r>
              <w:rPr>
                <w:b/>
                <w:kern w:val="0"/>
                <w:szCs w:val="21"/>
              </w:rPr>
              <w:t>目标</w:t>
            </w:r>
            <w:r>
              <w:rPr>
                <w:rFonts w:hint="eastAsia"/>
                <w:b/>
                <w:kern w:val="0"/>
                <w:szCs w:val="21"/>
              </w:rPr>
              <w:t>2</w:t>
            </w:r>
            <w:r>
              <w:rPr>
                <w:b/>
                <w:kern w:val="0"/>
                <w:szCs w:val="21"/>
              </w:rPr>
              <w:t>：</w:t>
            </w:r>
            <w:r>
              <w:rPr>
                <w:rFonts w:hint="eastAsia"/>
                <w:kern w:val="0"/>
                <w:szCs w:val="21"/>
              </w:rPr>
              <w:t>了解和掌握各类高分子材料的制备方法，高分子化合物的合成反应原理和反应机理以及实施措施以及一些重要高分子材料的化工生产工艺流程。</w:t>
            </w:r>
          </w:p>
        </w:tc>
        <w:tc>
          <w:tcPr>
            <w:tcW w:w="2292" w:type="dxa"/>
            <w:noWrap/>
            <w:vAlign w:val="center"/>
          </w:tcPr>
          <w:p>
            <w:pPr>
              <w:widowControl/>
              <w:rPr>
                <w:rFonts w:hint="eastAsia"/>
                <w:kern w:val="0"/>
                <w:szCs w:val="21"/>
              </w:rPr>
            </w:pPr>
            <w:r>
              <w:rPr>
                <w:b/>
                <w:kern w:val="0"/>
                <w:szCs w:val="21"/>
              </w:rPr>
              <w:t>观测点</w:t>
            </w:r>
            <w:r>
              <w:rPr>
                <w:rFonts w:hint="eastAsia"/>
                <w:b/>
                <w:kern w:val="0"/>
                <w:szCs w:val="21"/>
              </w:rPr>
              <w:t>3</w:t>
            </w:r>
            <w:r>
              <w:rPr>
                <w:rFonts w:hint="eastAsia"/>
                <w:b/>
                <w:szCs w:val="21"/>
              </w:rPr>
              <w:t>-3</w:t>
            </w:r>
            <w:r>
              <w:rPr>
                <w:szCs w:val="21"/>
              </w:rPr>
              <w:t>：</w:t>
            </w:r>
            <w:r>
              <w:rPr>
                <w:rFonts w:hint="eastAsia"/>
                <w:kern w:val="0"/>
                <w:szCs w:val="21"/>
              </w:rPr>
              <w:t>能够集成单元过程进行工艺流程设计，对流程设计进一步优化，体现创新意识，考虑社会、健康、安全、法律、文化以及环境等因素。</w:t>
            </w:r>
          </w:p>
        </w:tc>
        <w:tc>
          <w:tcPr>
            <w:tcW w:w="3066" w:type="dxa"/>
            <w:noWrap/>
            <w:vAlign w:val="center"/>
          </w:tcPr>
          <w:p>
            <w:pPr>
              <w:widowControl/>
              <w:rPr>
                <w:kern w:val="0"/>
                <w:szCs w:val="21"/>
              </w:rPr>
            </w:pPr>
            <w:r>
              <w:rPr>
                <w:b/>
                <w:color w:val="000000"/>
                <w:kern w:val="0"/>
                <w:szCs w:val="21"/>
              </w:rPr>
              <w:t>毕业要求</w:t>
            </w:r>
            <w:r>
              <w:rPr>
                <w:rFonts w:hint="eastAsia"/>
                <w:b/>
                <w:color w:val="000000"/>
                <w:kern w:val="0"/>
                <w:szCs w:val="21"/>
              </w:rPr>
              <w:t>3：</w:t>
            </w:r>
            <w:r>
              <w:rPr>
                <w:color w:val="000000"/>
                <w:szCs w:val="22"/>
              </w:rPr>
              <w:t>能够设计针对化学工程与工艺领域复杂工程问题的解决方案，设计满足特定需求的系统、单元（部件）、工艺流程或技术，并能够在设计环节中体现创新意识，考虑社会、健康、安全、法律、文化以及环境等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38" w:type="dxa"/>
            <w:noWrap/>
            <w:vAlign w:val="center"/>
          </w:tcPr>
          <w:p>
            <w:pPr>
              <w:widowControl/>
              <w:jc w:val="center"/>
              <w:rPr>
                <w:rFonts w:hint="eastAsia"/>
                <w:kern w:val="0"/>
                <w:szCs w:val="21"/>
              </w:rPr>
            </w:pPr>
            <w:r>
              <w:rPr>
                <w:rFonts w:hint="eastAsia"/>
                <w:kern w:val="0"/>
                <w:szCs w:val="21"/>
              </w:rPr>
              <w:t>3</w:t>
            </w:r>
          </w:p>
        </w:tc>
        <w:tc>
          <w:tcPr>
            <w:tcW w:w="3118" w:type="dxa"/>
            <w:noWrap/>
            <w:vAlign w:val="center"/>
          </w:tcPr>
          <w:p>
            <w:pPr>
              <w:widowControl/>
              <w:rPr>
                <w:b/>
                <w:kern w:val="0"/>
                <w:szCs w:val="21"/>
              </w:rPr>
            </w:pPr>
            <w:r>
              <w:rPr>
                <w:rFonts w:hint="eastAsia"/>
                <w:b/>
                <w:kern w:val="0"/>
                <w:szCs w:val="21"/>
              </w:rPr>
              <w:t>目标3：</w:t>
            </w:r>
            <w:r>
              <w:rPr>
                <w:rFonts w:hint="eastAsia"/>
                <w:bCs/>
                <w:kern w:val="0"/>
                <w:szCs w:val="21"/>
              </w:rPr>
              <w:t>了解高分子化学与其他学科的相互渗透，以及最新的成果和发展趋势</w:t>
            </w:r>
            <w:r>
              <w:rPr>
                <w:rFonts w:hint="eastAsia"/>
                <w:b/>
                <w:kern w:val="0"/>
                <w:szCs w:val="21"/>
              </w:rPr>
              <w:t>。</w:t>
            </w:r>
          </w:p>
        </w:tc>
        <w:tc>
          <w:tcPr>
            <w:tcW w:w="2292" w:type="dxa"/>
            <w:noWrap/>
            <w:vAlign w:val="center"/>
          </w:tcPr>
          <w:p>
            <w:pPr>
              <w:widowControl/>
              <w:rPr>
                <w:bCs/>
                <w:kern w:val="0"/>
                <w:szCs w:val="21"/>
              </w:rPr>
            </w:pPr>
            <w:r>
              <w:rPr>
                <w:rFonts w:hint="eastAsia"/>
                <w:b/>
                <w:kern w:val="0"/>
                <w:szCs w:val="21"/>
              </w:rPr>
              <w:t>观测点10-1：</w:t>
            </w:r>
            <w:r>
              <w:rPr>
                <w:rFonts w:hint="eastAsia"/>
                <w:bCs/>
                <w:kern w:val="0"/>
                <w:szCs w:val="21"/>
              </w:rPr>
              <w:t>能够熟练运用化工专业术语就化工问题与业内同行和社会公众进行有效交流与沟通；</w:t>
            </w:r>
          </w:p>
          <w:p>
            <w:pPr>
              <w:widowControl/>
              <w:rPr>
                <w:rFonts w:hint="eastAsia"/>
                <w:b/>
                <w:kern w:val="0"/>
                <w:szCs w:val="21"/>
              </w:rPr>
            </w:pPr>
            <w:r>
              <w:rPr>
                <w:rFonts w:hint="eastAsia"/>
                <w:b/>
                <w:bCs/>
                <w:color w:val="000000"/>
                <w:kern w:val="0"/>
              </w:rPr>
              <w:t>观测点</w:t>
            </w:r>
            <w:r>
              <w:rPr>
                <w:b/>
                <w:bCs/>
                <w:color w:val="000000"/>
                <w:kern w:val="0"/>
              </w:rPr>
              <w:t>10-3</w:t>
            </w:r>
            <w:r>
              <w:rPr>
                <w:rFonts w:hint="eastAsia"/>
                <w:b/>
                <w:bCs/>
                <w:color w:val="000000"/>
                <w:kern w:val="0"/>
              </w:rPr>
              <w:t>：</w:t>
            </w:r>
            <w:r>
              <w:rPr>
                <w:color w:val="000000"/>
                <w:kern w:val="0"/>
              </w:rPr>
              <w:t>了解化工领域及其相关行业的国际状况，能够跟踪化工专业国际前沿</w:t>
            </w:r>
            <w:r>
              <w:rPr>
                <w:rFonts w:hint="eastAsia"/>
                <w:color w:val="000000"/>
                <w:kern w:val="0"/>
              </w:rPr>
              <w:t>。</w:t>
            </w:r>
          </w:p>
        </w:tc>
        <w:tc>
          <w:tcPr>
            <w:tcW w:w="3066" w:type="dxa"/>
            <w:noWrap/>
            <w:vAlign w:val="center"/>
          </w:tcPr>
          <w:p>
            <w:pPr>
              <w:widowControl/>
              <w:rPr>
                <w:b/>
                <w:color w:val="000000"/>
                <w:kern w:val="0"/>
                <w:szCs w:val="21"/>
              </w:rPr>
            </w:pPr>
            <w:r>
              <w:rPr>
                <w:rFonts w:hint="eastAsia"/>
                <w:b/>
                <w:color w:val="000000"/>
                <w:kern w:val="0"/>
                <w:szCs w:val="21"/>
              </w:rPr>
              <w:t>毕业要求10：</w:t>
            </w:r>
            <w:r>
              <w:rPr>
                <w:rFonts w:hint="eastAsia"/>
                <w:bCs/>
                <w:color w:val="000000"/>
                <w:kern w:val="0"/>
                <w:szCs w:val="21"/>
              </w:rPr>
              <w:t>能够就化学工程与工艺领域复杂工程问题与业界同行及社会公众进行有效沟通和交流，包括撰写报告和设计文稿、陈述发言、清晰表达或回应指令。并具备一定的国际视野，能够在跨文化背景下进行沟通和交流。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38" w:type="dxa"/>
            <w:noWrap/>
            <w:vAlign w:val="center"/>
          </w:tcPr>
          <w:p>
            <w:pPr>
              <w:widowControl/>
              <w:jc w:val="center"/>
              <w:rPr>
                <w:rFonts w:hint="eastAsia"/>
                <w:kern w:val="0"/>
                <w:szCs w:val="21"/>
              </w:rPr>
            </w:pPr>
            <w:r>
              <w:rPr>
                <w:rFonts w:hint="eastAsia"/>
                <w:kern w:val="0"/>
                <w:szCs w:val="21"/>
              </w:rPr>
              <w:t>4</w:t>
            </w:r>
          </w:p>
        </w:tc>
        <w:tc>
          <w:tcPr>
            <w:tcW w:w="3118" w:type="dxa"/>
            <w:noWrap/>
            <w:vAlign w:val="center"/>
          </w:tcPr>
          <w:p>
            <w:pPr>
              <w:widowControl/>
              <w:rPr>
                <w:b/>
                <w:kern w:val="0"/>
                <w:szCs w:val="21"/>
              </w:rPr>
            </w:pPr>
            <w:r>
              <w:rPr>
                <w:rFonts w:hint="eastAsia"/>
                <w:b/>
                <w:kern w:val="0"/>
                <w:szCs w:val="21"/>
              </w:rPr>
              <w:t>目标4：</w:t>
            </w:r>
            <w:r>
              <w:rPr>
                <w:rFonts w:hint="eastAsia"/>
                <w:bCs/>
                <w:kern w:val="0"/>
                <w:szCs w:val="21"/>
              </w:rPr>
              <w:t>发展学生智力，培养学生分析问题和解决问题的能力及创新能力，为后续课程的学习和今后从事化学化工工作打下坚实的基础</w:t>
            </w:r>
          </w:p>
        </w:tc>
        <w:tc>
          <w:tcPr>
            <w:tcW w:w="2292" w:type="dxa"/>
            <w:noWrap/>
            <w:vAlign w:val="center"/>
          </w:tcPr>
          <w:p>
            <w:pPr>
              <w:widowControl/>
              <w:rPr>
                <w:b/>
                <w:kern w:val="0"/>
                <w:szCs w:val="21"/>
              </w:rPr>
            </w:pPr>
            <w:r>
              <w:rPr>
                <w:rFonts w:hint="eastAsia"/>
                <w:b/>
                <w:bCs/>
                <w:color w:val="000000"/>
                <w:kern w:val="0"/>
              </w:rPr>
              <w:t>观测点</w:t>
            </w:r>
            <w:r>
              <w:rPr>
                <w:b/>
                <w:bCs/>
                <w:color w:val="000000"/>
                <w:kern w:val="0"/>
              </w:rPr>
              <w:t>5-2</w:t>
            </w:r>
            <w:r>
              <w:rPr>
                <w:rFonts w:hint="eastAsia"/>
                <w:b/>
                <w:bCs/>
                <w:color w:val="000000"/>
                <w:kern w:val="0"/>
              </w:rPr>
              <w:t>：</w:t>
            </w:r>
            <w:r>
              <w:rPr>
                <w:color w:val="000000"/>
                <w:kern w:val="0"/>
                <w:szCs w:val="21"/>
              </w:rPr>
              <w:t>能够针对化工产品开发、化工单元设计、化工过程设计等复 杂化工问题，选用合适的现代仪器、信息技术工具、工程工具和模拟软件，进行分析、计算与设计</w:t>
            </w:r>
          </w:p>
        </w:tc>
        <w:tc>
          <w:tcPr>
            <w:tcW w:w="3066" w:type="dxa"/>
            <w:noWrap/>
            <w:vAlign w:val="center"/>
          </w:tcPr>
          <w:p>
            <w:pPr>
              <w:widowControl/>
              <w:rPr>
                <w:b/>
                <w:color w:val="000000"/>
                <w:kern w:val="0"/>
                <w:szCs w:val="21"/>
              </w:rPr>
            </w:pPr>
            <w:r>
              <w:rPr>
                <w:b/>
                <w:bCs/>
                <w:color w:val="000000"/>
                <w:szCs w:val="22"/>
              </w:rPr>
              <w:t>毕业要求5：</w:t>
            </w:r>
            <w:r>
              <w:rPr>
                <w:color w:val="000000"/>
                <w:szCs w:val="22"/>
              </w:rPr>
              <w:t>使用现代工具：能够针对</w:t>
            </w:r>
            <w:r>
              <w:rPr>
                <w:szCs w:val="21"/>
              </w:rPr>
              <w:t>化学工程与工艺领域</w:t>
            </w:r>
            <w:r>
              <w:rPr>
                <w:color w:val="000000"/>
                <w:szCs w:val="21"/>
              </w:rPr>
              <w:t>复杂工</w:t>
            </w:r>
            <w:r>
              <w:rPr>
                <w:color w:val="000000"/>
                <w:szCs w:val="22"/>
              </w:rPr>
              <w:t>程问题，开发、选择与使用恰当的技术、资源、现代工程工具和信息技术工具，包括对复杂工程问题的预测与模拟，并能够理解其局限性。</w:t>
            </w:r>
          </w:p>
        </w:tc>
      </w:tr>
    </w:tbl>
    <w:p>
      <w:pPr>
        <w:numPr>
          <w:ilvl w:val="0"/>
          <w:numId w:val="4"/>
        </w:numPr>
        <w:spacing w:before="312" w:beforeLines="100" w:line="360" w:lineRule="auto"/>
        <w:ind w:firstLine="562" w:firstLineChars="200"/>
        <w:rPr>
          <w:b/>
          <w:sz w:val="28"/>
          <w:szCs w:val="28"/>
        </w:rPr>
      </w:pPr>
      <w:r>
        <w:rPr>
          <w:b/>
          <w:sz w:val="28"/>
          <w:szCs w:val="28"/>
        </w:rPr>
        <w:t>课程内容及要求</w:t>
      </w:r>
    </w:p>
    <w:tbl>
      <w:tblPr>
        <w:tblStyle w:val="10"/>
        <w:tblW w:w="9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2632"/>
        <w:gridCol w:w="1134"/>
        <w:gridCol w:w="2028"/>
        <w:gridCol w:w="699"/>
        <w:gridCol w:w="975"/>
        <w:gridCol w:w="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vAlign w:val="center"/>
          </w:tcPr>
          <w:p>
            <w:pPr>
              <w:jc w:val="center"/>
              <w:rPr>
                <w:b/>
                <w:bCs/>
                <w:szCs w:val="21"/>
              </w:rPr>
            </w:pPr>
            <w:r>
              <w:rPr>
                <w:b/>
                <w:bCs/>
                <w:szCs w:val="21"/>
              </w:rPr>
              <w:t>序号</w:t>
            </w:r>
          </w:p>
        </w:tc>
        <w:tc>
          <w:tcPr>
            <w:tcW w:w="2632" w:type="dxa"/>
            <w:vAlign w:val="center"/>
          </w:tcPr>
          <w:p>
            <w:pPr>
              <w:jc w:val="center"/>
              <w:rPr>
                <w:b/>
                <w:bCs/>
                <w:szCs w:val="21"/>
              </w:rPr>
            </w:pPr>
            <w:r>
              <w:rPr>
                <w:b/>
                <w:bCs/>
                <w:szCs w:val="21"/>
              </w:rPr>
              <w:t>教学内容</w:t>
            </w:r>
          </w:p>
        </w:tc>
        <w:tc>
          <w:tcPr>
            <w:tcW w:w="1134" w:type="dxa"/>
            <w:vAlign w:val="center"/>
          </w:tcPr>
          <w:p>
            <w:pPr>
              <w:jc w:val="center"/>
              <w:rPr>
                <w:b/>
                <w:bCs/>
                <w:szCs w:val="21"/>
              </w:rPr>
            </w:pPr>
            <w:r>
              <w:rPr>
                <w:b/>
                <w:bCs/>
                <w:szCs w:val="21"/>
              </w:rPr>
              <w:t>思政元素</w:t>
            </w:r>
          </w:p>
        </w:tc>
        <w:tc>
          <w:tcPr>
            <w:tcW w:w="2028" w:type="dxa"/>
            <w:vAlign w:val="center"/>
          </w:tcPr>
          <w:p>
            <w:pPr>
              <w:jc w:val="center"/>
              <w:rPr>
                <w:b/>
                <w:bCs/>
                <w:szCs w:val="21"/>
              </w:rPr>
            </w:pPr>
            <w:r>
              <w:rPr>
                <w:b/>
                <w:bCs/>
                <w:szCs w:val="21"/>
              </w:rPr>
              <w:t>预期学习成果</w:t>
            </w:r>
          </w:p>
        </w:tc>
        <w:tc>
          <w:tcPr>
            <w:tcW w:w="699" w:type="dxa"/>
            <w:vAlign w:val="center"/>
          </w:tcPr>
          <w:p>
            <w:pPr>
              <w:jc w:val="center"/>
              <w:rPr>
                <w:b/>
                <w:bCs/>
                <w:szCs w:val="21"/>
              </w:rPr>
            </w:pPr>
            <w:r>
              <w:rPr>
                <w:b/>
                <w:bCs/>
                <w:szCs w:val="21"/>
              </w:rPr>
              <w:t>教学学时</w:t>
            </w:r>
          </w:p>
        </w:tc>
        <w:tc>
          <w:tcPr>
            <w:tcW w:w="975" w:type="dxa"/>
            <w:vAlign w:val="center"/>
          </w:tcPr>
          <w:p>
            <w:pPr>
              <w:jc w:val="center"/>
              <w:rPr>
                <w:b/>
                <w:bCs/>
                <w:szCs w:val="21"/>
              </w:rPr>
            </w:pPr>
            <w:r>
              <w:rPr>
                <w:b/>
                <w:bCs/>
                <w:szCs w:val="21"/>
              </w:rPr>
              <w:t>教学方式</w:t>
            </w:r>
          </w:p>
        </w:tc>
        <w:tc>
          <w:tcPr>
            <w:tcW w:w="925" w:type="dxa"/>
            <w:vAlign w:val="center"/>
          </w:tcPr>
          <w:p>
            <w:pPr>
              <w:jc w:val="center"/>
              <w:rPr>
                <w:b/>
                <w:bCs/>
                <w:szCs w:val="21"/>
              </w:rPr>
            </w:pPr>
            <w:r>
              <w:rPr>
                <w:b/>
                <w:bCs/>
                <w:szCs w:val="21"/>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vAlign w:val="center"/>
          </w:tcPr>
          <w:p>
            <w:pPr>
              <w:jc w:val="center"/>
              <w:rPr>
                <w:szCs w:val="21"/>
              </w:rPr>
            </w:pPr>
            <w:r>
              <w:rPr>
                <w:szCs w:val="21"/>
              </w:rPr>
              <w:t>1</w:t>
            </w:r>
          </w:p>
        </w:tc>
        <w:tc>
          <w:tcPr>
            <w:tcW w:w="2632" w:type="dxa"/>
            <w:vAlign w:val="center"/>
          </w:tcPr>
          <w:p>
            <w:pPr>
              <w:rPr>
                <w:b/>
                <w:kern w:val="0"/>
                <w:szCs w:val="21"/>
              </w:rPr>
            </w:pPr>
            <w:r>
              <w:rPr>
                <w:rFonts w:hint="eastAsia"/>
                <w:b/>
                <w:kern w:val="0"/>
                <w:szCs w:val="21"/>
              </w:rPr>
              <w:t>绪论：</w:t>
            </w:r>
          </w:p>
          <w:p>
            <w:pPr>
              <w:rPr>
                <w:kern w:val="0"/>
                <w:szCs w:val="21"/>
              </w:rPr>
            </w:pPr>
            <w:r>
              <w:rPr>
                <w:kern w:val="0"/>
                <w:szCs w:val="21"/>
              </w:rPr>
              <w:t>（1） 高分子</w:t>
            </w:r>
            <w:r>
              <w:rPr>
                <w:rFonts w:hint="eastAsia"/>
                <w:kern w:val="0"/>
                <w:szCs w:val="21"/>
              </w:rPr>
              <w:t>的基本概念</w:t>
            </w:r>
          </w:p>
          <w:p>
            <w:pPr>
              <w:rPr>
                <w:kern w:val="0"/>
                <w:szCs w:val="21"/>
              </w:rPr>
            </w:pPr>
            <w:r>
              <w:rPr>
                <w:kern w:val="0"/>
                <w:szCs w:val="21"/>
              </w:rPr>
              <w:t>（2）</w:t>
            </w:r>
            <w:r>
              <w:rPr>
                <w:rFonts w:hint="eastAsia"/>
                <w:kern w:val="0"/>
                <w:szCs w:val="21"/>
              </w:rPr>
              <w:t>聚合物的分类和命名</w:t>
            </w:r>
          </w:p>
          <w:p>
            <w:pPr>
              <w:rPr>
                <w:kern w:val="0"/>
                <w:szCs w:val="21"/>
              </w:rPr>
            </w:pPr>
            <w:r>
              <w:rPr>
                <w:rFonts w:hint="eastAsia"/>
                <w:kern w:val="0"/>
                <w:szCs w:val="21"/>
              </w:rPr>
              <w:t>（3）聚合反应</w:t>
            </w:r>
          </w:p>
          <w:p>
            <w:pPr>
              <w:rPr>
                <w:kern w:val="0"/>
                <w:szCs w:val="21"/>
              </w:rPr>
            </w:pPr>
            <w:r>
              <w:rPr>
                <w:rFonts w:hint="eastAsia"/>
                <w:kern w:val="0"/>
                <w:szCs w:val="21"/>
              </w:rPr>
              <w:t>（4）分子量及其分布</w:t>
            </w:r>
          </w:p>
          <w:p>
            <w:pPr>
              <w:rPr>
                <w:kern w:val="0"/>
                <w:szCs w:val="21"/>
              </w:rPr>
            </w:pPr>
            <w:r>
              <w:rPr>
                <w:rFonts w:hint="eastAsia"/>
                <w:kern w:val="0"/>
                <w:szCs w:val="21"/>
              </w:rPr>
              <w:t>（5）大分子微结构</w:t>
            </w:r>
          </w:p>
          <w:p>
            <w:pPr>
              <w:rPr>
                <w:kern w:val="0"/>
                <w:szCs w:val="21"/>
              </w:rPr>
            </w:pPr>
            <w:r>
              <w:rPr>
                <w:rFonts w:hint="eastAsia"/>
                <w:kern w:val="0"/>
                <w:szCs w:val="21"/>
              </w:rPr>
              <w:t>（</w:t>
            </w:r>
            <w:r>
              <w:rPr>
                <w:kern w:val="0"/>
                <w:szCs w:val="21"/>
              </w:rPr>
              <w:t>6</w:t>
            </w:r>
            <w:r>
              <w:rPr>
                <w:rFonts w:hint="eastAsia"/>
                <w:kern w:val="0"/>
                <w:szCs w:val="21"/>
              </w:rPr>
              <w:t>）线形、支链形和体型大分子</w:t>
            </w:r>
          </w:p>
          <w:p>
            <w:pPr>
              <w:rPr>
                <w:kern w:val="0"/>
                <w:szCs w:val="21"/>
              </w:rPr>
            </w:pPr>
            <w:r>
              <w:rPr>
                <w:rFonts w:hint="eastAsia"/>
                <w:kern w:val="0"/>
                <w:szCs w:val="21"/>
              </w:rPr>
              <w:t>（7）凝聚态和热转变</w:t>
            </w:r>
          </w:p>
          <w:p>
            <w:pPr>
              <w:rPr>
                <w:kern w:val="0"/>
                <w:szCs w:val="21"/>
              </w:rPr>
            </w:pPr>
            <w:r>
              <w:rPr>
                <w:rFonts w:hint="eastAsia"/>
                <w:kern w:val="0"/>
                <w:szCs w:val="21"/>
              </w:rPr>
              <w:t>（8）高分子材料和力学性能</w:t>
            </w:r>
          </w:p>
          <w:p>
            <w:pPr>
              <w:rPr>
                <w:kern w:val="0"/>
                <w:szCs w:val="21"/>
              </w:rPr>
            </w:pPr>
            <w:r>
              <w:rPr>
                <w:rFonts w:hint="eastAsia"/>
                <w:kern w:val="0"/>
                <w:szCs w:val="21"/>
              </w:rPr>
              <w:t>（9）高分子化学简史</w:t>
            </w:r>
          </w:p>
          <w:p>
            <w:pPr>
              <w:rPr>
                <w:kern w:val="0"/>
                <w:szCs w:val="21"/>
              </w:rPr>
            </w:pPr>
          </w:p>
          <w:p>
            <w:pPr>
              <w:rPr>
                <w:kern w:val="0"/>
                <w:szCs w:val="21"/>
              </w:rPr>
            </w:pPr>
            <w:r>
              <w:rPr>
                <w:b/>
                <w:kern w:val="0"/>
                <w:szCs w:val="21"/>
              </w:rPr>
              <w:t>重点和难点：</w:t>
            </w:r>
            <w:r>
              <w:rPr>
                <w:rFonts w:hint="eastAsia"/>
                <w:kern w:val="0"/>
                <w:szCs w:val="21"/>
              </w:rPr>
              <w:t>高分子化合物的分类及命名原则；聚合物的平均分子量、分子量分布、大分子微结构等基本概念。</w:t>
            </w:r>
          </w:p>
          <w:p>
            <w:pPr>
              <w:rPr>
                <w:rFonts w:hint="eastAsia"/>
                <w:kern w:val="0"/>
                <w:szCs w:val="21"/>
              </w:rPr>
            </w:pPr>
          </w:p>
          <w:p>
            <w:pPr>
              <w:rPr>
                <w:kern w:val="0"/>
                <w:szCs w:val="21"/>
              </w:rPr>
            </w:pPr>
          </w:p>
        </w:tc>
        <w:tc>
          <w:tcPr>
            <w:tcW w:w="1134" w:type="dxa"/>
            <w:vAlign w:val="center"/>
          </w:tcPr>
          <w:p>
            <w:pPr>
              <w:autoSpaceDE w:val="0"/>
              <w:autoSpaceDN w:val="0"/>
              <w:adjustRightInd w:val="0"/>
              <w:rPr>
                <w:kern w:val="0"/>
                <w:szCs w:val="21"/>
              </w:rPr>
            </w:pPr>
            <w:r>
              <w:rPr>
                <w:rFonts w:hint="eastAsia"/>
                <w:kern w:val="0"/>
                <w:szCs w:val="21"/>
              </w:rPr>
              <w:t>结合高分子行业发展现状，讲解我国在该领域取得的成就和主要贡献科学家，激发学生的民族自豪感和爱国情怀。</w:t>
            </w:r>
          </w:p>
        </w:tc>
        <w:tc>
          <w:tcPr>
            <w:tcW w:w="2028" w:type="dxa"/>
            <w:vAlign w:val="center"/>
          </w:tcPr>
          <w:p>
            <w:pPr>
              <w:autoSpaceDE w:val="0"/>
              <w:autoSpaceDN w:val="0"/>
              <w:adjustRightInd w:val="0"/>
              <w:rPr>
                <w:kern w:val="0"/>
                <w:szCs w:val="21"/>
              </w:rPr>
            </w:pPr>
            <w:r>
              <w:rPr>
                <w:kern w:val="0"/>
                <w:szCs w:val="21"/>
              </w:rPr>
              <w:t>（1）</w:t>
            </w:r>
            <w:r>
              <w:rPr>
                <w:rFonts w:hint="eastAsia"/>
                <w:kern w:val="0"/>
                <w:szCs w:val="21"/>
              </w:rPr>
              <w:t>掌握高分子化合物的概念、分类及命名原则；掌握聚合物的平均分子量、分子量分布、大分子微结构的能基本概念。</w:t>
            </w:r>
          </w:p>
          <w:p>
            <w:pPr>
              <w:autoSpaceDE w:val="0"/>
              <w:autoSpaceDN w:val="0"/>
              <w:adjustRightInd w:val="0"/>
              <w:rPr>
                <w:kern w:val="0"/>
                <w:szCs w:val="21"/>
              </w:rPr>
            </w:pPr>
            <w:r>
              <w:rPr>
                <w:rFonts w:hint="eastAsia"/>
                <w:kern w:val="0"/>
                <w:szCs w:val="21"/>
              </w:rPr>
              <w:t>（2）了解聚合物的物理状态和主要性能，了解高分子科学及其工业发展历史和前景。</w:t>
            </w:r>
          </w:p>
          <w:p>
            <w:pPr>
              <w:autoSpaceDE w:val="0"/>
              <w:autoSpaceDN w:val="0"/>
              <w:adjustRightInd w:val="0"/>
              <w:rPr>
                <w:kern w:val="0"/>
                <w:szCs w:val="21"/>
              </w:rPr>
            </w:pPr>
          </w:p>
        </w:tc>
        <w:tc>
          <w:tcPr>
            <w:tcW w:w="699" w:type="dxa"/>
            <w:vAlign w:val="center"/>
          </w:tcPr>
          <w:p>
            <w:pPr>
              <w:jc w:val="center"/>
              <w:rPr>
                <w:rFonts w:hint="eastAsia"/>
                <w:szCs w:val="21"/>
              </w:rPr>
            </w:pPr>
            <w:r>
              <w:rPr>
                <w:rFonts w:hint="eastAsia"/>
                <w:szCs w:val="21"/>
              </w:rPr>
              <w:t>5</w:t>
            </w:r>
          </w:p>
        </w:tc>
        <w:tc>
          <w:tcPr>
            <w:tcW w:w="975" w:type="dxa"/>
            <w:vAlign w:val="center"/>
          </w:tcPr>
          <w:p>
            <w:pPr>
              <w:rPr>
                <w:szCs w:val="21"/>
              </w:rPr>
            </w:pPr>
            <w:r>
              <w:rPr>
                <w:szCs w:val="21"/>
              </w:rPr>
              <w:t>讲授/讨论/实例教学等</w:t>
            </w:r>
          </w:p>
        </w:tc>
        <w:tc>
          <w:tcPr>
            <w:tcW w:w="925" w:type="dxa"/>
            <w:vAlign w:val="center"/>
          </w:tcPr>
          <w:p>
            <w:pPr>
              <w:jc w:val="center"/>
              <w:rPr>
                <w:szCs w:val="21"/>
              </w:rPr>
            </w:pPr>
            <w:r>
              <w:rPr>
                <w:b/>
                <w:kern w:val="0"/>
                <w:szCs w:val="21"/>
              </w:rPr>
              <w:t>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vAlign w:val="center"/>
          </w:tcPr>
          <w:p>
            <w:pPr>
              <w:jc w:val="center"/>
              <w:rPr>
                <w:szCs w:val="21"/>
              </w:rPr>
            </w:pPr>
            <w:r>
              <w:rPr>
                <w:szCs w:val="21"/>
              </w:rPr>
              <w:t>2</w:t>
            </w:r>
          </w:p>
        </w:tc>
        <w:tc>
          <w:tcPr>
            <w:tcW w:w="2632" w:type="dxa"/>
            <w:vAlign w:val="center"/>
          </w:tcPr>
          <w:p>
            <w:pPr>
              <w:rPr>
                <w:b/>
                <w:kern w:val="0"/>
                <w:szCs w:val="21"/>
              </w:rPr>
            </w:pPr>
            <w:r>
              <w:rPr>
                <w:rFonts w:hint="eastAsia"/>
                <w:b/>
                <w:kern w:val="0"/>
                <w:szCs w:val="21"/>
              </w:rPr>
              <w:t>逐步聚合：</w:t>
            </w:r>
          </w:p>
          <w:p>
            <w:pPr>
              <w:rPr>
                <w:kern w:val="0"/>
                <w:szCs w:val="21"/>
              </w:rPr>
            </w:pPr>
            <w:r>
              <w:rPr>
                <w:kern w:val="0"/>
                <w:szCs w:val="21"/>
              </w:rPr>
              <w:t>（1）</w:t>
            </w:r>
            <w:r>
              <w:rPr>
                <w:rFonts w:hint="eastAsia"/>
                <w:kern w:val="0"/>
                <w:szCs w:val="21"/>
              </w:rPr>
              <w:t>引言</w:t>
            </w:r>
          </w:p>
          <w:p>
            <w:pPr>
              <w:rPr>
                <w:kern w:val="0"/>
                <w:szCs w:val="21"/>
              </w:rPr>
            </w:pPr>
            <w:r>
              <w:rPr>
                <w:kern w:val="0"/>
                <w:szCs w:val="21"/>
              </w:rPr>
              <w:t>（2）</w:t>
            </w:r>
            <w:r>
              <w:rPr>
                <w:rFonts w:hint="eastAsia"/>
                <w:kern w:val="0"/>
                <w:szCs w:val="21"/>
              </w:rPr>
              <w:t>缩聚反应</w:t>
            </w:r>
          </w:p>
          <w:p>
            <w:pPr>
              <w:rPr>
                <w:kern w:val="0"/>
                <w:szCs w:val="21"/>
              </w:rPr>
            </w:pPr>
            <w:r>
              <w:rPr>
                <w:kern w:val="0"/>
                <w:szCs w:val="21"/>
              </w:rPr>
              <w:t>（3）</w:t>
            </w:r>
            <w:r>
              <w:rPr>
                <w:rFonts w:hint="eastAsia"/>
                <w:kern w:val="0"/>
                <w:szCs w:val="21"/>
              </w:rPr>
              <w:t>线形缩聚反应机理</w:t>
            </w:r>
          </w:p>
          <w:p>
            <w:pPr>
              <w:rPr>
                <w:kern w:val="0"/>
                <w:szCs w:val="21"/>
              </w:rPr>
            </w:pPr>
            <w:r>
              <w:rPr>
                <w:kern w:val="0"/>
                <w:szCs w:val="21"/>
              </w:rPr>
              <w:t>（4）</w:t>
            </w:r>
            <w:r>
              <w:rPr>
                <w:rFonts w:hint="eastAsia"/>
                <w:kern w:val="0"/>
                <w:szCs w:val="21"/>
              </w:rPr>
              <w:t>线形缩聚动力学</w:t>
            </w:r>
          </w:p>
          <w:p>
            <w:pPr>
              <w:rPr>
                <w:kern w:val="0"/>
                <w:szCs w:val="21"/>
              </w:rPr>
            </w:pPr>
            <w:r>
              <w:rPr>
                <w:kern w:val="0"/>
                <w:szCs w:val="21"/>
              </w:rPr>
              <w:t>（5）</w:t>
            </w:r>
            <w:r>
              <w:rPr>
                <w:rFonts w:hint="eastAsia"/>
                <w:kern w:val="0"/>
                <w:szCs w:val="21"/>
              </w:rPr>
              <w:t>线形缩聚聚合度</w:t>
            </w:r>
          </w:p>
          <w:p>
            <w:pPr>
              <w:rPr>
                <w:kern w:val="0"/>
                <w:szCs w:val="21"/>
              </w:rPr>
            </w:pPr>
            <w:r>
              <w:rPr>
                <w:kern w:val="0"/>
                <w:szCs w:val="21"/>
              </w:rPr>
              <w:t>（6）</w:t>
            </w:r>
            <w:r>
              <w:rPr>
                <w:rFonts w:hint="eastAsia"/>
                <w:kern w:val="0"/>
                <w:szCs w:val="21"/>
              </w:rPr>
              <w:t>线形缩聚物的聚合物分布</w:t>
            </w:r>
          </w:p>
          <w:p>
            <w:pPr>
              <w:rPr>
                <w:kern w:val="0"/>
                <w:szCs w:val="21"/>
              </w:rPr>
            </w:pPr>
            <w:r>
              <w:rPr>
                <w:kern w:val="0"/>
                <w:szCs w:val="21"/>
              </w:rPr>
              <w:t>（7）</w:t>
            </w:r>
            <w:r>
              <w:rPr>
                <w:rFonts w:hint="eastAsia"/>
                <w:kern w:val="0"/>
                <w:szCs w:val="21"/>
              </w:rPr>
              <w:t>体形缩聚和凝胶化</w:t>
            </w:r>
          </w:p>
          <w:p>
            <w:pPr>
              <w:rPr>
                <w:kern w:val="0"/>
                <w:szCs w:val="21"/>
              </w:rPr>
            </w:pPr>
            <w:r>
              <w:rPr>
                <w:kern w:val="0"/>
                <w:szCs w:val="21"/>
              </w:rPr>
              <w:t>（8）</w:t>
            </w:r>
            <w:r>
              <w:rPr>
                <w:rFonts w:hint="eastAsia"/>
                <w:kern w:val="0"/>
                <w:szCs w:val="21"/>
              </w:rPr>
              <w:t>缩聚和逐步聚合的实施方法</w:t>
            </w:r>
          </w:p>
          <w:p>
            <w:pPr>
              <w:rPr>
                <w:kern w:val="0"/>
                <w:szCs w:val="21"/>
              </w:rPr>
            </w:pPr>
            <w:r>
              <w:rPr>
                <w:kern w:val="0"/>
                <w:szCs w:val="21"/>
              </w:rPr>
              <w:t>（9）</w:t>
            </w:r>
            <w:r>
              <w:rPr>
                <w:rFonts w:hint="eastAsia"/>
                <w:kern w:val="0"/>
                <w:szCs w:val="21"/>
              </w:rPr>
              <w:t>重要缩聚物和其他逐步聚合物（自学）</w:t>
            </w:r>
          </w:p>
          <w:p>
            <w:pPr>
              <w:rPr>
                <w:kern w:val="0"/>
                <w:szCs w:val="21"/>
              </w:rPr>
            </w:pPr>
          </w:p>
          <w:p>
            <w:pPr>
              <w:rPr>
                <w:kern w:val="0"/>
                <w:szCs w:val="21"/>
              </w:rPr>
            </w:pPr>
            <w:r>
              <w:rPr>
                <w:b/>
                <w:kern w:val="0"/>
                <w:szCs w:val="21"/>
              </w:rPr>
              <w:t>重点和难点：</w:t>
            </w:r>
            <w:r>
              <w:rPr>
                <w:rFonts w:hint="eastAsia"/>
                <w:kern w:val="0"/>
                <w:szCs w:val="21"/>
              </w:rPr>
              <w:t>逐步聚合反应特点，反应程度、官能度，线形缩聚反应的机理与动力学，线形缩聚中影响聚合度的因素及控制聚合度的方法，重要线形逐步聚合物的聚合反应方程，无规预聚物和结构预聚物，体形缩聚中的凝胶点的预测。</w:t>
            </w:r>
          </w:p>
        </w:tc>
        <w:tc>
          <w:tcPr>
            <w:tcW w:w="1134" w:type="dxa"/>
            <w:vAlign w:val="center"/>
          </w:tcPr>
          <w:p>
            <w:pPr>
              <w:rPr>
                <w:szCs w:val="21"/>
              </w:rPr>
            </w:pPr>
            <w:r>
              <w:rPr>
                <w:rFonts w:hint="eastAsia"/>
                <w:szCs w:val="21"/>
              </w:rPr>
              <w:t>聚合反应选择需安全可靠、结合国情、因时因地制宜。引导学生遵守国家法律法规进行规范设计，弘扬社会主义核心价值观。</w:t>
            </w:r>
          </w:p>
        </w:tc>
        <w:tc>
          <w:tcPr>
            <w:tcW w:w="2028" w:type="dxa"/>
            <w:vAlign w:val="center"/>
          </w:tcPr>
          <w:p>
            <w:pPr>
              <w:rPr>
                <w:kern w:val="0"/>
                <w:szCs w:val="21"/>
              </w:rPr>
            </w:pPr>
            <w:r>
              <w:rPr>
                <w:kern w:val="0"/>
                <w:szCs w:val="21"/>
              </w:rPr>
              <w:t>（1）掌握</w:t>
            </w:r>
            <w:r>
              <w:rPr>
                <w:rFonts w:hint="eastAsia"/>
                <w:kern w:val="0"/>
                <w:szCs w:val="21"/>
              </w:rPr>
              <w:t>逐步聚合反应特点，掌握反应程度、官能度、线形缩聚、体形缩聚等基本概念，掌握线形缩聚反应的机理与动力学，线形缩聚中影响聚合度的因素及控制聚合度的方法，重要线形逐步聚合物的聚合反应方程，无规预聚物和结构预聚物，体形缩聚中的凝胶点的预测</w:t>
            </w:r>
            <w:r>
              <w:rPr>
                <w:kern w:val="0"/>
                <w:szCs w:val="21"/>
              </w:rPr>
              <w:t>。</w:t>
            </w:r>
          </w:p>
          <w:p>
            <w:pPr>
              <w:rPr>
                <w:kern w:val="0"/>
                <w:szCs w:val="21"/>
              </w:rPr>
            </w:pPr>
            <w:r>
              <w:rPr>
                <w:kern w:val="0"/>
                <w:szCs w:val="21"/>
              </w:rPr>
              <w:t>（2）了解</w:t>
            </w:r>
            <w:r>
              <w:rPr>
                <w:rFonts w:hint="eastAsia"/>
                <w:kern w:val="0"/>
                <w:szCs w:val="21"/>
              </w:rPr>
              <w:t>逐步聚合的实施方法</w:t>
            </w:r>
            <w:r>
              <w:rPr>
                <w:kern w:val="0"/>
                <w:szCs w:val="21"/>
              </w:rPr>
              <w:t>。</w:t>
            </w:r>
          </w:p>
          <w:p>
            <w:pPr>
              <w:rPr>
                <w:szCs w:val="21"/>
              </w:rPr>
            </w:pPr>
          </w:p>
        </w:tc>
        <w:tc>
          <w:tcPr>
            <w:tcW w:w="699" w:type="dxa"/>
            <w:vAlign w:val="center"/>
          </w:tcPr>
          <w:p>
            <w:pPr>
              <w:jc w:val="center"/>
              <w:rPr>
                <w:szCs w:val="21"/>
              </w:rPr>
            </w:pPr>
            <w:r>
              <w:rPr>
                <w:rFonts w:hint="eastAsia"/>
                <w:szCs w:val="21"/>
              </w:rPr>
              <w:t>5</w:t>
            </w:r>
          </w:p>
        </w:tc>
        <w:tc>
          <w:tcPr>
            <w:tcW w:w="975" w:type="dxa"/>
            <w:vAlign w:val="center"/>
          </w:tcPr>
          <w:p>
            <w:pPr>
              <w:rPr>
                <w:szCs w:val="21"/>
              </w:rPr>
            </w:pPr>
            <w:r>
              <w:rPr>
                <w:szCs w:val="21"/>
              </w:rPr>
              <w:t>讲授/讨论/实例教学等</w:t>
            </w:r>
          </w:p>
        </w:tc>
        <w:tc>
          <w:tcPr>
            <w:tcW w:w="925" w:type="dxa"/>
            <w:vAlign w:val="center"/>
          </w:tcPr>
          <w:p>
            <w:pPr>
              <w:jc w:val="center"/>
              <w:rPr>
                <w:rFonts w:hint="eastAsia"/>
                <w:kern w:val="0"/>
                <w:szCs w:val="21"/>
              </w:rPr>
            </w:pPr>
            <w:r>
              <w:rPr>
                <w:b/>
                <w:kern w:val="0"/>
                <w:szCs w:val="21"/>
              </w:rPr>
              <w:t>目标</w:t>
            </w:r>
            <w:r>
              <w:rPr>
                <w:rFonts w:hint="eastAsia"/>
                <w:b/>
                <w:kern w:val="0"/>
                <w:szCs w:val="21"/>
              </w:rPr>
              <w:t>2</w:t>
            </w:r>
          </w:p>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vAlign w:val="center"/>
          </w:tcPr>
          <w:p>
            <w:pPr>
              <w:jc w:val="center"/>
              <w:rPr>
                <w:szCs w:val="21"/>
              </w:rPr>
            </w:pPr>
            <w:r>
              <w:rPr>
                <w:szCs w:val="21"/>
              </w:rPr>
              <w:t>3</w:t>
            </w:r>
          </w:p>
        </w:tc>
        <w:tc>
          <w:tcPr>
            <w:tcW w:w="2632" w:type="dxa"/>
            <w:vAlign w:val="center"/>
          </w:tcPr>
          <w:p>
            <w:pPr>
              <w:rPr>
                <w:b/>
                <w:kern w:val="0"/>
                <w:szCs w:val="21"/>
              </w:rPr>
            </w:pPr>
            <w:r>
              <w:rPr>
                <w:rFonts w:hint="eastAsia"/>
                <w:b/>
                <w:kern w:val="0"/>
                <w:szCs w:val="21"/>
              </w:rPr>
              <w:t>自由基聚合：</w:t>
            </w:r>
          </w:p>
          <w:p>
            <w:pPr>
              <w:rPr>
                <w:kern w:val="0"/>
                <w:szCs w:val="21"/>
              </w:rPr>
            </w:pPr>
            <w:r>
              <w:rPr>
                <w:rFonts w:hint="eastAsia"/>
                <w:kern w:val="0"/>
                <w:szCs w:val="21"/>
              </w:rPr>
              <w:t>（1）</w:t>
            </w:r>
            <w:r>
              <w:rPr>
                <w:kern w:val="0"/>
                <w:szCs w:val="21"/>
              </w:rPr>
              <w:t xml:space="preserve"> </w:t>
            </w:r>
            <w:r>
              <w:rPr>
                <w:rFonts w:hint="eastAsia"/>
                <w:kern w:val="0"/>
                <w:szCs w:val="21"/>
              </w:rPr>
              <w:t>加聚和连锁聚合概述</w:t>
            </w:r>
          </w:p>
          <w:p>
            <w:pPr>
              <w:rPr>
                <w:kern w:val="0"/>
                <w:szCs w:val="21"/>
              </w:rPr>
            </w:pPr>
            <w:r>
              <w:rPr>
                <w:rFonts w:hint="eastAsia"/>
                <w:kern w:val="0"/>
                <w:szCs w:val="21"/>
              </w:rPr>
              <w:t>（2）</w:t>
            </w:r>
            <w:r>
              <w:rPr>
                <w:kern w:val="0"/>
                <w:szCs w:val="21"/>
              </w:rPr>
              <w:t xml:space="preserve"> </w:t>
            </w:r>
            <w:r>
              <w:rPr>
                <w:rFonts w:hint="eastAsia"/>
                <w:kern w:val="0"/>
                <w:szCs w:val="21"/>
              </w:rPr>
              <w:t>烯类单体对聚合机理的选择性</w:t>
            </w:r>
          </w:p>
          <w:p>
            <w:pPr>
              <w:rPr>
                <w:kern w:val="0"/>
                <w:szCs w:val="21"/>
              </w:rPr>
            </w:pPr>
            <w:r>
              <w:rPr>
                <w:rFonts w:hint="eastAsia"/>
                <w:kern w:val="0"/>
                <w:szCs w:val="21"/>
              </w:rPr>
              <w:t>（3）</w:t>
            </w:r>
            <w:r>
              <w:rPr>
                <w:kern w:val="0"/>
                <w:szCs w:val="21"/>
              </w:rPr>
              <w:t xml:space="preserve"> </w:t>
            </w:r>
            <w:r>
              <w:rPr>
                <w:rFonts w:hint="eastAsia"/>
                <w:kern w:val="0"/>
                <w:szCs w:val="21"/>
              </w:rPr>
              <w:t>聚合热力学和聚合-解聚平衡</w:t>
            </w:r>
          </w:p>
          <w:p>
            <w:pPr>
              <w:rPr>
                <w:kern w:val="0"/>
                <w:szCs w:val="21"/>
              </w:rPr>
            </w:pPr>
            <w:r>
              <w:rPr>
                <w:rFonts w:hint="eastAsia"/>
                <w:kern w:val="0"/>
                <w:szCs w:val="21"/>
              </w:rPr>
              <w:t>（4）</w:t>
            </w:r>
            <w:r>
              <w:rPr>
                <w:kern w:val="0"/>
                <w:szCs w:val="21"/>
              </w:rPr>
              <w:t xml:space="preserve"> </w:t>
            </w:r>
            <w:r>
              <w:rPr>
                <w:rFonts w:hint="eastAsia"/>
                <w:kern w:val="0"/>
                <w:szCs w:val="21"/>
              </w:rPr>
              <w:t>自由基聚合机理</w:t>
            </w:r>
          </w:p>
          <w:p>
            <w:pPr>
              <w:rPr>
                <w:kern w:val="0"/>
                <w:szCs w:val="21"/>
              </w:rPr>
            </w:pPr>
            <w:r>
              <w:rPr>
                <w:rFonts w:hint="eastAsia"/>
                <w:kern w:val="0"/>
                <w:szCs w:val="21"/>
              </w:rPr>
              <w:t>（5）</w:t>
            </w:r>
            <w:r>
              <w:rPr>
                <w:kern w:val="0"/>
                <w:szCs w:val="21"/>
              </w:rPr>
              <w:t xml:space="preserve"> </w:t>
            </w:r>
            <w:r>
              <w:rPr>
                <w:rFonts w:hint="eastAsia"/>
                <w:kern w:val="0"/>
                <w:szCs w:val="21"/>
              </w:rPr>
              <w:t>引发剂</w:t>
            </w:r>
          </w:p>
          <w:p>
            <w:pPr>
              <w:rPr>
                <w:kern w:val="0"/>
                <w:szCs w:val="21"/>
              </w:rPr>
            </w:pPr>
            <w:r>
              <w:rPr>
                <w:rFonts w:hint="eastAsia"/>
                <w:kern w:val="0"/>
                <w:szCs w:val="21"/>
              </w:rPr>
              <w:t>（6）</w:t>
            </w:r>
            <w:r>
              <w:rPr>
                <w:kern w:val="0"/>
                <w:szCs w:val="21"/>
              </w:rPr>
              <w:t xml:space="preserve"> </w:t>
            </w:r>
            <w:r>
              <w:rPr>
                <w:rFonts w:hint="eastAsia"/>
                <w:kern w:val="0"/>
                <w:szCs w:val="21"/>
              </w:rPr>
              <w:t>其他引发作用</w:t>
            </w:r>
          </w:p>
          <w:p>
            <w:pPr>
              <w:rPr>
                <w:kern w:val="0"/>
                <w:szCs w:val="21"/>
              </w:rPr>
            </w:pPr>
            <w:r>
              <w:rPr>
                <w:rFonts w:hint="eastAsia"/>
                <w:kern w:val="0"/>
                <w:szCs w:val="21"/>
              </w:rPr>
              <w:t>（7）</w:t>
            </w:r>
            <w:r>
              <w:rPr>
                <w:kern w:val="0"/>
                <w:szCs w:val="21"/>
              </w:rPr>
              <w:t xml:space="preserve"> </w:t>
            </w:r>
            <w:r>
              <w:rPr>
                <w:rFonts w:hint="eastAsia"/>
                <w:kern w:val="0"/>
                <w:szCs w:val="21"/>
              </w:rPr>
              <w:t>聚合速率</w:t>
            </w:r>
          </w:p>
          <w:p>
            <w:pPr>
              <w:rPr>
                <w:kern w:val="0"/>
                <w:szCs w:val="21"/>
              </w:rPr>
            </w:pPr>
            <w:r>
              <w:rPr>
                <w:rFonts w:hint="eastAsia"/>
                <w:kern w:val="0"/>
                <w:szCs w:val="21"/>
              </w:rPr>
              <w:t>（8） 动力学链长和聚合度</w:t>
            </w:r>
          </w:p>
          <w:p>
            <w:pPr>
              <w:rPr>
                <w:kern w:val="0"/>
                <w:szCs w:val="21"/>
              </w:rPr>
            </w:pPr>
            <w:r>
              <w:rPr>
                <w:rFonts w:hint="eastAsia"/>
                <w:kern w:val="0"/>
                <w:szCs w:val="21"/>
              </w:rPr>
              <w:t>（9） 链转移反应和聚合度</w:t>
            </w:r>
          </w:p>
          <w:p>
            <w:pPr>
              <w:rPr>
                <w:kern w:val="0"/>
                <w:szCs w:val="21"/>
              </w:rPr>
            </w:pPr>
            <w:r>
              <w:rPr>
                <w:rFonts w:hint="eastAsia"/>
                <w:kern w:val="0"/>
                <w:szCs w:val="21"/>
              </w:rPr>
              <w:t>（10）</w:t>
            </w:r>
            <w:r>
              <w:rPr>
                <w:kern w:val="0"/>
                <w:szCs w:val="21"/>
              </w:rPr>
              <w:t xml:space="preserve"> </w:t>
            </w:r>
            <w:r>
              <w:rPr>
                <w:rFonts w:hint="eastAsia"/>
                <w:kern w:val="0"/>
                <w:szCs w:val="21"/>
              </w:rPr>
              <w:t>聚合度分布</w:t>
            </w:r>
          </w:p>
          <w:p>
            <w:pPr>
              <w:rPr>
                <w:kern w:val="0"/>
                <w:szCs w:val="21"/>
              </w:rPr>
            </w:pPr>
            <w:r>
              <w:rPr>
                <w:rFonts w:hint="eastAsia"/>
                <w:kern w:val="0"/>
                <w:szCs w:val="21"/>
              </w:rPr>
              <w:t>（11）</w:t>
            </w:r>
            <w:r>
              <w:rPr>
                <w:kern w:val="0"/>
                <w:szCs w:val="21"/>
              </w:rPr>
              <w:t xml:space="preserve"> </w:t>
            </w:r>
            <w:r>
              <w:rPr>
                <w:rFonts w:hint="eastAsia"/>
                <w:kern w:val="0"/>
                <w:szCs w:val="21"/>
              </w:rPr>
              <w:t>阻聚和缓聚</w:t>
            </w:r>
          </w:p>
          <w:p>
            <w:pPr>
              <w:rPr>
                <w:kern w:val="0"/>
                <w:szCs w:val="21"/>
              </w:rPr>
            </w:pPr>
            <w:r>
              <w:rPr>
                <w:rFonts w:hint="eastAsia"/>
                <w:kern w:val="0"/>
                <w:szCs w:val="21"/>
              </w:rPr>
              <w:t>（1</w:t>
            </w:r>
            <w:r>
              <w:rPr>
                <w:kern w:val="0"/>
                <w:szCs w:val="21"/>
              </w:rPr>
              <w:t>2</w:t>
            </w:r>
            <w:r>
              <w:rPr>
                <w:rFonts w:hint="eastAsia"/>
                <w:kern w:val="0"/>
                <w:szCs w:val="21"/>
              </w:rPr>
              <w:t>）自由基寿命和链增长、链终止速率常数的测定（自学）</w:t>
            </w:r>
          </w:p>
          <w:p>
            <w:pPr>
              <w:rPr>
                <w:kern w:val="0"/>
                <w:szCs w:val="21"/>
              </w:rPr>
            </w:pPr>
            <w:r>
              <w:rPr>
                <w:rFonts w:hint="eastAsia"/>
                <w:kern w:val="0"/>
                <w:szCs w:val="21"/>
              </w:rPr>
              <w:t>（1</w:t>
            </w:r>
            <w:r>
              <w:rPr>
                <w:kern w:val="0"/>
                <w:szCs w:val="21"/>
              </w:rPr>
              <w:t>3</w:t>
            </w:r>
            <w:r>
              <w:rPr>
                <w:rFonts w:hint="eastAsia"/>
                <w:kern w:val="0"/>
                <w:szCs w:val="21"/>
              </w:rPr>
              <w:t>）可控/“活性”自由基聚合（自学）</w:t>
            </w:r>
          </w:p>
          <w:p>
            <w:pPr>
              <w:rPr>
                <w:rFonts w:hint="eastAsia"/>
                <w:kern w:val="0"/>
                <w:szCs w:val="21"/>
              </w:rPr>
            </w:pPr>
          </w:p>
          <w:p>
            <w:pPr>
              <w:rPr>
                <w:kern w:val="0"/>
                <w:szCs w:val="21"/>
              </w:rPr>
            </w:pPr>
          </w:p>
          <w:p>
            <w:pPr>
              <w:tabs>
                <w:tab w:val="left" w:pos="900"/>
              </w:tabs>
              <w:spacing w:line="400" w:lineRule="exact"/>
              <w:ind w:firstLine="211" w:firstLineChars="100"/>
              <w:rPr>
                <w:kern w:val="0"/>
                <w:szCs w:val="21"/>
              </w:rPr>
            </w:pPr>
            <w:r>
              <w:rPr>
                <w:b/>
                <w:kern w:val="0"/>
                <w:szCs w:val="21"/>
              </w:rPr>
              <w:t>重点和难点：</w:t>
            </w:r>
            <w:r>
              <w:rPr>
                <w:rFonts w:hint="eastAsia" w:eastAsiaTheme="minorEastAsia"/>
                <w:sz w:val="24"/>
              </w:rPr>
              <w:t>单体结构与聚合机理的关系，自由基聚合反应机理及特征，主要引发剂类型及引发机理，低转化率时自由基聚合动力学，影响聚合速率和分子量的因素，高转化率下的自动加速现象及其产生的原因，阻聚、缓聚、自由基寿命、动力学链、聚合上限温度等基本概念。</w:t>
            </w:r>
          </w:p>
        </w:tc>
        <w:tc>
          <w:tcPr>
            <w:tcW w:w="1134" w:type="dxa"/>
            <w:vAlign w:val="center"/>
          </w:tcPr>
          <w:p>
            <w:pPr>
              <w:rPr>
                <w:szCs w:val="21"/>
              </w:rPr>
            </w:pPr>
            <w:r>
              <w:rPr>
                <w:rFonts w:hint="eastAsia"/>
                <w:szCs w:val="21"/>
              </w:rPr>
              <w:t>自由基聚合反应对整个高分子领域发展至关重要，可在一定程度上衡量当前我国高分子产业发展现状，是否合理、技术上是否先进等。</w:t>
            </w:r>
          </w:p>
        </w:tc>
        <w:tc>
          <w:tcPr>
            <w:tcW w:w="2028" w:type="dxa"/>
            <w:vAlign w:val="center"/>
          </w:tcPr>
          <w:p>
            <w:pPr>
              <w:tabs>
                <w:tab w:val="left" w:pos="900"/>
              </w:tabs>
              <w:spacing w:line="400" w:lineRule="exact"/>
              <w:ind w:firstLine="420"/>
              <w:rPr>
                <w:rFonts w:eastAsiaTheme="minorEastAsia"/>
                <w:sz w:val="24"/>
              </w:rPr>
            </w:pPr>
            <w:r>
              <w:rPr>
                <w:rFonts w:hint="eastAsia" w:eastAsiaTheme="minorEastAsia"/>
                <w:sz w:val="24"/>
              </w:rPr>
              <w:t>本章内容是高分子化学课程的重点之一，可为学习其它内容打下基础。</w:t>
            </w:r>
          </w:p>
          <w:p>
            <w:pPr>
              <w:tabs>
                <w:tab w:val="left" w:pos="900"/>
              </w:tabs>
              <w:spacing w:line="400" w:lineRule="exact"/>
              <w:ind w:firstLine="240" w:firstLineChars="100"/>
              <w:rPr>
                <w:rFonts w:eastAsiaTheme="minorEastAsia"/>
                <w:sz w:val="24"/>
              </w:rPr>
            </w:pPr>
            <w:r>
              <w:rPr>
                <w:rFonts w:hint="eastAsia" w:eastAsiaTheme="minorEastAsia"/>
                <w:sz w:val="24"/>
              </w:rPr>
              <w:t>（1）掌握单体结构与聚合机理的关系，自由基聚合反应机理及特征，主要引发剂类型及引发机理，低转化率时自由基聚合动力学，影响聚合速率和分子量的因素，高转化率下的自动加速现象及其产生的原因，阻聚、缓聚、自由基寿命、动力学链、聚合上限温度等基本概念。</w:t>
            </w:r>
          </w:p>
          <w:p>
            <w:pPr>
              <w:tabs>
                <w:tab w:val="left" w:pos="900"/>
              </w:tabs>
              <w:spacing w:line="400" w:lineRule="exact"/>
              <w:ind w:firstLine="240" w:firstLineChars="100"/>
              <w:rPr>
                <w:rFonts w:eastAsiaTheme="minorEastAsia"/>
                <w:sz w:val="24"/>
              </w:rPr>
            </w:pPr>
            <w:r>
              <w:rPr>
                <w:rFonts w:hint="eastAsia" w:eastAsiaTheme="minorEastAsia"/>
                <w:sz w:val="24"/>
              </w:rPr>
              <w:t>（2）了解光、热、辐射等其他引发作用，活性自由基聚合、聚合热力学及分子量分布。</w:t>
            </w:r>
          </w:p>
          <w:p>
            <w:pPr>
              <w:rPr>
                <w:szCs w:val="21"/>
              </w:rPr>
            </w:pPr>
          </w:p>
        </w:tc>
        <w:tc>
          <w:tcPr>
            <w:tcW w:w="699" w:type="dxa"/>
            <w:vAlign w:val="center"/>
          </w:tcPr>
          <w:p>
            <w:pPr>
              <w:jc w:val="center"/>
              <w:rPr>
                <w:szCs w:val="21"/>
              </w:rPr>
            </w:pPr>
            <w:r>
              <w:rPr>
                <w:rFonts w:hint="eastAsia"/>
                <w:szCs w:val="21"/>
              </w:rPr>
              <w:t>5</w:t>
            </w:r>
          </w:p>
        </w:tc>
        <w:tc>
          <w:tcPr>
            <w:tcW w:w="975" w:type="dxa"/>
            <w:vAlign w:val="center"/>
          </w:tcPr>
          <w:p>
            <w:pPr>
              <w:rPr>
                <w:szCs w:val="21"/>
              </w:rPr>
            </w:pPr>
            <w:r>
              <w:rPr>
                <w:szCs w:val="21"/>
              </w:rPr>
              <w:t>讲授/讨论/实例教学等</w:t>
            </w:r>
          </w:p>
        </w:tc>
        <w:tc>
          <w:tcPr>
            <w:tcW w:w="925" w:type="dxa"/>
            <w:vAlign w:val="center"/>
          </w:tcPr>
          <w:p>
            <w:pPr>
              <w:jc w:val="center"/>
              <w:rPr>
                <w:rFonts w:hint="eastAsia"/>
                <w:szCs w:val="21"/>
              </w:rPr>
            </w:pPr>
            <w:r>
              <w:rPr>
                <w:b/>
                <w:kern w:val="0"/>
                <w:szCs w:val="21"/>
              </w:rPr>
              <w:t>目标</w:t>
            </w:r>
            <w:r>
              <w:rPr>
                <w:rFonts w:hint="eastAsia"/>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vAlign w:val="center"/>
          </w:tcPr>
          <w:p>
            <w:pPr>
              <w:jc w:val="center"/>
              <w:rPr>
                <w:szCs w:val="21"/>
              </w:rPr>
            </w:pPr>
            <w:r>
              <w:rPr>
                <w:szCs w:val="21"/>
              </w:rPr>
              <w:t>4</w:t>
            </w:r>
          </w:p>
        </w:tc>
        <w:tc>
          <w:tcPr>
            <w:tcW w:w="2632" w:type="dxa"/>
            <w:vAlign w:val="center"/>
          </w:tcPr>
          <w:p>
            <w:pPr>
              <w:rPr>
                <w:b/>
                <w:kern w:val="0"/>
                <w:szCs w:val="21"/>
              </w:rPr>
            </w:pPr>
            <w:r>
              <w:rPr>
                <w:rFonts w:hint="eastAsia"/>
                <w:b/>
                <w:kern w:val="0"/>
                <w:szCs w:val="21"/>
              </w:rPr>
              <w:t>自由基共聚：</w:t>
            </w:r>
          </w:p>
          <w:p>
            <w:pPr>
              <w:rPr>
                <w:kern w:val="0"/>
                <w:szCs w:val="21"/>
              </w:rPr>
            </w:pPr>
            <w:r>
              <w:rPr>
                <w:rFonts w:hint="eastAsia"/>
                <w:kern w:val="0"/>
                <w:szCs w:val="21"/>
              </w:rPr>
              <w:t>（1）引言</w:t>
            </w:r>
          </w:p>
          <w:p>
            <w:pPr>
              <w:rPr>
                <w:kern w:val="0"/>
                <w:szCs w:val="21"/>
              </w:rPr>
            </w:pPr>
            <w:r>
              <w:rPr>
                <w:rFonts w:hint="eastAsia"/>
                <w:kern w:val="0"/>
                <w:szCs w:val="21"/>
              </w:rPr>
              <w:t>（2）二元共聚物的组成</w:t>
            </w:r>
          </w:p>
          <w:p>
            <w:pPr>
              <w:rPr>
                <w:kern w:val="0"/>
                <w:szCs w:val="21"/>
              </w:rPr>
            </w:pPr>
            <w:r>
              <w:rPr>
                <w:rFonts w:hint="eastAsia"/>
                <w:kern w:val="0"/>
                <w:szCs w:val="21"/>
              </w:rPr>
              <w:t>（3）二元共聚物微结构和链段序列分布</w:t>
            </w:r>
          </w:p>
          <w:p>
            <w:pPr>
              <w:rPr>
                <w:kern w:val="0"/>
                <w:szCs w:val="21"/>
              </w:rPr>
            </w:pPr>
            <w:r>
              <w:rPr>
                <w:rFonts w:hint="eastAsia"/>
                <w:kern w:val="0"/>
                <w:szCs w:val="21"/>
              </w:rPr>
              <w:t>（4）</w:t>
            </w:r>
            <w:r>
              <w:rPr>
                <w:kern w:val="0"/>
                <w:szCs w:val="21"/>
              </w:rPr>
              <w:t xml:space="preserve"> </w:t>
            </w:r>
            <w:r>
              <w:rPr>
                <w:rFonts w:hint="eastAsia"/>
                <w:kern w:val="0"/>
                <w:szCs w:val="21"/>
              </w:rPr>
              <w:t>前端末效应</w:t>
            </w:r>
          </w:p>
          <w:p>
            <w:pPr>
              <w:rPr>
                <w:kern w:val="0"/>
                <w:szCs w:val="21"/>
              </w:rPr>
            </w:pPr>
            <w:r>
              <w:rPr>
                <w:rFonts w:hint="eastAsia"/>
                <w:kern w:val="0"/>
                <w:szCs w:val="21"/>
              </w:rPr>
              <w:t>（5）多元共聚</w:t>
            </w:r>
          </w:p>
          <w:p>
            <w:pPr>
              <w:rPr>
                <w:kern w:val="0"/>
                <w:szCs w:val="21"/>
              </w:rPr>
            </w:pPr>
            <w:r>
              <w:rPr>
                <w:rFonts w:hint="eastAsia"/>
                <w:kern w:val="0"/>
                <w:szCs w:val="21"/>
              </w:rPr>
              <w:t>（6）竞聚率</w:t>
            </w:r>
          </w:p>
          <w:p>
            <w:pPr>
              <w:rPr>
                <w:kern w:val="0"/>
                <w:szCs w:val="21"/>
              </w:rPr>
            </w:pPr>
            <w:r>
              <w:rPr>
                <w:rFonts w:hint="eastAsia"/>
                <w:kern w:val="0"/>
                <w:szCs w:val="21"/>
              </w:rPr>
              <w:t>（7）单体活性和自由基活性</w:t>
            </w:r>
          </w:p>
          <w:p>
            <w:pPr>
              <w:rPr>
                <w:kern w:val="0"/>
                <w:szCs w:val="21"/>
              </w:rPr>
            </w:pPr>
            <w:r>
              <w:rPr>
                <w:rFonts w:hint="eastAsia"/>
                <w:kern w:val="0"/>
                <w:szCs w:val="21"/>
              </w:rPr>
              <w:t>（8）Q</w:t>
            </w:r>
            <w:r>
              <w:rPr>
                <w:kern w:val="0"/>
                <w:szCs w:val="21"/>
              </w:rPr>
              <w:t>-</w:t>
            </w:r>
            <w:r>
              <w:rPr>
                <w:rFonts w:hint="eastAsia"/>
                <w:kern w:val="0"/>
                <w:szCs w:val="21"/>
              </w:rPr>
              <w:t>e概念</w:t>
            </w:r>
          </w:p>
          <w:p>
            <w:pPr>
              <w:rPr>
                <w:kern w:val="0"/>
                <w:szCs w:val="21"/>
              </w:rPr>
            </w:pPr>
            <w:r>
              <w:rPr>
                <w:rFonts w:hint="eastAsia"/>
                <w:kern w:val="0"/>
                <w:szCs w:val="21"/>
              </w:rPr>
              <w:t>（9）共聚速率</w:t>
            </w:r>
          </w:p>
          <w:p>
            <w:pPr>
              <w:rPr>
                <w:kern w:val="0"/>
                <w:szCs w:val="21"/>
              </w:rPr>
            </w:pPr>
          </w:p>
          <w:p>
            <w:pPr>
              <w:rPr>
                <w:kern w:val="0"/>
                <w:szCs w:val="21"/>
              </w:rPr>
            </w:pPr>
            <w:r>
              <w:rPr>
                <w:b/>
                <w:kern w:val="0"/>
                <w:szCs w:val="21"/>
              </w:rPr>
              <w:t>重点和难点：</w:t>
            </w:r>
            <w:r>
              <w:rPr>
                <w:rFonts w:hint="eastAsia"/>
                <w:kern w:val="0"/>
                <w:szCs w:val="21"/>
              </w:rPr>
              <w:t>二元共聚物瞬时组成与单体组成的关系，竞聚率的意义，典型的共聚物瞬时组成曲线类型以及共聚物组成与转化率的关系，共聚物组成均一性的控制方法，自由基及单体活性与取代基的关系以及对反应速率的影响。</w:t>
            </w:r>
          </w:p>
        </w:tc>
        <w:tc>
          <w:tcPr>
            <w:tcW w:w="1134" w:type="dxa"/>
            <w:vAlign w:val="center"/>
          </w:tcPr>
          <w:p>
            <w:pPr>
              <w:autoSpaceDE w:val="0"/>
              <w:autoSpaceDN w:val="0"/>
              <w:adjustRightInd w:val="0"/>
              <w:rPr>
                <w:szCs w:val="21"/>
              </w:rPr>
            </w:pPr>
            <w:r>
              <w:rPr>
                <w:rFonts w:hint="eastAsia"/>
                <w:szCs w:val="21"/>
              </w:rPr>
              <w:t>引导学生理解自由基共聚的重要性，产生兴趣的同时有为国家该领域贡献力量的意识。</w:t>
            </w:r>
          </w:p>
        </w:tc>
        <w:tc>
          <w:tcPr>
            <w:tcW w:w="2028" w:type="dxa"/>
            <w:vAlign w:val="center"/>
          </w:tcPr>
          <w:p>
            <w:pPr>
              <w:tabs>
                <w:tab w:val="left" w:pos="900"/>
              </w:tabs>
              <w:spacing w:line="400" w:lineRule="exact"/>
              <w:ind w:firstLine="420"/>
              <w:rPr>
                <w:rFonts w:eastAsiaTheme="minorEastAsia"/>
                <w:sz w:val="24"/>
              </w:rPr>
            </w:pPr>
            <w:r>
              <w:rPr>
                <w:rFonts w:hint="eastAsia" w:eastAsiaTheme="minorEastAsia"/>
                <w:sz w:val="24"/>
              </w:rPr>
              <w:t>本章内容时高分子化学的重点之一。</w:t>
            </w:r>
          </w:p>
          <w:p>
            <w:pPr>
              <w:tabs>
                <w:tab w:val="left" w:pos="900"/>
              </w:tabs>
              <w:spacing w:line="400" w:lineRule="exact"/>
              <w:ind w:firstLine="240" w:firstLineChars="100"/>
              <w:rPr>
                <w:rFonts w:eastAsiaTheme="minorEastAsia"/>
                <w:sz w:val="24"/>
              </w:rPr>
            </w:pPr>
            <w:r>
              <w:rPr>
                <w:rFonts w:hint="eastAsia" w:eastAsiaTheme="minorEastAsia"/>
                <w:sz w:val="24"/>
              </w:rPr>
              <w:t>（1）掌握二元共聚物瞬时组成与单体组成的关系，竞聚率的意义，典型的共聚物瞬时组成曲线类型以及共聚物组成与转化率的关系，共聚物组成均一性的控制方法，自由基及单体活性与取代基的关系以及对反应速率的影响。</w:t>
            </w:r>
          </w:p>
          <w:p>
            <w:pPr>
              <w:tabs>
                <w:tab w:val="left" w:pos="900"/>
              </w:tabs>
              <w:spacing w:line="400" w:lineRule="exact"/>
              <w:ind w:firstLine="240" w:firstLineChars="100"/>
              <w:rPr>
                <w:rFonts w:eastAsiaTheme="minorEastAsia"/>
                <w:sz w:val="24"/>
              </w:rPr>
            </w:pPr>
            <w:r>
              <w:rPr>
                <w:rFonts w:hint="eastAsia" w:eastAsiaTheme="minorEastAsia"/>
                <w:sz w:val="24"/>
              </w:rPr>
              <w:t>（2）了解Q</w:t>
            </w:r>
            <w:r>
              <w:rPr>
                <w:rFonts w:eastAsiaTheme="minorEastAsia"/>
                <w:sz w:val="24"/>
              </w:rPr>
              <w:t>-</w:t>
            </w:r>
            <w:r>
              <w:rPr>
                <w:rFonts w:hint="eastAsia" w:eastAsiaTheme="minorEastAsia"/>
                <w:sz w:val="24"/>
              </w:rPr>
              <w:t>e概念，多元共聚，共聚合速率。</w:t>
            </w:r>
          </w:p>
          <w:p>
            <w:pPr>
              <w:autoSpaceDE w:val="0"/>
              <w:autoSpaceDN w:val="0"/>
              <w:adjustRightInd w:val="0"/>
              <w:rPr>
                <w:szCs w:val="21"/>
              </w:rPr>
            </w:pPr>
          </w:p>
        </w:tc>
        <w:tc>
          <w:tcPr>
            <w:tcW w:w="699" w:type="dxa"/>
            <w:vAlign w:val="center"/>
          </w:tcPr>
          <w:p>
            <w:pPr>
              <w:jc w:val="center"/>
              <w:rPr>
                <w:rFonts w:hint="eastAsia"/>
                <w:szCs w:val="21"/>
              </w:rPr>
            </w:pPr>
            <w:r>
              <w:rPr>
                <w:rFonts w:hint="eastAsia"/>
                <w:szCs w:val="21"/>
              </w:rPr>
              <w:t>5</w:t>
            </w:r>
          </w:p>
        </w:tc>
        <w:tc>
          <w:tcPr>
            <w:tcW w:w="975" w:type="dxa"/>
            <w:vAlign w:val="center"/>
          </w:tcPr>
          <w:p>
            <w:pPr>
              <w:rPr>
                <w:szCs w:val="21"/>
              </w:rPr>
            </w:pPr>
            <w:r>
              <w:rPr>
                <w:szCs w:val="21"/>
              </w:rPr>
              <w:t>讲授/讨论/实例教学等</w:t>
            </w:r>
          </w:p>
        </w:tc>
        <w:tc>
          <w:tcPr>
            <w:tcW w:w="925" w:type="dxa"/>
            <w:vAlign w:val="center"/>
          </w:tcPr>
          <w:p>
            <w:pPr>
              <w:jc w:val="center"/>
              <w:rPr>
                <w:rFonts w:hint="eastAsia"/>
                <w:kern w:val="0"/>
                <w:szCs w:val="21"/>
              </w:rPr>
            </w:pPr>
            <w:r>
              <w:rPr>
                <w:b/>
                <w:kern w:val="0"/>
                <w:szCs w:val="21"/>
              </w:rPr>
              <w:t>目标</w:t>
            </w:r>
            <w:r>
              <w:rPr>
                <w:rFonts w:hint="eastAsia"/>
                <w:b/>
                <w:kern w:val="0"/>
                <w:szCs w:val="21"/>
              </w:rPr>
              <w:t>2</w:t>
            </w:r>
          </w:p>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vAlign w:val="center"/>
          </w:tcPr>
          <w:p>
            <w:pPr>
              <w:jc w:val="center"/>
              <w:rPr>
                <w:szCs w:val="21"/>
              </w:rPr>
            </w:pPr>
            <w:r>
              <w:rPr>
                <w:szCs w:val="21"/>
              </w:rPr>
              <w:t>5</w:t>
            </w:r>
          </w:p>
        </w:tc>
        <w:tc>
          <w:tcPr>
            <w:tcW w:w="2632" w:type="dxa"/>
            <w:vAlign w:val="center"/>
          </w:tcPr>
          <w:p>
            <w:pPr>
              <w:rPr>
                <w:b/>
                <w:kern w:val="0"/>
                <w:szCs w:val="21"/>
              </w:rPr>
            </w:pPr>
            <w:r>
              <w:rPr>
                <w:rFonts w:hint="eastAsia"/>
                <w:b/>
                <w:kern w:val="0"/>
                <w:szCs w:val="21"/>
              </w:rPr>
              <w:t>聚合方法：</w:t>
            </w:r>
          </w:p>
          <w:p>
            <w:pPr>
              <w:rPr>
                <w:kern w:val="0"/>
                <w:szCs w:val="21"/>
              </w:rPr>
            </w:pPr>
            <w:r>
              <w:rPr>
                <w:rFonts w:hint="eastAsia"/>
                <w:kern w:val="0"/>
                <w:szCs w:val="21"/>
              </w:rPr>
              <w:t>（1）</w:t>
            </w:r>
            <w:r>
              <w:rPr>
                <w:kern w:val="0"/>
                <w:szCs w:val="21"/>
              </w:rPr>
              <w:t xml:space="preserve"> </w:t>
            </w:r>
            <w:r>
              <w:rPr>
                <w:rFonts w:hint="eastAsia"/>
                <w:kern w:val="0"/>
                <w:szCs w:val="21"/>
              </w:rPr>
              <w:t>引言</w:t>
            </w:r>
          </w:p>
          <w:p>
            <w:pPr>
              <w:rPr>
                <w:kern w:val="0"/>
                <w:szCs w:val="21"/>
              </w:rPr>
            </w:pPr>
            <w:r>
              <w:rPr>
                <w:rFonts w:hint="eastAsia"/>
                <w:kern w:val="0"/>
                <w:szCs w:val="21"/>
              </w:rPr>
              <w:t>（2）</w:t>
            </w:r>
            <w:r>
              <w:rPr>
                <w:kern w:val="0"/>
                <w:szCs w:val="21"/>
              </w:rPr>
              <w:t xml:space="preserve"> </w:t>
            </w:r>
            <w:r>
              <w:rPr>
                <w:rFonts w:hint="eastAsia"/>
                <w:kern w:val="0"/>
                <w:szCs w:val="21"/>
              </w:rPr>
              <w:t>本体聚合</w:t>
            </w:r>
          </w:p>
          <w:p>
            <w:pPr>
              <w:rPr>
                <w:kern w:val="0"/>
                <w:szCs w:val="21"/>
              </w:rPr>
            </w:pPr>
            <w:r>
              <w:rPr>
                <w:rFonts w:hint="eastAsia"/>
                <w:kern w:val="0"/>
                <w:szCs w:val="21"/>
              </w:rPr>
              <w:t>（3）</w:t>
            </w:r>
            <w:r>
              <w:rPr>
                <w:kern w:val="0"/>
                <w:szCs w:val="21"/>
              </w:rPr>
              <w:t xml:space="preserve"> </w:t>
            </w:r>
            <w:r>
              <w:rPr>
                <w:rFonts w:hint="eastAsia"/>
                <w:kern w:val="0"/>
                <w:szCs w:val="21"/>
              </w:rPr>
              <w:t>溶液聚合</w:t>
            </w:r>
          </w:p>
          <w:p>
            <w:pPr>
              <w:rPr>
                <w:kern w:val="0"/>
                <w:szCs w:val="21"/>
              </w:rPr>
            </w:pPr>
            <w:r>
              <w:rPr>
                <w:rFonts w:hint="eastAsia"/>
                <w:kern w:val="0"/>
                <w:szCs w:val="21"/>
              </w:rPr>
              <w:t>（4）</w:t>
            </w:r>
            <w:r>
              <w:rPr>
                <w:kern w:val="0"/>
                <w:szCs w:val="21"/>
              </w:rPr>
              <w:t xml:space="preserve"> </w:t>
            </w:r>
            <w:r>
              <w:rPr>
                <w:rFonts w:hint="eastAsia"/>
                <w:kern w:val="0"/>
                <w:szCs w:val="21"/>
              </w:rPr>
              <w:t>悬浮聚合</w:t>
            </w:r>
          </w:p>
          <w:p>
            <w:pPr>
              <w:rPr>
                <w:kern w:val="0"/>
                <w:szCs w:val="21"/>
              </w:rPr>
            </w:pPr>
            <w:r>
              <w:rPr>
                <w:rFonts w:hint="eastAsia"/>
                <w:kern w:val="0"/>
                <w:szCs w:val="21"/>
              </w:rPr>
              <w:t>（5）</w:t>
            </w:r>
            <w:r>
              <w:rPr>
                <w:kern w:val="0"/>
                <w:szCs w:val="21"/>
              </w:rPr>
              <w:t xml:space="preserve"> </w:t>
            </w:r>
            <w:r>
              <w:rPr>
                <w:rFonts w:hint="eastAsia"/>
                <w:kern w:val="0"/>
                <w:szCs w:val="21"/>
              </w:rPr>
              <w:t>乳液聚合</w:t>
            </w:r>
          </w:p>
          <w:p>
            <w:pPr>
              <w:rPr>
                <w:kern w:val="0"/>
                <w:szCs w:val="21"/>
              </w:rPr>
            </w:pPr>
            <w:r>
              <w:rPr>
                <w:rFonts w:hint="eastAsia"/>
                <w:kern w:val="0"/>
                <w:szCs w:val="21"/>
              </w:rPr>
              <w:t>（6）乳液聚合技术进展</w:t>
            </w:r>
          </w:p>
          <w:p>
            <w:pPr>
              <w:rPr>
                <w:kern w:val="0"/>
                <w:szCs w:val="21"/>
              </w:rPr>
            </w:pPr>
          </w:p>
          <w:p>
            <w:pPr>
              <w:rPr>
                <w:kern w:val="0"/>
                <w:szCs w:val="21"/>
              </w:rPr>
            </w:pPr>
            <w:r>
              <w:rPr>
                <w:b/>
                <w:kern w:val="0"/>
                <w:szCs w:val="21"/>
              </w:rPr>
              <w:t>重点和难点：</w:t>
            </w:r>
            <w:r>
              <w:rPr>
                <w:rFonts w:hint="eastAsia"/>
                <w:kern w:val="0"/>
                <w:szCs w:val="21"/>
              </w:rPr>
              <w:t>典型聚合物的聚合方法及特点。</w:t>
            </w:r>
          </w:p>
        </w:tc>
        <w:tc>
          <w:tcPr>
            <w:tcW w:w="1134" w:type="dxa"/>
            <w:vAlign w:val="center"/>
          </w:tcPr>
          <w:p>
            <w:pPr>
              <w:rPr>
                <w:szCs w:val="21"/>
              </w:rPr>
            </w:pPr>
            <w:r>
              <w:rPr>
                <w:rFonts w:hint="eastAsia"/>
                <w:szCs w:val="21"/>
              </w:rPr>
              <w:t>引导学生了解当前国家和国基高分子行业发展现状和趋势，增强学生的民族自豪感和为祖国发展贡献力量的意识。</w:t>
            </w:r>
          </w:p>
        </w:tc>
        <w:tc>
          <w:tcPr>
            <w:tcW w:w="2028" w:type="dxa"/>
            <w:vAlign w:val="center"/>
          </w:tcPr>
          <w:p>
            <w:pPr>
              <w:rPr>
                <w:kern w:val="0"/>
                <w:szCs w:val="21"/>
              </w:rPr>
            </w:pPr>
            <w:r>
              <w:rPr>
                <w:rFonts w:hint="eastAsia"/>
                <w:kern w:val="0"/>
                <w:szCs w:val="21"/>
              </w:rPr>
              <w:t>（1）学习一些典型聚合物的聚合方法及特点。</w:t>
            </w:r>
          </w:p>
          <w:p>
            <w:pPr>
              <w:rPr>
                <w:kern w:val="0"/>
                <w:szCs w:val="21"/>
              </w:rPr>
            </w:pPr>
            <w:r>
              <w:rPr>
                <w:rFonts w:hint="eastAsia"/>
                <w:kern w:val="0"/>
                <w:szCs w:val="21"/>
              </w:rPr>
              <w:t>（2）了解经典乳液聚合的机理及其动力学。</w:t>
            </w:r>
          </w:p>
          <w:p>
            <w:pPr>
              <w:rPr>
                <w:szCs w:val="21"/>
              </w:rPr>
            </w:pPr>
          </w:p>
        </w:tc>
        <w:tc>
          <w:tcPr>
            <w:tcW w:w="699" w:type="dxa"/>
            <w:vAlign w:val="center"/>
          </w:tcPr>
          <w:p>
            <w:pPr>
              <w:jc w:val="center"/>
              <w:rPr>
                <w:szCs w:val="21"/>
              </w:rPr>
            </w:pPr>
            <w:r>
              <w:rPr>
                <w:rFonts w:hint="eastAsia"/>
                <w:szCs w:val="21"/>
              </w:rPr>
              <w:t>2</w:t>
            </w:r>
          </w:p>
        </w:tc>
        <w:tc>
          <w:tcPr>
            <w:tcW w:w="975" w:type="dxa"/>
            <w:vAlign w:val="center"/>
          </w:tcPr>
          <w:p>
            <w:pPr>
              <w:rPr>
                <w:szCs w:val="21"/>
              </w:rPr>
            </w:pPr>
            <w:r>
              <w:rPr>
                <w:szCs w:val="21"/>
              </w:rPr>
              <w:t>讨论/PPT</w:t>
            </w:r>
            <w:r>
              <w:rPr>
                <w:rFonts w:hint="eastAsia"/>
                <w:szCs w:val="21"/>
              </w:rPr>
              <w:t>汇报</w:t>
            </w:r>
            <w:r>
              <w:rPr>
                <w:szCs w:val="21"/>
              </w:rPr>
              <w:t>等</w:t>
            </w:r>
          </w:p>
        </w:tc>
        <w:tc>
          <w:tcPr>
            <w:tcW w:w="925" w:type="dxa"/>
            <w:vAlign w:val="center"/>
          </w:tcPr>
          <w:p>
            <w:pPr>
              <w:jc w:val="center"/>
              <w:rPr>
                <w:rFonts w:hint="eastAsia"/>
                <w:szCs w:val="21"/>
              </w:rPr>
            </w:pPr>
            <w:r>
              <w:rPr>
                <w:b/>
                <w:kern w:val="0"/>
                <w:szCs w:val="21"/>
              </w:rPr>
              <w:t>目标</w:t>
            </w:r>
            <w:r>
              <w:rPr>
                <w:rFonts w:hint="eastAsia"/>
                <w:b/>
                <w:kern w:val="0"/>
                <w:szCs w:val="21"/>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vAlign w:val="center"/>
          </w:tcPr>
          <w:p>
            <w:pPr>
              <w:jc w:val="center"/>
              <w:rPr>
                <w:szCs w:val="21"/>
              </w:rPr>
            </w:pPr>
            <w:r>
              <w:rPr>
                <w:szCs w:val="21"/>
              </w:rPr>
              <w:t>6</w:t>
            </w:r>
          </w:p>
        </w:tc>
        <w:tc>
          <w:tcPr>
            <w:tcW w:w="2632" w:type="dxa"/>
            <w:vAlign w:val="center"/>
          </w:tcPr>
          <w:p>
            <w:pPr>
              <w:rPr>
                <w:b/>
                <w:kern w:val="0"/>
                <w:szCs w:val="21"/>
              </w:rPr>
            </w:pPr>
            <w:r>
              <w:rPr>
                <w:rFonts w:hint="eastAsia"/>
                <w:b/>
                <w:kern w:val="0"/>
                <w:szCs w:val="21"/>
              </w:rPr>
              <w:t>离子聚合：</w:t>
            </w:r>
          </w:p>
          <w:p>
            <w:pPr>
              <w:rPr>
                <w:kern w:val="0"/>
                <w:szCs w:val="21"/>
              </w:rPr>
            </w:pPr>
            <w:r>
              <w:rPr>
                <w:rFonts w:hint="eastAsia"/>
                <w:kern w:val="0"/>
                <w:szCs w:val="21"/>
              </w:rPr>
              <w:t>（1）引言</w:t>
            </w:r>
          </w:p>
          <w:p>
            <w:pPr>
              <w:rPr>
                <w:kern w:val="0"/>
                <w:szCs w:val="21"/>
              </w:rPr>
            </w:pPr>
            <w:r>
              <w:rPr>
                <w:rFonts w:hint="eastAsia"/>
                <w:kern w:val="0"/>
                <w:szCs w:val="21"/>
              </w:rPr>
              <w:t>（2）阴离子聚合</w:t>
            </w:r>
          </w:p>
          <w:p>
            <w:pPr>
              <w:rPr>
                <w:kern w:val="0"/>
                <w:szCs w:val="21"/>
              </w:rPr>
            </w:pPr>
            <w:r>
              <w:rPr>
                <w:rFonts w:hint="eastAsia"/>
                <w:kern w:val="0"/>
                <w:szCs w:val="21"/>
              </w:rPr>
              <w:t>（3）阳离子聚合</w:t>
            </w:r>
          </w:p>
          <w:p>
            <w:pPr>
              <w:rPr>
                <w:kern w:val="0"/>
                <w:szCs w:val="21"/>
              </w:rPr>
            </w:pPr>
            <w:r>
              <w:rPr>
                <w:rFonts w:hint="eastAsia"/>
                <w:kern w:val="0"/>
                <w:szCs w:val="21"/>
              </w:rPr>
              <w:t>（4）离子聚合与自由基聚合的比较</w:t>
            </w:r>
          </w:p>
          <w:p>
            <w:pPr>
              <w:rPr>
                <w:kern w:val="0"/>
                <w:szCs w:val="21"/>
              </w:rPr>
            </w:pPr>
            <w:r>
              <w:rPr>
                <w:rFonts w:hint="eastAsia"/>
                <w:kern w:val="0"/>
                <w:szCs w:val="21"/>
              </w:rPr>
              <w:t>（5）离子共聚</w:t>
            </w:r>
          </w:p>
          <w:p>
            <w:pPr>
              <w:rPr>
                <w:rFonts w:hint="eastAsia"/>
                <w:kern w:val="0"/>
                <w:szCs w:val="21"/>
              </w:rPr>
            </w:pPr>
          </w:p>
          <w:p>
            <w:pPr>
              <w:rPr>
                <w:kern w:val="0"/>
                <w:szCs w:val="21"/>
              </w:rPr>
            </w:pPr>
            <w:r>
              <w:rPr>
                <w:b/>
                <w:kern w:val="0"/>
                <w:szCs w:val="21"/>
              </w:rPr>
              <w:t>重点和难点：</w:t>
            </w:r>
            <w:r>
              <w:rPr>
                <w:rFonts w:hint="eastAsia"/>
                <w:kern w:val="0"/>
                <w:szCs w:val="21"/>
              </w:rPr>
              <w:t>阴阳离子聚合的单体与其引发剂及其相互间的匹配，典型的离子聚合反应体系的组成与聚合条件，活性种的主要形式，离子聚合反应机理及其特征，溶剂、温度及反离子对反应速率和分子量的定性影响，离子共聚合。</w:t>
            </w:r>
          </w:p>
          <w:p>
            <w:pPr>
              <w:rPr>
                <w:kern w:val="0"/>
                <w:szCs w:val="21"/>
              </w:rPr>
            </w:pPr>
          </w:p>
        </w:tc>
        <w:tc>
          <w:tcPr>
            <w:tcW w:w="1134" w:type="dxa"/>
            <w:vAlign w:val="center"/>
          </w:tcPr>
          <w:p>
            <w:pPr>
              <w:rPr>
                <w:kern w:val="0"/>
                <w:szCs w:val="21"/>
              </w:rPr>
            </w:pPr>
            <w:r>
              <w:rPr>
                <w:rFonts w:hint="eastAsia"/>
                <w:szCs w:val="21"/>
              </w:rPr>
              <w:t>引导学生理解离子聚合的重要性，产生兴趣的同时有为国家该领域发展突破贡献力量的意识。</w:t>
            </w:r>
          </w:p>
        </w:tc>
        <w:tc>
          <w:tcPr>
            <w:tcW w:w="2028" w:type="dxa"/>
            <w:vAlign w:val="center"/>
          </w:tcPr>
          <w:p>
            <w:pPr>
              <w:rPr>
                <w:kern w:val="0"/>
                <w:szCs w:val="21"/>
              </w:rPr>
            </w:pPr>
            <w:r>
              <w:rPr>
                <w:rFonts w:hint="eastAsia"/>
                <w:kern w:val="0"/>
                <w:szCs w:val="21"/>
              </w:rPr>
              <w:t>本章内容是高分子化学的重点之一。</w:t>
            </w:r>
          </w:p>
          <w:p>
            <w:pPr>
              <w:rPr>
                <w:kern w:val="0"/>
                <w:szCs w:val="21"/>
              </w:rPr>
            </w:pPr>
            <w:r>
              <w:rPr>
                <w:rFonts w:hint="eastAsia"/>
                <w:kern w:val="0"/>
                <w:szCs w:val="21"/>
              </w:rPr>
              <w:t>（1）掌握阴阳离子聚合的单体与其引发剂及其相互间的匹配，掌握几种典型的离子聚合反应体系的组成与聚合条件，活性种的主要形式，离子聚合反应机理及其特征，溶剂、温度及反离子对反应速率和分子量的定性影响，离子共聚合。</w:t>
            </w:r>
          </w:p>
          <w:p>
            <w:pPr>
              <w:rPr>
                <w:kern w:val="0"/>
                <w:szCs w:val="21"/>
              </w:rPr>
            </w:pPr>
            <w:r>
              <w:rPr>
                <w:rFonts w:hint="eastAsia"/>
                <w:kern w:val="0"/>
                <w:szCs w:val="21"/>
              </w:rPr>
              <w:t>（2）了解异构化聚合等。</w:t>
            </w:r>
          </w:p>
          <w:p>
            <w:pPr>
              <w:rPr>
                <w:kern w:val="0"/>
                <w:szCs w:val="21"/>
              </w:rPr>
            </w:pPr>
          </w:p>
        </w:tc>
        <w:tc>
          <w:tcPr>
            <w:tcW w:w="699" w:type="dxa"/>
            <w:vAlign w:val="center"/>
          </w:tcPr>
          <w:p>
            <w:pPr>
              <w:jc w:val="center"/>
              <w:rPr>
                <w:rFonts w:hint="eastAsia"/>
                <w:szCs w:val="21"/>
              </w:rPr>
            </w:pPr>
            <w:r>
              <w:rPr>
                <w:rFonts w:hint="eastAsia"/>
                <w:szCs w:val="21"/>
              </w:rPr>
              <w:t>5</w:t>
            </w:r>
          </w:p>
        </w:tc>
        <w:tc>
          <w:tcPr>
            <w:tcW w:w="975" w:type="dxa"/>
            <w:vAlign w:val="center"/>
          </w:tcPr>
          <w:p>
            <w:pPr>
              <w:rPr>
                <w:szCs w:val="21"/>
              </w:rPr>
            </w:pPr>
            <w:r>
              <w:rPr>
                <w:szCs w:val="21"/>
              </w:rPr>
              <w:t>讲授/讨论/实例教学等</w:t>
            </w:r>
          </w:p>
        </w:tc>
        <w:tc>
          <w:tcPr>
            <w:tcW w:w="925" w:type="dxa"/>
            <w:vAlign w:val="center"/>
          </w:tcPr>
          <w:p>
            <w:pPr>
              <w:jc w:val="center"/>
              <w:rPr>
                <w:rFonts w:hint="eastAsia"/>
                <w:szCs w:val="21"/>
              </w:rPr>
            </w:pPr>
            <w:r>
              <w:rPr>
                <w:b/>
                <w:kern w:val="0"/>
                <w:szCs w:val="21"/>
              </w:rPr>
              <w:t>目标</w:t>
            </w:r>
            <w:r>
              <w:rPr>
                <w:rFonts w:hint="eastAsia"/>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vAlign w:val="center"/>
          </w:tcPr>
          <w:p>
            <w:pPr>
              <w:jc w:val="center"/>
              <w:rPr>
                <w:szCs w:val="21"/>
              </w:rPr>
            </w:pPr>
            <w:r>
              <w:rPr>
                <w:szCs w:val="21"/>
              </w:rPr>
              <w:t>7</w:t>
            </w:r>
          </w:p>
        </w:tc>
        <w:tc>
          <w:tcPr>
            <w:tcW w:w="2632" w:type="dxa"/>
            <w:vAlign w:val="center"/>
          </w:tcPr>
          <w:p>
            <w:pPr>
              <w:rPr>
                <w:b/>
                <w:kern w:val="0"/>
                <w:szCs w:val="21"/>
              </w:rPr>
            </w:pPr>
            <w:r>
              <w:rPr>
                <w:rFonts w:hint="eastAsia"/>
                <w:b/>
                <w:kern w:val="0"/>
                <w:szCs w:val="21"/>
              </w:rPr>
              <w:t>配位聚合：</w:t>
            </w:r>
          </w:p>
          <w:p>
            <w:pPr>
              <w:rPr>
                <w:kern w:val="0"/>
                <w:szCs w:val="21"/>
              </w:rPr>
            </w:pPr>
            <w:r>
              <w:rPr>
                <w:rFonts w:hint="eastAsia"/>
                <w:kern w:val="0"/>
                <w:szCs w:val="21"/>
              </w:rPr>
              <w:t>（1）</w:t>
            </w:r>
            <w:r>
              <w:rPr>
                <w:kern w:val="0"/>
                <w:szCs w:val="21"/>
              </w:rPr>
              <w:t xml:space="preserve"> </w:t>
            </w:r>
            <w:r>
              <w:rPr>
                <w:rFonts w:hint="eastAsia"/>
                <w:kern w:val="0"/>
                <w:szCs w:val="21"/>
              </w:rPr>
              <w:t>引言</w:t>
            </w:r>
          </w:p>
          <w:p>
            <w:pPr>
              <w:rPr>
                <w:kern w:val="0"/>
                <w:szCs w:val="21"/>
              </w:rPr>
            </w:pPr>
            <w:r>
              <w:rPr>
                <w:rFonts w:hint="eastAsia"/>
                <w:kern w:val="0"/>
                <w:szCs w:val="21"/>
              </w:rPr>
              <w:t>（2）</w:t>
            </w:r>
            <w:r>
              <w:rPr>
                <w:kern w:val="0"/>
                <w:szCs w:val="21"/>
              </w:rPr>
              <w:t xml:space="preserve"> </w:t>
            </w:r>
            <w:r>
              <w:rPr>
                <w:rFonts w:hint="eastAsia"/>
                <w:kern w:val="0"/>
                <w:szCs w:val="21"/>
              </w:rPr>
              <w:t>聚合物的立体异构现象</w:t>
            </w:r>
          </w:p>
          <w:p>
            <w:pPr>
              <w:rPr>
                <w:kern w:val="0"/>
                <w:szCs w:val="21"/>
              </w:rPr>
            </w:pPr>
            <w:r>
              <w:rPr>
                <w:rFonts w:hint="eastAsia"/>
                <w:kern w:val="0"/>
                <w:szCs w:val="21"/>
              </w:rPr>
              <w:t>（3）Ziegler</w:t>
            </w:r>
            <w:r>
              <w:rPr>
                <w:kern w:val="0"/>
                <w:szCs w:val="21"/>
              </w:rPr>
              <w:t>-N</w:t>
            </w:r>
            <w:r>
              <w:rPr>
                <w:rFonts w:hint="eastAsia"/>
                <w:kern w:val="0"/>
                <w:szCs w:val="21"/>
              </w:rPr>
              <w:t>atta引发剂</w:t>
            </w:r>
          </w:p>
          <w:p>
            <w:pPr>
              <w:rPr>
                <w:kern w:val="0"/>
                <w:szCs w:val="21"/>
              </w:rPr>
            </w:pPr>
            <w:r>
              <w:rPr>
                <w:rFonts w:hint="eastAsia"/>
                <w:kern w:val="0"/>
                <w:szCs w:val="21"/>
              </w:rPr>
              <w:t>（4）丙烯的配位聚合</w:t>
            </w:r>
          </w:p>
          <w:p>
            <w:pPr>
              <w:rPr>
                <w:kern w:val="0"/>
                <w:szCs w:val="21"/>
              </w:rPr>
            </w:pPr>
            <w:r>
              <w:rPr>
                <w:rFonts w:hint="eastAsia"/>
                <w:kern w:val="0"/>
                <w:szCs w:val="21"/>
              </w:rPr>
              <w:t>（5）极性单体的配位聚合</w:t>
            </w:r>
          </w:p>
          <w:p>
            <w:pPr>
              <w:rPr>
                <w:kern w:val="0"/>
                <w:szCs w:val="21"/>
              </w:rPr>
            </w:pPr>
            <w:r>
              <w:rPr>
                <w:rFonts w:hint="eastAsia"/>
                <w:kern w:val="0"/>
                <w:szCs w:val="21"/>
              </w:rPr>
              <w:t>（6）茂金属引发剂</w:t>
            </w:r>
          </w:p>
          <w:p>
            <w:pPr>
              <w:rPr>
                <w:rFonts w:hint="eastAsia"/>
                <w:kern w:val="0"/>
                <w:szCs w:val="21"/>
              </w:rPr>
            </w:pPr>
            <w:r>
              <w:rPr>
                <w:rFonts w:hint="eastAsia"/>
                <w:kern w:val="0"/>
                <w:szCs w:val="21"/>
              </w:rPr>
              <w:t>（7）共轭二烯烃的配位聚合。</w:t>
            </w:r>
          </w:p>
          <w:p>
            <w:pPr>
              <w:rPr>
                <w:kern w:val="0"/>
                <w:szCs w:val="21"/>
              </w:rPr>
            </w:pPr>
          </w:p>
          <w:p>
            <w:pPr>
              <w:rPr>
                <w:rFonts w:hint="eastAsia"/>
                <w:kern w:val="0"/>
                <w:szCs w:val="21"/>
              </w:rPr>
            </w:pPr>
            <w:r>
              <w:rPr>
                <w:b/>
                <w:kern w:val="0"/>
                <w:szCs w:val="21"/>
              </w:rPr>
              <w:t>重点和难点：</w:t>
            </w:r>
            <w:r>
              <w:rPr>
                <w:rFonts w:hint="eastAsia"/>
                <w:kern w:val="0"/>
                <w:szCs w:val="21"/>
              </w:rPr>
              <w:t>聚合物的立体异构现象，配位聚合、定向聚合、等规度等基本概念。</w:t>
            </w:r>
          </w:p>
          <w:p>
            <w:pPr>
              <w:rPr>
                <w:kern w:val="0"/>
                <w:szCs w:val="21"/>
              </w:rPr>
            </w:pPr>
          </w:p>
        </w:tc>
        <w:tc>
          <w:tcPr>
            <w:tcW w:w="1134" w:type="dxa"/>
            <w:vAlign w:val="center"/>
          </w:tcPr>
          <w:p>
            <w:pPr>
              <w:rPr>
                <w:kern w:val="0"/>
                <w:szCs w:val="21"/>
              </w:rPr>
            </w:pPr>
          </w:p>
        </w:tc>
        <w:tc>
          <w:tcPr>
            <w:tcW w:w="2028" w:type="dxa"/>
            <w:vAlign w:val="center"/>
          </w:tcPr>
          <w:p>
            <w:pPr>
              <w:rPr>
                <w:kern w:val="0"/>
                <w:szCs w:val="21"/>
              </w:rPr>
            </w:pPr>
            <w:r>
              <w:rPr>
                <w:rFonts w:hint="eastAsia"/>
                <w:kern w:val="0"/>
                <w:szCs w:val="21"/>
              </w:rPr>
              <w:t>（1）了解聚合物的立体异构现象，配位聚合、定向聚合、等规度等基本概念。</w:t>
            </w:r>
          </w:p>
          <w:p>
            <w:pPr>
              <w:rPr>
                <w:kern w:val="0"/>
                <w:szCs w:val="21"/>
              </w:rPr>
            </w:pPr>
            <w:r>
              <w:rPr>
                <w:rFonts w:hint="eastAsia"/>
                <w:kern w:val="0"/>
                <w:szCs w:val="21"/>
              </w:rPr>
              <w:t>（2）了解Ziegler</w:t>
            </w:r>
            <w:r>
              <w:rPr>
                <w:kern w:val="0"/>
                <w:szCs w:val="21"/>
              </w:rPr>
              <w:t>-N</w:t>
            </w:r>
            <w:r>
              <w:rPr>
                <w:rFonts w:hint="eastAsia"/>
                <w:kern w:val="0"/>
                <w:szCs w:val="21"/>
              </w:rPr>
              <w:t>atta引发剂。</w:t>
            </w:r>
          </w:p>
          <w:p>
            <w:pPr>
              <w:rPr>
                <w:kern w:val="0"/>
                <w:szCs w:val="21"/>
              </w:rPr>
            </w:pPr>
          </w:p>
        </w:tc>
        <w:tc>
          <w:tcPr>
            <w:tcW w:w="699" w:type="dxa"/>
            <w:vAlign w:val="center"/>
          </w:tcPr>
          <w:p>
            <w:pPr>
              <w:jc w:val="center"/>
              <w:rPr>
                <w:rFonts w:hint="eastAsia"/>
                <w:szCs w:val="21"/>
              </w:rPr>
            </w:pPr>
            <w:r>
              <w:rPr>
                <w:rFonts w:hint="eastAsia"/>
                <w:szCs w:val="21"/>
              </w:rPr>
              <w:t>2</w:t>
            </w:r>
          </w:p>
        </w:tc>
        <w:tc>
          <w:tcPr>
            <w:tcW w:w="975" w:type="dxa"/>
            <w:vAlign w:val="center"/>
          </w:tcPr>
          <w:p>
            <w:pPr>
              <w:rPr>
                <w:szCs w:val="21"/>
              </w:rPr>
            </w:pPr>
            <w:r>
              <w:rPr>
                <w:szCs w:val="21"/>
              </w:rPr>
              <w:t>讲授/讨论/等</w:t>
            </w:r>
          </w:p>
        </w:tc>
        <w:tc>
          <w:tcPr>
            <w:tcW w:w="925" w:type="dxa"/>
            <w:vAlign w:val="center"/>
          </w:tcPr>
          <w:p>
            <w:pPr>
              <w:jc w:val="center"/>
              <w:rPr>
                <w:rFonts w:hint="eastAsia"/>
                <w:szCs w:val="21"/>
              </w:rPr>
            </w:pPr>
            <w:r>
              <w:rPr>
                <w:b/>
                <w:kern w:val="0"/>
                <w:szCs w:val="21"/>
              </w:rPr>
              <w:t>目标</w:t>
            </w:r>
            <w:r>
              <w:rPr>
                <w:rFonts w:hint="eastAsia"/>
                <w:b/>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vAlign w:val="center"/>
          </w:tcPr>
          <w:p>
            <w:pPr>
              <w:jc w:val="center"/>
              <w:rPr>
                <w:szCs w:val="21"/>
              </w:rPr>
            </w:pPr>
            <w:r>
              <w:rPr>
                <w:szCs w:val="21"/>
              </w:rPr>
              <w:t>8</w:t>
            </w:r>
          </w:p>
        </w:tc>
        <w:tc>
          <w:tcPr>
            <w:tcW w:w="2632" w:type="dxa"/>
            <w:vAlign w:val="center"/>
          </w:tcPr>
          <w:p>
            <w:pPr>
              <w:rPr>
                <w:b/>
                <w:kern w:val="0"/>
                <w:szCs w:val="21"/>
              </w:rPr>
            </w:pPr>
            <w:r>
              <w:rPr>
                <w:rFonts w:hint="eastAsia"/>
                <w:b/>
                <w:kern w:val="0"/>
                <w:szCs w:val="21"/>
              </w:rPr>
              <w:t>开环聚合：</w:t>
            </w:r>
          </w:p>
          <w:p>
            <w:pPr>
              <w:rPr>
                <w:kern w:val="0"/>
                <w:szCs w:val="21"/>
              </w:rPr>
            </w:pPr>
            <w:r>
              <w:rPr>
                <w:rFonts w:hint="eastAsia"/>
                <w:kern w:val="0"/>
                <w:szCs w:val="21"/>
              </w:rPr>
              <w:t>（1）</w:t>
            </w:r>
            <w:r>
              <w:rPr>
                <w:kern w:val="0"/>
                <w:szCs w:val="21"/>
              </w:rPr>
              <w:t xml:space="preserve"> </w:t>
            </w:r>
            <w:r>
              <w:rPr>
                <w:rFonts w:hint="eastAsia"/>
                <w:kern w:val="0"/>
                <w:szCs w:val="21"/>
              </w:rPr>
              <w:t>环烷烃开环聚合热力学</w:t>
            </w:r>
          </w:p>
          <w:p>
            <w:pPr>
              <w:rPr>
                <w:kern w:val="0"/>
                <w:szCs w:val="21"/>
              </w:rPr>
            </w:pPr>
            <w:r>
              <w:rPr>
                <w:rFonts w:hint="eastAsia"/>
                <w:kern w:val="0"/>
                <w:szCs w:val="21"/>
              </w:rPr>
              <w:t>（2）</w:t>
            </w:r>
            <w:r>
              <w:rPr>
                <w:kern w:val="0"/>
                <w:szCs w:val="21"/>
              </w:rPr>
              <w:t xml:space="preserve"> </w:t>
            </w:r>
            <w:r>
              <w:rPr>
                <w:rFonts w:hint="eastAsia"/>
                <w:kern w:val="0"/>
                <w:szCs w:val="21"/>
              </w:rPr>
              <w:t>杂环开环聚合热力学和动力学特征</w:t>
            </w:r>
          </w:p>
          <w:p>
            <w:pPr>
              <w:rPr>
                <w:kern w:val="0"/>
                <w:szCs w:val="21"/>
              </w:rPr>
            </w:pPr>
            <w:r>
              <w:rPr>
                <w:rFonts w:hint="eastAsia"/>
                <w:kern w:val="0"/>
                <w:szCs w:val="21"/>
              </w:rPr>
              <w:t>（3）</w:t>
            </w:r>
            <w:r>
              <w:rPr>
                <w:kern w:val="0"/>
                <w:szCs w:val="21"/>
              </w:rPr>
              <w:t xml:space="preserve"> </w:t>
            </w:r>
            <w:r>
              <w:rPr>
                <w:rFonts w:hint="eastAsia"/>
                <w:kern w:val="0"/>
                <w:szCs w:val="21"/>
              </w:rPr>
              <w:t>三元环醚的阴离子开环聚合</w:t>
            </w:r>
          </w:p>
          <w:p>
            <w:pPr>
              <w:rPr>
                <w:kern w:val="0"/>
                <w:szCs w:val="21"/>
              </w:rPr>
            </w:pPr>
            <w:r>
              <w:rPr>
                <w:rFonts w:hint="eastAsia"/>
                <w:kern w:val="0"/>
                <w:szCs w:val="21"/>
              </w:rPr>
              <w:t>（4）环醚的阳离子开环聚合</w:t>
            </w:r>
          </w:p>
          <w:p>
            <w:pPr>
              <w:rPr>
                <w:kern w:val="0"/>
                <w:szCs w:val="21"/>
              </w:rPr>
            </w:pPr>
            <w:r>
              <w:rPr>
                <w:rFonts w:hint="eastAsia"/>
                <w:kern w:val="0"/>
                <w:szCs w:val="21"/>
              </w:rPr>
              <w:t>（5）羰基化合物和三氧六环的阳离子开环聚合</w:t>
            </w:r>
          </w:p>
          <w:p>
            <w:pPr>
              <w:rPr>
                <w:kern w:val="0"/>
                <w:szCs w:val="21"/>
              </w:rPr>
            </w:pPr>
            <w:r>
              <w:rPr>
                <w:rFonts w:hint="eastAsia"/>
                <w:kern w:val="0"/>
                <w:szCs w:val="21"/>
              </w:rPr>
              <w:t>（6）己内酰胺的阴离子开环聚合</w:t>
            </w:r>
          </w:p>
          <w:p>
            <w:pPr>
              <w:rPr>
                <w:kern w:val="0"/>
                <w:szCs w:val="21"/>
              </w:rPr>
            </w:pPr>
            <w:r>
              <w:rPr>
                <w:rFonts w:hint="eastAsia"/>
                <w:kern w:val="0"/>
                <w:szCs w:val="21"/>
              </w:rPr>
              <w:t>（7）聚硅氧烷（自学）</w:t>
            </w:r>
          </w:p>
          <w:p>
            <w:pPr>
              <w:rPr>
                <w:kern w:val="0"/>
                <w:szCs w:val="21"/>
              </w:rPr>
            </w:pPr>
            <w:r>
              <w:rPr>
                <w:rFonts w:hint="eastAsia"/>
                <w:kern w:val="0"/>
                <w:szCs w:val="21"/>
              </w:rPr>
              <w:t>（8）聚磷氮烯（自学）</w:t>
            </w:r>
          </w:p>
          <w:p>
            <w:pPr>
              <w:rPr>
                <w:kern w:val="0"/>
                <w:szCs w:val="21"/>
              </w:rPr>
            </w:pPr>
            <w:r>
              <w:rPr>
                <w:rFonts w:hint="eastAsia"/>
                <w:kern w:val="0"/>
                <w:szCs w:val="21"/>
              </w:rPr>
              <w:t>（9）聚氮化硫（自学）</w:t>
            </w:r>
          </w:p>
          <w:p>
            <w:pPr>
              <w:rPr>
                <w:kern w:val="0"/>
                <w:szCs w:val="21"/>
              </w:rPr>
            </w:pPr>
          </w:p>
          <w:p>
            <w:pPr>
              <w:rPr>
                <w:kern w:val="0"/>
                <w:szCs w:val="21"/>
              </w:rPr>
            </w:pPr>
            <w:r>
              <w:rPr>
                <w:b/>
                <w:kern w:val="0"/>
                <w:szCs w:val="21"/>
              </w:rPr>
              <w:t>重点和难点：</w:t>
            </w:r>
            <w:r>
              <w:rPr>
                <w:rFonts w:hint="eastAsia"/>
                <w:kern w:val="0"/>
                <w:szCs w:val="21"/>
              </w:rPr>
              <w:t>开环聚合的单体，环氧乙烷、环氧丙烷等典型的开环反应。</w:t>
            </w:r>
          </w:p>
        </w:tc>
        <w:tc>
          <w:tcPr>
            <w:tcW w:w="1134" w:type="dxa"/>
            <w:vAlign w:val="center"/>
          </w:tcPr>
          <w:p>
            <w:pPr>
              <w:autoSpaceDE w:val="0"/>
              <w:autoSpaceDN w:val="0"/>
              <w:adjustRightInd w:val="0"/>
              <w:rPr>
                <w:kern w:val="0"/>
                <w:szCs w:val="21"/>
              </w:rPr>
            </w:pPr>
            <w:r>
              <w:rPr>
                <w:rFonts w:hint="eastAsia"/>
                <w:kern w:val="0"/>
                <w:szCs w:val="21"/>
              </w:rPr>
              <w:t>职业素养和团队合作精神的培养。</w:t>
            </w:r>
          </w:p>
        </w:tc>
        <w:tc>
          <w:tcPr>
            <w:tcW w:w="2028" w:type="dxa"/>
            <w:vAlign w:val="center"/>
          </w:tcPr>
          <w:p>
            <w:pPr>
              <w:autoSpaceDE w:val="0"/>
              <w:autoSpaceDN w:val="0"/>
              <w:adjustRightInd w:val="0"/>
              <w:rPr>
                <w:rFonts w:hint="eastAsia"/>
                <w:kern w:val="0"/>
                <w:szCs w:val="21"/>
              </w:rPr>
            </w:pPr>
            <w:r>
              <w:rPr>
                <w:rFonts w:hint="eastAsia"/>
                <w:kern w:val="0"/>
                <w:szCs w:val="21"/>
              </w:rPr>
              <w:t>主要学习开环聚合的单体，环氧乙烷、环氧丙烷等典型的开环反应。</w:t>
            </w:r>
          </w:p>
          <w:p>
            <w:pPr>
              <w:autoSpaceDE w:val="0"/>
              <w:autoSpaceDN w:val="0"/>
              <w:adjustRightInd w:val="0"/>
              <w:rPr>
                <w:kern w:val="0"/>
                <w:szCs w:val="21"/>
              </w:rPr>
            </w:pPr>
          </w:p>
        </w:tc>
        <w:tc>
          <w:tcPr>
            <w:tcW w:w="699" w:type="dxa"/>
            <w:vAlign w:val="center"/>
          </w:tcPr>
          <w:p>
            <w:pPr>
              <w:jc w:val="center"/>
              <w:rPr>
                <w:szCs w:val="21"/>
              </w:rPr>
            </w:pPr>
            <w:r>
              <w:rPr>
                <w:rFonts w:hint="eastAsia"/>
                <w:szCs w:val="21"/>
              </w:rPr>
              <w:t>2</w:t>
            </w:r>
          </w:p>
        </w:tc>
        <w:tc>
          <w:tcPr>
            <w:tcW w:w="975" w:type="dxa"/>
            <w:vAlign w:val="center"/>
          </w:tcPr>
          <w:p>
            <w:pPr>
              <w:rPr>
                <w:szCs w:val="21"/>
              </w:rPr>
            </w:pPr>
            <w:r>
              <w:rPr>
                <w:szCs w:val="21"/>
              </w:rPr>
              <w:t>讲授/讨论/PPT</w:t>
            </w:r>
            <w:r>
              <w:rPr>
                <w:rFonts w:hint="eastAsia"/>
                <w:szCs w:val="21"/>
              </w:rPr>
              <w:t>汇报</w:t>
            </w:r>
            <w:r>
              <w:rPr>
                <w:szCs w:val="21"/>
              </w:rPr>
              <w:t>等</w:t>
            </w:r>
          </w:p>
        </w:tc>
        <w:tc>
          <w:tcPr>
            <w:tcW w:w="925" w:type="dxa"/>
            <w:vAlign w:val="center"/>
          </w:tcPr>
          <w:p>
            <w:pPr>
              <w:jc w:val="center"/>
              <w:rPr>
                <w:rFonts w:hint="eastAsia"/>
                <w:szCs w:val="21"/>
              </w:rPr>
            </w:pPr>
            <w:r>
              <w:rPr>
                <w:b/>
                <w:kern w:val="0"/>
                <w:szCs w:val="21"/>
              </w:rPr>
              <w:t>目标</w:t>
            </w:r>
            <w:r>
              <w:rPr>
                <w:rFonts w:hint="eastAsia"/>
                <w:b/>
                <w:kern w:val="0"/>
                <w:szCs w:val="21"/>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vAlign w:val="center"/>
          </w:tcPr>
          <w:p>
            <w:pPr>
              <w:jc w:val="center"/>
              <w:rPr>
                <w:rFonts w:hint="eastAsia"/>
                <w:szCs w:val="21"/>
              </w:rPr>
            </w:pPr>
            <w:r>
              <w:rPr>
                <w:rFonts w:hint="eastAsia"/>
                <w:szCs w:val="21"/>
              </w:rPr>
              <w:t>9</w:t>
            </w:r>
          </w:p>
        </w:tc>
        <w:tc>
          <w:tcPr>
            <w:tcW w:w="2632" w:type="dxa"/>
            <w:vAlign w:val="center"/>
          </w:tcPr>
          <w:p>
            <w:pPr>
              <w:rPr>
                <w:b/>
                <w:kern w:val="0"/>
                <w:szCs w:val="21"/>
              </w:rPr>
            </w:pPr>
            <w:r>
              <w:rPr>
                <w:rFonts w:hint="eastAsia"/>
                <w:b/>
                <w:kern w:val="0"/>
                <w:szCs w:val="21"/>
              </w:rPr>
              <w:t>聚合物的化学反应：</w:t>
            </w:r>
          </w:p>
          <w:p>
            <w:pPr>
              <w:rPr>
                <w:kern w:val="0"/>
                <w:szCs w:val="21"/>
              </w:rPr>
            </w:pPr>
            <w:r>
              <w:rPr>
                <w:rFonts w:hint="eastAsia"/>
                <w:kern w:val="0"/>
                <w:szCs w:val="21"/>
              </w:rPr>
              <w:t>（1）</w:t>
            </w:r>
            <w:r>
              <w:rPr>
                <w:kern w:val="0"/>
                <w:szCs w:val="21"/>
              </w:rPr>
              <w:t xml:space="preserve"> </w:t>
            </w:r>
            <w:r>
              <w:rPr>
                <w:rFonts w:hint="eastAsia"/>
                <w:kern w:val="0"/>
                <w:szCs w:val="21"/>
              </w:rPr>
              <w:t>聚合物化学反应的特征</w:t>
            </w:r>
          </w:p>
          <w:p>
            <w:pPr>
              <w:rPr>
                <w:kern w:val="0"/>
                <w:szCs w:val="21"/>
              </w:rPr>
            </w:pPr>
            <w:r>
              <w:rPr>
                <w:rFonts w:hint="eastAsia"/>
                <w:kern w:val="0"/>
                <w:szCs w:val="21"/>
              </w:rPr>
              <w:t>（2）</w:t>
            </w:r>
            <w:r>
              <w:rPr>
                <w:kern w:val="0"/>
                <w:szCs w:val="21"/>
              </w:rPr>
              <w:t xml:space="preserve"> </w:t>
            </w:r>
            <w:r>
              <w:rPr>
                <w:rFonts w:hint="eastAsia"/>
                <w:kern w:val="0"/>
                <w:szCs w:val="21"/>
              </w:rPr>
              <w:t>聚合物的基团反应</w:t>
            </w:r>
          </w:p>
          <w:p>
            <w:pPr>
              <w:rPr>
                <w:kern w:val="0"/>
                <w:szCs w:val="21"/>
              </w:rPr>
            </w:pPr>
            <w:r>
              <w:rPr>
                <w:rFonts w:hint="eastAsia"/>
                <w:kern w:val="0"/>
                <w:szCs w:val="21"/>
              </w:rPr>
              <w:t>（3）</w:t>
            </w:r>
            <w:r>
              <w:rPr>
                <w:kern w:val="0"/>
                <w:szCs w:val="21"/>
              </w:rPr>
              <w:t xml:space="preserve"> </w:t>
            </w:r>
            <w:r>
              <w:rPr>
                <w:rFonts w:hint="eastAsia"/>
                <w:kern w:val="0"/>
                <w:szCs w:val="21"/>
              </w:rPr>
              <w:t>反应功能高分子</w:t>
            </w:r>
          </w:p>
          <w:p>
            <w:pPr>
              <w:rPr>
                <w:kern w:val="0"/>
                <w:szCs w:val="21"/>
              </w:rPr>
            </w:pPr>
            <w:r>
              <w:rPr>
                <w:rFonts w:hint="eastAsia"/>
                <w:kern w:val="0"/>
                <w:szCs w:val="21"/>
              </w:rPr>
              <w:t>（4）接枝共聚</w:t>
            </w:r>
          </w:p>
          <w:p>
            <w:pPr>
              <w:rPr>
                <w:kern w:val="0"/>
                <w:szCs w:val="21"/>
              </w:rPr>
            </w:pPr>
            <w:r>
              <w:rPr>
                <w:rFonts w:hint="eastAsia"/>
                <w:kern w:val="0"/>
                <w:szCs w:val="21"/>
              </w:rPr>
              <w:t>（5）嵌段共聚</w:t>
            </w:r>
          </w:p>
          <w:p>
            <w:pPr>
              <w:rPr>
                <w:kern w:val="0"/>
                <w:szCs w:val="21"/>
              </w:rPr>
            </w:pPr>
            <w:r>
              <w:rPr>
                <w:rFonts w:hint="eastAsia"/>
                <w:kern w:val="0"/>
                <w:szCs w:val="21"/>
              </w:rPr>
              <w:t>（6）扩链</w:t>
            </w:r>
          </w:p>
          <w:p>
            <w:pPr>
              <w:rPr>
                <w:kern w:val="0"/>
                <w:szCs w:val="21"/>
              </w:rPr>
            </w:pPr>
            <w:r>
              <w:rPr>
                <w:rFonts w:hint="eastAsia"/>
                <w:kern w:val="0"/>
                <w:szCs w:val="21"/>
              </w:rPr>
              <w:t>（7）交联</w:t>
            </w:r>
          </w:p>
          <w:p>
            <w:pPr>
              <w:rPr>
                <w:kern w:val="0"/>
                <w:szCs w:val="21"/>
              </w:rPr>
            </w:pPr>
            <w:r>
              <w:rPr>
                <w:rFonts w:hint="eastAsia"/>
                <w:kern w:val="0"/>
                <w:szCs w:val="21"/>
              </w:rPr>
              <w:t>（8）辐射与老化</w:t>
            </w:r>
          </w:p>
          <w:p>
            <w:pPr>
              <w:rPr>
                <w:kern w:val="0"/>
                <w:szCs w:val="21"/>
              </w:rPr>
            </w:pPr>
          </w:p>
          <w:p>
            <w:pPr>
              <w:rPr>
                <w:kern w:val="0"/>
                <w:szCs w:val="21"/>
              </w:rPr>
            </w:pPr>
            <w:r>
              <w:rPr>
                <w:b/>
                <w:kern w:val="0"/>
                <w:szCs w:val="21"/>
              </w:rPr>
              <w:t>重点和难点：</w:t>
            </w:r>
            <w:r>
              <w:rPr>
                <w:rFonts w:hint="eastAsia"/>
                <w:kern w:val="0"/>
                <w:szCs w:val="21"/>
              </w:rPr>
              <w:t>聚合物化学反应特点、活性及其影响因素，聚合物的相似转变、接枝、扩链、交联反应原理。</w:t>
            </w:r>
          </w:p>
        </w:tc>
        <w:tc>
          <w:tcPr>
            <w:tcW w:w="1134" w:type="dxa"/>
            <w:vAlign w:val="center"/>
          </w:tcPr>
          <w:p>
            <w:pPr>
              <w:autoSpaceDE w:val="0"/>
              <w:autoSpaceDN w:val="0"/>
              <w:adjustRightInd w:val="0"/>
              <w:rPr>
                <w:kern w:val="0"/>
                <w:szCs w:val="21"/>
              </w:rPr>
            </w:pPr>
            <w:r>
              <w:rPr>
                <w:rFonts w:hint="eastAsia"/>
                <w:kern w:val="0"/>
                <w:szCs w:val="21"/>
              </w:rPr>
              <w:t>以实际的聚合反应例子结合当前发展现状，灌输改革创新为核心的时代精神。</w:t>
            </w:r>
          </w:p>
        </w:tc>
        <w:tc>
          <w:tcPr>
            <w:tcW w:w="2028" w:type="dxa"/>
            <w:vAlign w:val="center"/>
          </w:tcPr>
          <w:p>
            <w:pPr>
              <w:autoSpaceDE w:val="0"/>
              <w:autoSpaceDN w:val="0"/>
              <w:adjustRightInd w:val="0"/>
              <w:rPr>
                <w:kern w:val="0"/>
                <w:szCs w:val="21"/>
              </w:rPr>
            </w:pPr>
            <w:r>
              <w:rPr>
                <w:rFonts w:hint="eastAsia"/>
                <w:kern w:val="0"/>
                <w:szCs w:val="21"/>
              </w:rPr>
              <w:t>（1）掌握聚合物化学反应特点、活性及其影响因素，聚合物的相似转变、接枝、扩链、交联反应原理。</w:t>
            </w:r>
          </w:p>
          <w:p>
            <w:pPr>
              <w:autoSpaceDE w:val="0"/>
              <w:autoSpaceDN w:val="0"/>
              <w:adjustRightInd w:val="0"/>
              <w:rPr>
                <w:kern w:val="0"/>
                <w:szCs w:val="21"/>
              </w:rPr>
            </w:pPr>
            <w:r>
              <w:rPr>
                <w:rFonts w:hint="eastAsia"/>
                <w:kern w:val="0"/>
                <w:szCs w:val="21"/>
              </w:rPr>
              <w:t>（2）了解功能高分子，高分子的降解、老化及防化原理。</w:t>
            </w:r>
          </w:p>
          <w:p>
            <w:pPr>
              <w:autoSpaceDE w:val="0"/>
              <w:autoSpaceDN w:val="0"/>
              <w:adjustRightInd w:val="0"/>
              <w:rPr>
                <w:kern w:val="0"/>
                <w:szCs w:val="21"/>
              </w:rPr>
            </w:pPr>
          </w:p>
        </w:tc>
        <w:tc>
          <w:tcPr>
            <w:tcW w:w="699" w:type="dxa"/>
            <w:vAlign w:val="center"/>
          </w:tcPr>
          <w:p>
            <w:pPr>
              <w:jc w:val="center"/>
              <w:rPr>
                <w:rFonts w:hint="eastAsia"/>
                <w:szCs w:val="21"/>
              </w:rPr>
            </w:pPr>
            <w:r>
              <w:rPr>
                <w:rFonts w:hint="eastAsia"/>
                <w:szCs w:val="21"/>
              </w:rPr>
              <w:t>2</w:t>
            </w:r>
          </w:p>
        </w:tc>
        <w:tc>
          <w:tcPr>
            <w:tcW w:w="975" w:type="dxa"/>
            <w:vAlign w:val="center"/>
          </w:tcPr>
          <w:p>
            <w:pPr>
              <w:rPr>
                <w:szCs w:val="21"/>
              </w:rPr>
            </w:pPr>
            <w:r>
              <w:rPr>
                <w:szCs w:val="21"/>
              </w:rPr>
              <w:t>讨论/PPT</w:t>
            </w:r>
            <w:r>
              <w:rPr>
                <w:rFonts w:hint="eastAsia"/>
                <w:szCs w:val="21"/>
              </w:rPr>
              <w:t>汇报</w:t>
            </w:r>
            <w:r>
              <w:rPr>
                <w:szCs w:val="21"/>
              </w:rPr>
              <w:t>等等</w:t>
            </w:r>
          </w:p>
        </w:tc>
        <w:tc>
          <w:tcPr>
            <w:tcW w:w="925" w:type="dxa"/>
            <w:vAlign w:val="center"/>
          </w:tcPr>
          <w:p>
            <w:pPr>
              <w:jc w:val="center"/>
              <w:rPr>
                <w:rFonts w:hint="eastAsia"/>
                <w:szCs w:val="21"/>
              </w:rPr>
            </w:pPr>
            <w:r>
              <w:rPr>
                <w:b/>
                <w:kern w:val="0"/>
                <w:szCs w:val="21"/>
              </w:rPr>
              <w:t>目标</w:t>
            </w:r>
            <w:r>
              <w:rPr>
                <w:rFonts w:hint="eastAsia"/>
                <w:b/>
                <w:kern w:val="0"/>
                <w:szCs w:val="21"/>
              </w:rPr>
              <w:t>3、4</w:t>
            </w:r>
          </w:p>
        </w:tc>
      </w:tr>
    </w:tbl>
    <w:p>
      <w:pPr>
        <w:spacing w:before="312" w:beforeLines="100" w:line="360" w:lineRule="auto"/>
        <w:ind w:firstLine="562" w:firstLineChars="200"/>
        <w:rPr>
          <w:rFonts w:eastAsiaTheme="minorEastAsia"/>
          <w:b/>
          <w:sz w:val="28"/>
          <w:szCs w:val="28"/>
        </w:rPr>
      </w:pPr>
      <w:r>
        <w:rPr>
          <w:rFonts w:eastAsiaTheme="minorEastAsia"/>
          <w:b/>
          <w:sz w:val="28"/>
          <w:szCs w:val="28"/>
        </w:rPr>
        <w:t>四、课程实施</w:t>
      </w:r>
    </w:p>
    <w:p>
      <w:pPr>
        <w:spacing w:before="312" w:beforeLines="100" w:line="360" w:lineRule="auto"/>
        <w:ind w:firstLine="562" w:firstLineChars="200"/>
        <w:rPr>
          <w:rFonts w:hint="eastAsia" w:eastAsiaTheme="minorEastAsia"/>
          <w:b/>
          <w:sz w:val="28"/>
          <w:szCs w:val="28"/>
        </w:rPr>
      </w:pPr>
      <w:r>
        <w:rPr>
          <w:rFonts w:hint="eastAsia" w:eastAsiaTheme="minorEastAsia"/>
          <w:b/>
          <w:sz w:val="28"/>
          <w:szCs w:val="28"/>
        </w:rPr>
        <w:t>（一）教学方法和教学手段</w:t>
      </w:r>
    </w:p>
    <w:p>
      <w:pPr>
        <w:spacing w:line="360" w:lineRule="auto"/>
        <w:ind w:firstLine="482"/>
        <w:jc w:val="left"/>
        <w:rPr>
          <w:rFonts w:eastAsiaTheme="minorEastAsia"/>
          <w:sz w:val="24"/>
        </w:rPr>
      </w:pPr>
      <w:r>
        <w:rPr>
          <w:rFonts w:hint="eastAsia" w:eastAsiaTheme="minorEastAsia"/>
          <w:sz w:val="24"/>
        </w:rPr>
        <w:t>1.</w:t>
      </w:r>
      <w:r>
        <w:rPr>
          <w:rFonts w:eastAsiaTheme="minorEastAsia"/>
          <w:sz w:val="24"/>
        </w:rPr>
        <w:t xml:space="preserve"> 把握主线，引导学生掌握</w:t>
      </w:r>
      <w:r>
        <w:rPr>
          <w:rFonts w:hint="eastAsia" w:eastAsiaTheme="minorEastAsia"/>
          <w:sz w:val="24"/>
        </w:rPr>
        <w:t>高分子</w:t>
      </w:r>
      <w:r>
        <w:rPr>
          <w:rFonts w:eastAsiaTheme="minorEastAsia"/>
          <w:sz w:val="24"/>
        </w:rPr>
        <w:t>化学中的基本知识、基本理论、基本技能及学习有机化学的基本思想和方法，帮助学生深刻掌握</w:t>
      </w:r>
      <w:r>
        <w:rPr>
          <w:rFonts w:hint="eastAsia" w:eastAsiaTheme="minorEastAsia"/>
          <w:sz w:val="24"/>
        </w:rPr>
        <w:t>高分子</w:t>
      </w:r>
      <w:r>
        <w:rPr>
          <w:rFonts w:eastAsiaTheme="minorEastAsia"/>
          <w:sz w:val="24"/>
        </w:rPr>
        <w:t>化学的基本</w:t>
      </w:r>
      <w:r>
        <w:rPr>
          <w:rFonts w:hint="eastAsia" w:eastAsiaTheme="minorEastAsia"/>
          <w:sz w:val="24"/>
        </w:rPr>
        <w:t>反应</w:t>
      </w:r>
      <w:r>
        <w:rPr>
          <w:rFonts w:eastAsiaTheme="minorEastAsia"/>
          <w:sz w:val="24"/>
        </w:rPr>
        <w:t>原理</w:t>
      </w:r>
      <w:r>
        <w:rPr>
          <w:rFonts w:hint="eastAsia" w:eastAsiaTheme="minorEastAsia"/>
          <w:sz w:val="24"/>
        </w:rPr>
        <w:t>、合成方法和生产工艺</w:t>
      </w:r>
      <w:r>
        <w:rPr>
          <w:rFonts w:eastAsiaTheme="minorEastAsia"/>
          <w:sz w:val="24"/>
        </w:rPr>
        <w:t>，并利用</w:t>
      </w:r>
      <w:r>
        <w:rPr>
          <w:rFonts w:hint="eastAsia" w:eastAsiaTheme="minorEastAsia"/>
          <w:sz w:val="24"/>
        </w:rPr>
        <w:t>文献和各种网络资源</w:t>
      </w:r>
      <w:r>
        <w:rPr>
          <w:rFonts w:eastAsiaTheme="minorEastAsia"/>
          <w:sz w:val="24"/>
        </w:rPr>
        <w:t>，</w:t>
      </w:r>
      <w:r>
        <w:rPr>
          <w:rFonts w:hint="eastAsia" w:eastAsiaTheme="minorEastAsia"/>
          <w:sz w:val="24"/>
        </w:rPr>
        <w:t>以了解目前国内外高分子材料的生产现状</w:t>
      </w:r>
      <w:r>
        <w:rPr>
          <w:rFonts w:eastAsiaTheme="minorEastAsia"/>
          <w:sz w:val="24"/>
        </w:rPr>
        <w:t>，培养学生逻辑思维能力以及利用</w:t>
      </w:r>
      <w:r>
        <w:rPr>
          <w:rFonts w:hint="eastAsia" w:eastAsiaTheme="minorEastAsia"/>
          <w:sz w:val="24"/>
        </w:rPr>
        <w:t>高分子</w:t>
      </w:r>
      <w:r>
        <w:rPr>
          <w:rFonts w:eastAsiaTheme="minorEastAsia"/>
          <w:sz w:val="24"/>
        </w:rPr>
        <w:t>化学基本知识和原理解决复杂工程中问题的能力，并在此基础上能结合现代文献形成终身学习的能力。</w:t>
      </w:r>
    </w:p>
    <w:p>
      <w:pPr>
        <w:spacing w:line="360" w:lineRule="auto"/>
        <w:ind w:firstLine="480" w:firstLineChars="200"/>
        <w:rPr>
          <w:rFonts w:eastAsiaTheme="minorEastAsia"/>
          <w:sz w:val="24"/>
        </w:rPr>
      </w:pPr>
      <w:r>
        <w:rPr>
          <w:rFonts w:hint="eastAsia" w:eastAsiaTheme="minorEastAsia"/>
          <w:sz w:val="24"/>
        </w:rPr>
        <w:t>2.</w:t>
      </w:r>
      <w:r>
        <w:rPr>
          <w:rFonts w:eastAsiaTheme="minorEastAsia"/>
          <w:sz w:val="24"/>
        </w:rPr>
        <w:t xml:space="preserve"> 采用多媒体教学手段，配合</w:t>
      </w:r>
      <w:r>
        <w:rPr>
          <w:rFonts w:hint="eastAsia" w:eastAsiaTheme="minorEastAsia"/>
          <w:sz w:val="24"/>
        </w:rPr>
        <w:t>多种教学方法和适度的提问、讨论等教学手段</w:t>
      </w:r>
      <w:r>
        <w:rPr>
          <w:rFonts w:eastAsiaTheme="minorEastAsia"/>
          <w:sz w:val="24"/>
        </w:rPr>
        <w:t>，保证讲课进度的同时，注意学生的掌握</w:t>
      </w:r>
      <w:r>
        <w:rPr>
          <w:rFonts w:hint="eastAsia" w:eastAsiaTheme="minorEastAsia"/>
          <w:sz w:val="24"/>
        </w:rPr>
        <w:t>深度广度，并注意调节</w:t>
      </w:r>
      <w:r>
        <w:rPr>
          <w:rFonts w:eastAsiaTheme="minorEastAsia"/>
          <w:sz w:val="24"/>
        </w:rPr>
        <w:t>课堂的气氛</w:t>
      </w:r>
      <w:r>
        <w:rPr>
          <w:rFonts w:hint="eastAsia" w:eastAsiaTheme="minorEastAsia"/>
          <w:sz w:val="24"/>
        </w:rPr>
        <w:t>。</w:t>
      </w:r>
    </w:p>
    <w:p>
      <w:pPr>
        <w:spacing w:line="360" w:lineRule="auto"/>
        <w:ind w:firstLine="480" w:firstLineChars="200"/>
        <w:rPr>
          <w:rFonts w:eastAsiaTheme="minorEastAsia"/>
          <w:sz w:val="24"/>
        </w:rPr>
      </w:pPr>
      <w:r>
        <w:rPr>
          <w:rFonts w:hint="eastAsia" w:eastAsiaTheme="minorEastAsia"/>
          <w:sz w:val="24"/>
        </w:rPr>
        <w:t>3.</w:t>
      </w:r>
      <w:r>
        <w:rPr>
          <w:rFonts w:eastAsiaTheme="minorEastAsia"/>
          <w:sz w:val="24"/>
        </w:rPr>
        <w:t xml:space="preserve"> 采用案例式教学，引进实际案例，让学生具备相关知识和方法的实际应用能力。</w:t>
      </w:r>
    </w:p>
    <w:p>
      <w:pPr>
        <w:spacing w:line="360" w:lineRule="auto"/>
        <w:ind w:firstLine="480" w:firstLineChars="200"/>
        <w:rPr>
          <w:rFonts w:eastAsiaTheme="minorEastAsia"/>
          <w:sz w:val="24"/>
        </w:rPr>
      </w:pPr>
      <w:r>
        <w:rPr>
          <w:rFonts w:hint="eastAsia" w:eastAsiaTheme="minorEastAsia"/>
          <w:sz w:val="24"/>
        </w:rPr>
        <w:t>4.</w:t>
      </w:r>
      <w:r>
        <w:rPr>
          <w:rFonts w:eastAsiaTheme="minorEastAsia"/>
          <w:sz w:val="24"/>
        </w:rPr>
        <w:t xml:space="preserve"> 定期进行反馈，并针对学生学习的薄弱环节，可能遇到的难点和重点内容进行有针对性地辅导答疑。</w:t>
      </w:r>
    </w:p>
    <w:p>
      <w:pPr>
        <w:spacing w:line="360" w:lineRule="auto"/>
        <w:ind w:firstLine="480" w:firstLineChars="200"/>
        <w:rPr>
          <w:rFonts w:eastAsiaTheme="minorEastAsia"/>
          <w:sz w:val="24"/>
        </w:rPr>
      </w:pPr>
      <w:r>
        <w:rPr>
          <w:rFonts w:hint="eastAsia" w:eastAsiaTheme="minorEastAsia"/>
          <w:sz w:val="24"/>
        </w:rPr>
        <w:t>5.</w:t>
      </w:r>
      <w:r>
        <w:rPr>
          <w:rFonts w:eastAsiaTheme="minorEastAsia"/>
          <w:sz w:val="24"/>
        </w:rPr>
        <w:t xml:space="preserve"> 采用现场交流和网上交流沟通等多种方式与学生进行交流沟通。</w:t>
      </w:r>
    </w:p>
    <w:p>
      <w:pPr>
        <w:spacing w:before="312" w:beforeLines="100" w:line="360" w:lineRule="auto"/>
        <w:ind w:firstLine="562" w:firstLineChars="200"/>
        <w:rPr>
          <w:rFonts w:eastAsiaTheme="minorEastAsia"/>
          <w:b/>
          <w:sz w:val="28"/>
          <w:szCs w:val="28"/>
        </w:rPr>
      </w:pPr>
      <w:r>
        <w:rPr>
          <w:rFonts w:eastAsiaTheme="minorEastAsia"/>
          <w:b/>
          <w:sz w:val="28"/>
          <w:szCs w:val="28"/>
        </w:rPr>
        <w:t>（</w:t>
      </w:r>
      <w:r>
        <w:rPr>
          <w:rFonts w:hint="eastAsia" w:eastAsiaTheme="minorEastAsia"/>
          <w:b/>
          <w:sz w:val="28"/>
          <w:szCs w:val="28"/>
        </w:rPr>
        <w:t>二</w:t>
      </w:r>
      <w:r>
        <w:rPr>
          <w:rFonts w:eastAsiaTheme="minorEastAsia"/>
          <w:b/>
          <w:sz w:val="28"/>
          <w:szCs w:val="28"/>
        </w:rPr>
        <w:t>）</w:t>
      </w:r>
      <w:r>
        <w:rPr>
          <w:rFonts w:hint="eastAsia" w:eastAsiaTheme="minorEastAsia"/>
          <w:b/>
          <w:sz w:val="28"/>
          <w:szCs w:val="28"/>
        </w:rPr>
        <w:t>课程实施与保障</w:t>
      </w:r>
    </w:p>
    <w:tbl>
      <w:tblPr>
        <w:tblStyle w:val="10"/>
        <w:tblW w:w="9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
        <w:gridCol w:w="1701"/>
        <w:gridCol w:w="6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3" w:type="dxa"/>
            <w:gridSpan w:val="2"/>
            <w:tcBorders>
              <w:top w:val="single" w:color="auto" w:sz="8" w:space="0"/>
              <w:left w:val="single" w:color="auto" w:sz="8" w:space="0"/>
              <w:right w:val="single" w:color="auto" w:sz="8" w:space="0"/>
            </w:tcBorders>
            <w:tcMar>
              <w:left w:w="28" w:type="dxa"/>
              <w:right w:w="28" w:type="dxa"/>
            </w:tcMar>
            <w:vAlign w:val="center"/>
          </w:tcPr>
          <w:p>
            <w:pPr>
              <w:spacing w:line="276" w:lineRule="auto"/>
              <w:jc w:val="center"/>
              <w:rPr>
                <w:rFonts w:eastAsiaTheme="minorEastAsia"/>
                <w:szCs w:val="21"/>
              </w:rPr>
            </w:pPr>
            <w:r>
              <w:rPr>
                <w:rFonts w:eastAsiaTheme="minorEastAsia"/>
                <w:bCs/>
                <w:szCs w:val="21"/>
              </w:rPr>
              <w:t>主要教学环节</w:t>
            </w:r>
          </w:p>
        </w:tc>
        <w:tc>
          <w:tcPr>
            <w:tcW w:w="6817" w:type="dxa"/>
            <w:tcBorders>
              <w:top w:val="single" w:color="auto" w:sz="8" w:space="0"/>
              <w:left w:val="single" w:color="auto" w:sz="8" w:space="0"/>
              <w:right w:val="single" w:color="auto" w:sz="8" w:space="0"/>
            </w:tcBorders>
            <w:vAlign w:val="center"/>
          </w:tcPr>
          <w:p>
            <w:pPr>
              <w:spacing w:line="276" w:lineRule="auto"/>
              <w:jc w:val="center"/>
              <w:rPr>
                <w:rFonts w:eastAsiaTheme="minorEastAsia"/>
                <w:szCs w:val="21"/>
              </w:rPr>
            </w:pPr>
            <w:r>
              <w:rPr>
                <w:rFonts w:eastAsiaTheme="minorEastAsia"/>
                <w:bCs/>
                <w:szCs w:val="21"/>
              </w:rPr>
              <w:t>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6" w:hRule="atLeast"/>
          <w:jc w:val="center"/>
        </w:trPr>
        <w:tc>
          <w:tcPr>
            <w:tcW w:w="582" w:type="dxa"/>
            <w:tcBorders>
              <w:left w:val="single" w:color="auto" w:sz="8" w:space="0"/>
            </w:tcBorders>
            <w:vAlign w:val="center"/>
          </w:tcPr>
          <w:p>
            <w:pPr>
              <w:spacing w:line="276" w:lineRule="auto"/>
              <w:jc w:val="center"/>
              <w:rPr>
                <w:rFonts w:eastAsiaTheme="minorEastAsia"/>
                <w:szCs w:val="21"/>
              </w:rPr>
            </w:pPr>
            <w:r>
              <w:rPr>
                <w:rFonts w:eastAsiaTheme="minorEastAsia"/>
                <w:szCs w:val="21"/>
              </w:rPr>
              <w:t>1</w:t>
            </w:r>
          </w:p>
        </w:tc>
        <w:tc>
          <w:tcPr>
            <w:tcW w:w="1701" w:type="dxa"/>
            <w:tcMar>
              <w:left w:w="28" w:type="dxa"/>
              <w:right w:w="28" w:type="dxa"/>
            </w:tcMar>
            <w:vAlign w:val="center"/>
          </w:tcPr>
          <w:p>
            <w:pPr>
              <w:spacing w:line="276" w:lineRule="auto"/>
              <w:jc w:val="center"/>
              <w:rPr>
                <w:rFonts w:eastAsiaTheme="minorEastAsia"/>
                <w:szCs w:val="21"/>
              </w:rPr>
            </w:pPr>
            <w:r>
              <w:rPr>
                <w:rFonts w:eastAsiaTheme="minorEastAsia"/>
                <w:szCs w:val="21"/>
              </w:rPr>
              <w:t>备课</w:t>
            </w:r>
          </w:p>
        </w:tc>
        <w:tc>
          <w:tcPr>
            <w:tcW w:w="6817" w:type="dxa"/>
            <w:tcBorders>
              <w:right w:val="single" w:color="auto" w:sz="8" w:space="0"/>
            </w:tcBorders>
            <w:vAlign w:val="center"/>
          </w:tcPr>
          <w:p>
            <w:pPr>
              <w:spacing w:line="276" w:lineRule="auto"/>
              <w:rPr>
                <w:rFonts w:eastAsiaTheme="minorEastAsia"/>
                <w:szCs w:val="21"/>
              </w:rPr>
            </w:pPr>
            <w:r>
              <w:rPr>
                <w:rFonts w:eastAsiaTheme="minorEastAsia"/>
                <w:szCs w:val="21"/>
              </w:rPr>
              <w:t>（1）掌握本课程教学大纲内容，严格按照教学大纲要求进行课程教学内容的组织。</w:t>
            </w:r>
          </w:p>
          <w:p>
            <w:pPr>
              <w:spacing w:line="276" w:lineRule="auto"/>
              <w:rPr>
                <w:rFonts w:eastAsiaTheme="minorEastAsia"/>
                <w:szCs w:val="21"/>
              </w:rPr>
            </w:pPr>
            <w:r>
              <w:rPr>
                <w:rFonts w:eastAsiaTheme="minorEastAsia"/>
                <w:szCs w:val="21"/>
              </w:rPr>
              <w:t>（2）熟读多种专业书籍资料，熟悉教材各章节，并严格依据教学大纲编写教学进度，编写每次授课的电子教案和讲稿。教案内容包括章节标题、教学目的、教法设计、课堂类型、时间分配、授课内容、课后作业、教学效果分析等方面。</w:t>
            </w:r>
          </w:p>
          <w:p>
            <w:pPr>
              <w:spacing w:line="276" w:lineRule="auto"/>
              <w:rPr>
                <w:rFonts w:eastAsiaTheme="minorEastAsia"/>
                <w:szCs w:val="21"/>
              </w:rPr>
            </w:pPr>
            <w:r>
              <w:rPr>
                <w:rFonts w:hint="eastAsia" w:eastAsiaTheme="minorEastAsia"/>
                <w:szCs w:val="21"/>
              </w:rPr>
              <w:t>（3）根据学生学习情况的反馈及时调整教学方法，并保证与学生沟通畅通。</w:t>
            </w:r>
          </w:p>
          <w:p>
            <w:pPr>
              <w:spacing w:line="276" w:lineRule="auto"/>
              <w:rPr>
                <w:rFonts w:eastAsiaTheme="minorEastAsia"/>
                <w:szCs w:val="21"/>
              </w:rPr>
            </w:pPr>
            <w:r>
              <w:rPr>
                <w:rFonts w:eastAsiaTheme="minorEastAsia"/>
                <w:szCs w:val="21"/>
              </w:rPr>
              <w:t>（</w:t>
            </w:r>
            <w:r>
              <w:rPr>
                <w:rFonts w:hint="eastAsia" w:eastAsiaTheme="minorEastAsia"/>
                <w:szCs w:val="21"/>
              </w:rPr>
              <w:t>4</w:t>
            </w:r>
            <w:r>
              <w:rPr>
                <w:rFonts w:eastAsiaTheme="minorEastAsia"/>
                <w:szCs w:val="21"/>
              </w:rPr>
              <w:t>）总结多年的教学经验与教训，揣摩教学技巧，并向同行求经，选择合适的教学方法</w:t>
            </w:r>
            <w:r>
              <w:rPr>
                <w:rFonts w:hint="eastAsia" w:eastAsiaTheme="minorEastAsia"/>
                <w:szCs w:val="21"/>
              </w:rPr>
              <w:t>和教学手段</w:t>
            </w:r>
            <w:r>
              <w:rPr>
                <w:rFonts w:eastAsia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tcBorders>
              <w:left w:val="single" w:color="auto" w:sz="8" w:space="0"/>
            </w:tcBorders>
            <w:vAlign w:val="center"/>
          </w:tcPr>
          <w:p>
            <w:pPr>
              <w:spacing w:line="276" w:lineRule="auto"/>
              <w:jc w:val="center"/>
              <w:rPr>
                <w:rFonts w:eastAsiaTheme="minorEastAsia"/>
                <w:szCs w:val="21"/>
              </w:rPr>
            </w:pPr>
            <w:r>
              <w:rPr>
                <w:rFonts w:eastAsiaTheme="minorEastAsia"/>
                <w:szCs w:val="21"/>
              </w:rPr>
              <w:t>2</w:t>
            </w:r>
          </w:p>
        </w:tc>
        <w:tc>
          <w:tcPr>
            <w:tcW w:w="1701" w:type="dxa"/>
            <w:tcMar>
              <w:left w:w="28" w:type="dxa"/>
              <w:right w:w="28" w:type="dxa"/>
            </w:tcMar>
            <w:vAlign w:val="center"/>
          </w:tcPr>
          <w:p>
            <w:pPr>
              <w:spacing w:line="276" w:lineRule="auto"/>
              <w:jc w:val="center"/>
              <w:rPr>
                <w:rFonts w:eastAsiaTheme="minorEastAsia"/>
                <w:szCs w:val="21"/>
              </w:rPr>
            </w:pPr>
            <w:r>
              <w:rPr>
                <w:rFonts w:eastAsiaTheme="minorEastAsia"/>
                <w:szCs w:val="21"/>
              </w:rPr>
              <w:t>讲授</w:t>
            </w:r>
          </w:p>
        </w:tc>
        <w:tc>
          <w:tcPr>
            <w:tcW w:w="6817" w:type="dxa"/>
            <w:tcBorders>
              <w:right w:val="single" w:color="auto" w:sz="8" w:space="0"/>
            </w:tcBorders>
            <w:vAlign w:val="center"/>
          </w:tcPr>
          <w:p>
            <w:pPr>
              <w:numPr>
                <w:ilvl w:val="0"/>
                <w:numId w:val="5"/>
              </w:numPr>
              <w:spacing w:line="276" w:lineRule="auto"/>
              <w:rPr>
                <w:rFonts w:eastAsiaTheme="minorEastAsia"/>
                <w:szCs w:val="21"/>
              </w:rPr>
            </w:pPr>
            <w:r>
              <w:rPr>
                <w:rFonts w:eastAsiaTheme="minorEastAsia"/>
                <w:szCs w:val="21"/>
              </w:rPr>
              <w:t>要点准确、条理清晰、重点突出，力求将细节和要点解释清晰明了，让学生能弄懂学会。</w:t>
            </w:r>
          </w:p>
          <w:p>
            <w:pPr>
              <w:numPr>
                <w:ilvl w:val="0"/>
                <w:numId w:val="5"/>
              </w:numPr>
              <w:spacing w:line="276" w:lineRule="auto"/>
              <w:rPr>
                <w:rFonts w:eastAsiaTheme="minorEastAsia"/>
                <w:szCs w:val="21"/>
              </w:rPr>
            </w:pPr>
            <w:r>
              <w:rPr>
                <w:rFonts w:eastAsiaTheme="minorEastAsia"/>
                <w:szCs w:val="21"/>
              </w:rPr>
              <w:t>能够理论联系实际，熟练地解答和讲解例题。</w:t>
            </w:r>
          </w:p>
          <w:p>
            <w:pPr>
              <w:spacing w:line="276" w:lineRule="auto"/>
              <w:rPr>
                <w:rFonts w:eastAsiaTheme="minorEastAsia"/>
                <w:szCs w:val="21"/>
              </w:rPr>
            </w:pPr>
            <w:r>
              <w:rPr>
                <w:rFonts w:eastAsiaTheme="minorEastAsia"/>
                <w:szCs w:val="21"/>
              </w:rPr>
              <w:t>（2）采用多种教学方式（如启发式教学、案例分析教学、讨论式教学、多媒体示范教学等），注重培养学生发现、分析和解决问题的能力。</w:t>
            </w:r>
          </w:p>
          <w:p>
            <w:pPr>
              <w:spacing w:line="276" w:lineRule="auto"/>
              <w:rPr>
                <w:rFonts w:eastAsiaTheme="minorEastAsia"/>
                <w:szCs w:val="21"/>
              </w:rPr>
            </w:pPr>
            <w:r>
              <w:rPr>
                <w:rFonts w:eastAsiaTheme="minorEastAsia"/>
                <w:szCs w:val="21"/>
              </w:rPr>
              <w:t>（3）能够采用现代信息技术辅助教学。</w:t>
            </w:r>
          </w:p>
          <w:p>
            <w:pPr>
              <w:spacing w:line="276" w:lineRule="auto"/>
              <w:rPr>
                <w:rFonts w:eastAsiaTheme="minorEastAsia"/>
                <w:szCs w:val="21"/>
              </w:rPr>
            </w:pPr>
            <w:r>
              <w:rPr>
                <w:rFonts w:eastAsiaTheme="minorEastAsia"/>
                <w:szCs w:val="21"/>
              </w:rPr>
              <w:t>（4）表达方式应能便于学生理解、接受，力求形象生动，使学生在掌握知识的过程中，保持较为浓厚的学习兴趣。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jc w:val="center"/>
        </w:trPr>
        <w:tc>
          <w:tcPr>
            <w:tcW w:w="582" w:type="dxa"/>
            <w:tcBorders>
              <w:left w:val="single" w:color="auto" w:sz="8" w:space="0"/>
            </w:tcBorders>
            <w:vAlign w:val="center"/>
          </w:tcPr>
          <w:p>
            <w:pPr>
              <w:spacing w:line="276" w:lineRule="auto"/>
              <w:jc w:val="center"/>
              <w:rPr>
                <w:rFonts w:eastAsiaTheme="minorEastAsia"/>
                <w:szCs w:val="21"/>
              </w:rPr>
            </w:pPr>
            <w:r>
              <w:rPr>
                <w:rFonts w:eastAsiaTheme="minorEastAsia"/>
                <w:szCs w:val="21"/>
              </w:rPr>
              <w:t>3</w:t>
            </w:r>
          </w:p>
        </w:tc>
        <w:tc>
          <w:tcPr>
            <w:tcW w:w="1701" w:type="dxa"/>
            <w:tcMar>
              <w:left w:w="28" w:type="dxa"/>
              <w:right w:w="28" w:type="dxa"/>
            </w:tcMar>
            <w:vAlign w:val="center"/>
          </w:tcPr>
          <w:p>
            <w:pPr>
              <w:spacing w:line="276" w:lineRule="auto"/>
              <w:jc w:val="center"/>
              <w:rPr>
                <w:rFonts w:eastAsiaTheme="minorEastAsia"/>
                <w:szCs w:val="21"/>
              </w:rPr>
            </w:pPr>
            <w:r>
              <w:rPr>
                <w:rFonts w:eastAsiaTheme="minorEastAsia"/>
                <w:szCs w:val="21"/>
              </w:rPr>
              <w:t>作业布置与批改</w:t>
            </w:r>
          </w:p>
        </w:tc>
        <w:tc>
          <w:tcPr>
            <w:tcW w:w="6817" w:type="dxa"/>
            <w:tcBorders>
              <w:right w:val="single" w:color="auto" w:sz="8" w:space="0"/>
            </w:tcBorders>
            <w:vAlign w:val="center"/>
          </w:tcPr>
          <w:p>
            <w:pPr>
              <w:spacing w:line="276" w:lineRule="auto"/>
              <w:rPr>
                <w:rFonts w:eastAsiaTheme="minorEastAsia"/>
                <w:szCs w:val="21"/>
              </w:rPr>
            </w:pPr>
            <w:r>
              <w:rPr>
                <w:rFonts w:eastAsiaTheme="minorEastAsia"/>
                <w:szCs w:val="21"/>
              </w:rPr>
              <w:t>学生必须完成规定数量的作业，作业必须达到以下基本要求：</w:t>
            </w:r>
          </w:p>
          <w:p>
            <w:pPr>
              <w:spacing w:line="276" w:lineRule="auto"/>
              <w:rPr>
                <w:rFonts w:eastAsiaTheme="minorEastAsia"/>
                <w:szCs w:val="21"/>
              </w:rPr>
            </w:pPr>
            <w:r>
              <w:rPr>
                <w:rFonts w:eastAsiaTheme="minorEastAsia"/>
                <w:szCs w:val="21"/>
              </w:rPr>
              <w:t>（1）按时按量完成作业，不缺交，不抄袭。</w:t>
            </w:r>
          </w:p>
          <w:p>
            <w:pPr>
              <w:spacing w:line="276" w:lineRule="auto"/>
              <w:rPr>
                <w:rFonts w:eastAsiaTheme="minorEastAsia"/>
                <w:szCs w:val="21"/>
              </w:rPr>
            </w:pPr>
            <w:r>
              <w:rPr>
                <w:rFonts w:eastAsiaTheme="minorEastAsia"/>
                <w:szCs w:val="21"/>
              </w:rPr>
              <w:t>（2）书写规范、清晰。</w:t>
            </w:r>
          </w:p>
          <w:p>
            <w:pPr>
              <w:spacing w:line="276" w:lineRule="auto"/>
              <w:rPr>
                <w:rFonts w:eastAsiaTheme="minorEastAsia"/>
                <w:szCs w:val="21"/>
              </w:rPr>
            </w:pPr>
            <w:r>
              <w:rPr>
                <w:rFonts w:eastAsiaTheme="minorEastAsia"/>
                <w:szCs w:val="21"/>
              </w:rPr>
              <w:t>（3）解题方法和</w:t>
            </w:r>
            <w:r>
              <w:rPr>
                <w:rFonts w:hint="eastAsia" w:eastAsiaTheme="minorEastAsia"/>
                <w:szCs w:val="21"/>
              </w:rPr>
              <w:t>解题要点清晰明了</w:t>
            </w:r>
            <w:r>
              <w:rPr>
                <w:rFonts w:eastAsiaTheme="minorEastAsia"/>
                <w:szCs w:val="21"/>
              </w:rPr>
              <w:t>。</w:t>
            </w:r>
          </w:p>
          <w:p>
            <w:pPr>
              <w:spacing w:line="276" w:lineRule="auto"/>
              <w:rPr>
                <w:rFonts w:eastAsiaTheme="minorEastAsia"/>
                <w:szCs w:val="21"/>
              </w:rPr>
            </w:pPr>
            <w:r>
              <w:rPr>
                <w:rFonts w:eastAsiaTheme="minorEastAsia"/>
                <w:szCs w:val="21"/>
              </w:rPr>
              <w:t>教师批改和讲评作业要求如下：</w:t>
            </w:r>
          </w:p>
          <w:p>
            <w:pPr>
              <w:spacing w:line="276" w:lineRule="auto"/>
              <w:rPr>
                <w:rFonts w:eastAsiaTheme="minorEastAsia"/>
                <w:szCs w:val="21"/>
              </w:rPr>
            </w:pPr>
            <w:r>
              <w:rPr>
                <w:rFonts w:eastAsiaTheme="minorEastAsia"/>
                <w:szCs w:val="21"/>
              </w:rPr>
              <w:t>（1）学生的作业要按时全部批改，并及时进行讲评。</w:t>
            </w:r>
          </w:p>
          <w:p>
            <w:pPr>
              <w:spacing w:line="276" w:lineRule="auto"/>
              <w:rPr>
                <w:rFonts w:eastAsiaTheme="minorEastAsia"/>
                <w:szCs w:val="21"/>
              </w:rPr>
            </w:pPr>
            <w:r>
              <w:rPr>
                <w:rFonts w:eastAsiaTheme="minorEastAsia"/>
                <w:szCs w:val="21"/>
              </w:rPr>
              <w:t>（2）教师批改和讲评作业要认真、细致，按百分制评定成绩并写明日期。</w:t>
            </w:r>
          </w:p>
          <w:p>
            <w:pPr>
              <w:spacing w:line="276" w:lineRule="auto"/>
              <w:rPr>
                <w:rFonts w:eastAsiaTheme="minorEastAsia"/>
                <w:szCs w:val="21"/>
              </w:rPr>
            </w:pPr>
            <w:r>
              <w:rPr>
                <w:rFonts w:eastAsiaTheme="minorEastAsia"/>
                <w:szCs w:val="21"/>
              </w:rPr>
              <w:t>（3）学生作业的平均成绩应作为本课程总评成绩中平时成绩的重要组成部分。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582" w:type="dxa"/>
            <w:tcBorders>
              <w:left w:val="single" w:color="auto" w:sz="8" w:space="0"/>
            </w:tcBorders>
            <w:vAlign w:val="center"/>
          </w:tcPr>
          <w:p>
            <w:pPr>
              <w:spacing w:line="276" w:lineRule="auto"/>
              <w:jc w:val="center"/>
              <w:rPr>
                <w:rFonts w:eastAsiaTheme="minorEastAsia"/>
                <w:szCs w:val="21"/>
              </w:rPr>
            </w:pPr>
            <w:r>
              <w:rPr>
                <w:rFonts w:eastAsiaTheme="minorEastAsia"/>
                <w:szCs w:val="21"/>
              </w:rPr>
              <w:t>4</w:t>
            </w:r>
          </w:p>
        </w:tc>
        <w:tc>
          <w:tcPr>
            <w:tcW w:w="1701" w:type="dxa"/>
            <w:tcMar>
              <w:left w:w="28" w:type="dxa"/>
              <w:right w:w="28" w:type="dxa"/>
            </w:tcMar>
            <w:vAlign w:val="center"/>
          </w:tcPr>
          <w:p>
            <w:pPr>
              <w:spacing w:line="276" w:lineRule="auto"/>
              <w:jc w:val="center"/>
              <w:rPr>
                <w:rFonts w:eastAsiaTheme="minorEastAsia"/>
                <w:szCs w:val="21"/>
              </w:rPr>
            </w:pPr>
            <w:r>
              <w:rPr>
                <w:rFonts w:eastAsiaTheme="minorEastAsia"/>
                <w:szCs w:val="21"/>
              </w:rPr>
              <w:t>课外答疑</w:t>
            </w:r>
          </w:p>
        </w:tc>
        <w:tc>
          <w:tcPr>
            <w:tcW w:w="6817" w:type="dxa"/>
            <w:tcBorders>
              <w:right w:val="single" w:color="auto" w:sz="8" w:space="0"/>
            </w:tcBorders>
            <w:vAlign w:val="center"/>
          </w:tcPr>
          <w:p>
            <w:pPr>
              <w:spacing w:line="276" w:lineRule="auto"/>
              <w:rPr>
                <w:rFonts w:eastAsiaTheme="minorEastAsia"/>
                <w:szCs w:val="21"/>
              </w:rPr>
            </w:pPr>
            <w:r>
              <w:rPr>
                <w:rFonts w:eastAsiaTheme="minorEastAsia"/>
                <w:szCs w:val="21"/>
              </w:rPr>
              <w:t>为了解学生的学习情况，帮助学生更好地理解和消化所学知识、改进学习方法和思维方式，培养其独立思考问题的能力，任课教师</w:t>
            </w:r>
            <w:r>
              <w:rPr>
                <w:rFonts w:hint="eastAsia" w:eastAsiaTheme="minorEastAsia"/>
                <w:szCs w:val="21"/>
              </w:rPr>
              <w:t>通过网络QQ群等方式对学生</w:t>
            </w:r>
            <w:r>
              <w:rPr>
                <w:rFonts w:eastAsiaTheme="minorEastAsia"/>
                <w:szCs w:val="21"/>
              </w:rPr>
              <w:t>进行课外答疑与辅导</w:t>
            </w:r>
            <w:r>
              <w:rPr>
                <w:rFonts w:hint="eastAsia" w:eastAsiaTheme="minorEastAsia"/>
                <w:szCs w:val="21"/>
              </w:rPr>
              <w:t>，及时交流沟通</w:t>
            </w:r>
            <w:r>
              <w:rPr>
                <w:rFonts w:eastAsia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582" w:type="dxa"/>
            <w:tcBorders>
              <w:left w:val="single" w:color="auto" w:sz="8" w:space="0"/>
            </w:tcBorders>
            <w:vAlign w:val="center"/>
          </w:tcPr>
          <w:p>
            <w:pPr>
              <w:spacing w:line="276" w:lineRule="auto"/>
              <w:jc w:val="center"/>
              <w:rPr>
                <w:rFonts w:eastAsiaTheme="minorEastAsia"/>
                <w:szCs w:val="21"/>
              </w:rPr>
            </w:pPr>
            <w:r>
              <w:rPr>
                <w:rFonts w:eastAsiaTheme="minorEastAsia"/>
                <w:szCs w:val="21"/>
              </w:rPr>
              <w:t>5</w:t>
            </w:r>
          </w:p>
        </w:tc>
        <w:tc>
          <w:tcPr>
            <w:tcW w:w="1701" w:type="dxa"/>
            <w:tcMar>
              <w:left w:w="28" w:type="dxa"/>
              <w:right w:w="28" w:type="dxa"/>
            </w:tcMar>
            <w:vAlign w:val="center"/>
          </w:tcPr>
          <w:p>
            <w:pPr>
              <w:spacing w:line="276" w:lineRule="auto"/>
              <w:jc w:val="center"/>
              <w:rPr>
                <w:rFonts w:eastAsiaTheme="minorEastAsia"/>
                <w:szCs w:val="21"/>
              </w:rPr>
            </w:pPr>
            <w:r>
              <w:rPr>
                <w:rFonts w:eastAsiaTheme="minorEastAsia"/>
                <w:szCs w:val="21"/>
              </w:rPr>
              <w:t>成绩考核</w:t>
            </w:r>
          </w:p>
        </w:tc>
        <w:tc>
          <w:tcPr>
            <w:tcW w:w="6817" w:type="dxa"/>
            <w:tcBorders>
              <w:right w:val="single" w:color="auto" w:sz="8" w:space="0"/>
            </w:tcBorders>
            <w:vAlign w:val="center"/>
          </w:tcPr>
          <w:p>
            <w:pPr>
              <w:spacing w:line="276" w:lineRule="auto"/>
              <w:rPr>
                <w:rFonts w:eastAsiaTheme="minorEastAsia"/>
                <w:szCs w:val="21"/>
              </w:rPr>
            </w:pPr>
            <w:r>
              <w:rPr>
                <w:rFonts w:eastAsiaTheme="minorEastAsia"/>
                <w:szCs w:val="21"/>
              </w:rPr>
              <w:t>本课程考核的方式为</w:t>
            </w:r>
            <w:r>
              <w:rPr>
                <w:rFonts w:hint="eastAsia" w:eastAsiaTheme="minorEastAsia"/>
                <w:szCs w:val="21"/>
              </w:rPr>
              <w:t>开</w:t>
            </w:r>
            <w:r>
              <w:rPr>
                <w:rFonts w:eastAsiaTheme="minorEastAsia"/>
                <w:szCs w:val="21"/>
              </w:rPr>
              <w:t>卷笔试。有下列情况之一者，总评成绩为不及格：</w:t>
            </w:r>
          </w:p>
          <w:p>
            <w:pPr>
              <w:spacing w:line="276" w:lineRule="auto"/>
              <w:rPr>
                <w:rFonts w:eastAsiaTheme="minorEastAsia"/>
                <w:szCs w:val="21"/>
              </w:rPr>
            </w:pPr>
            <w:r>
              <w:rPr>
                <w:rFonts w:eastAsiaTheme="minorEastAsia"/>
                <w:szCs w:val="21"/>
              </w:rPr>
              <w:t>（1）缺交作业次数达1/3以上者。</w:t>
            </w:r>
          </w:p>
          <w:p>
            <w:pPr>
              <w:spacing w:line="276" w:lineRule="auto"/>
              <w:rPr>
                <w:rFonts w:eastAsiaTheme="minorEastAsia"/>
                <w:szCs w:val="21"/>
              </w:rPr>
            </w:pPr>
            <w:r>
              <w:rPr>
                <w:rFonts w:eastAsiaTheme="minorEastAsia"/>
                <w:szCs w:val="21"/>
              </w:rPr>
              <w:t>（2）缺课次数达本学期总授课学时的1/3以上者。</w:t>
            </w:r>
          </w:p>
        </w:tc>
      </w:tr>
    </w:tbl>
    <w:p>
      <w:pPr>
        <w:spacing w:line="360" w:lineRule="auto"/>
        <w:ind w:firstLine="562" w:firstLineChars="200"/>
        <w:rPr>
          <w:rFonts w:eastAsiaTheme="minorEastAsia"/>
          <w:b/>
          <w:sz w:val="28"/>
          <w:szCs w:val="28"/>
        </w:rPr>
      </w:pPr>
      <w:r>
        <w:rPr>
          <w:rFonts w:eastAsiaTheme="minorEastAsia"/>
          <w:b/>
          <w:sz w:val="28"/>
          <w:szCs w:val="28"/>
        </w:rPr>
        <w:t>五、考核方式</w:t>
      </w:r>
    </w:p>
    <w:p>
      <w:pPr>
        <w:spacing w:line="360" w:lineRule="auto"/>
        <w:ind w:firstLine="480" w:firstLineChars="200"/>
        <w:rPr>
          <w:rFonts w:eastAsiaTheme="minorEastAsia"/>
          <w:sz w:val="24"/>
        </w:rPr>
      </w:pPr>
      <w:r>
        <w:rPr>
          <w:rFonts w:eastAsiaTheme="minorEastAsia"/>
          <w:sz w:val="24"/>
        </w:rPr>
        <w:t>（一）课程考核包括期末考试、平时</w:t>
      </w:r>
      <w:r>
        <w:rPr>
          <w:rFonts w:hint="eastAsia" w:eastAsiaTheme="minorEastAsia"/>
          <w:sz w:val="24"/>
        </w:rPr>
        <w:t>课堂表现、</w:t>
      </w:r>
      <w:r>
        <w:rPr>
          <w:rFonts w:eastAsiaTheme="minorEastAsia"/>
          <w:sz w:val="24"/>
        </w:rPr>
        <w:t>作业情况</w:t>
      </w:r>
      <w:r>
        <w:rPr>
          <w:rFonts w:hint="eastAsia" w:eastAsiaTheme="minorEastAsia"/>
          <w:sz w:val="24"/>
        </w:rPr>
        <w:t>及小组讨论汇报</w:t>
      </w:r>
      <w:r>
        <w:rPr>
          <w:rFonts w:eastAsiaTheme="minorEastAsia"/>
          <w:sz w:val="24"/>
        </w:rPr>
        <w:t>考核，期末考试采用</w:t>
      </w:r>
      <w:r>
        <w:rPr>
          <w:rFonts w:hint="eastAsia" w:eastAsiaTheme="minorEastAsia"/>
          <w:sz w:val="24"/>
        </w:rPr>
        <w:t>开卷</w:t>
      </w:r>
      <w:r>
        <w:rPr>
          <w:rFonts w:eastAsiaTheme="minorEastAsia"/>
          <w:sz w:val="24"/>
        </w:rPr>
        <w:t>笔试。</w:t>
      </w:r>
    </w:p>
    <w:p>
      <w:pPr>
        <w:spacing w:line="360" w:lineRule="auto"/>
        <w:ind w:firstLine="480" w:firstLineChars="200"/>
        <w:rPr>
          <w:rFonts w:eastAsiaTheme="minorEastAsia"/>
          <w:sz w:val="24"/>
        </w:rPr>
      </w:pPr>
      <w:r>
        <w:rPr>
          <w:rFonts w:eastAsiaTheme="minorEastAsia"/>
          <w:sz w:val="24"/>
        </w:rPr>
        <w:t>（二）课程成绩=平时成绩×15%+</w:t>
      </w:r>
      <w:r>
        <w:rPr>
          <w:rFonts w:hint="eastAsia" w:eastAsiaTheme="minorEastAsia"/>
          <w:sz w:val="24"/>
        </w:rPr>
        <w:t>作业成绩</w:t>
      </w:r>
      <w:r>
        <w:rPr>
          <w:rFonts w:eastAsiaTheme="minorEastAsia"/>
          <w:sz w:val="24"/>
        </w:rPr>
        <w:t>×15%+</w:t>
      </w:r>
      <w:r>
        <w:rPr>
          <w:rFonts w:hint="eastAsia" w:eastAsiaTheme="minorEastAsia"/>
          <w:sz w:val="24"/>
        </w:rPr>
        <w:t>小组汇报</w:t>
      </w:r>
      <w:r>
        <w:rPr>
          <w:rFonts w:eastAsiaTheme="minorEastAsia"/>
          <w:sz w:val="24"/>
        </w:rPr>
        <w:t>×20%+期末考试成绩×50%。具体内容和比例如表所示。</w:t>
      </w:r>
    </w:p>
    <w:tbl>
      <w:tblPr>
        <w:tblStyle w:val="10"/>
        <w:tblW w:w="9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1565"/>
        <w:gridCol w:w="808"/>
        <w:gridCol w:w="4410"/>
        <w:gridCol w:w="1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4" w:type="dxa"/>
            <w:shd w:val="clear" w:color="auto" w:fill="FFFFFF"/>
            <w:tcMar>
              <w:left w:w="57" w:type="dxa"/>
              <w:right w:w="57" w:type="dxa"/>
            </w:tcMar>
            <w:vAlign w:val="center"/>
          </w:tcPr>
          <w:p>
            <w:pPr>
              <w:pStyle w:val="14"/>
              <w:jc w:val="center"/>
              <w:rPr>
                <w:rFonts w:eastAsiaTheme="minorEastAsia"/>
              </w:rPr>
            </w:pPr>
            <w:r>
              <w:rPr>
                <w:rFonts w:eastAsiaTheme="minorEastAsia"/>
              </w:rPr>
              <w:t>成绩组成</w:t>
            </w:r>
          </w:p>
        </w:tc>
        <w:tc>
          <w:tcPr>
            <w:tcW w:w="1565" w:type="dxa"/>
            <w:shd w:val="clear" w:color="auto" w:fill="FFFFFF"/>
            <w:vAlign w:val="center"/>
          </w:tcPr>
          <w:p>
            <w:pPr>
              <w:pStyle w:val="14"/>
              <w:jc w:val="center"/>
              <w:rPr>
                <w:rFonts w:eastAsiaTheme="minorEastAsia"/>
              </w:rPr>
            </w:pPr>
            <w:r>
              <w:rPr>
                <w:rFonts w:eastAsiaTheme="minorEastAsia"/>
              </w:rPr>
              <w:t>考核/评价环节</w:t>
            </w:r>
          </w:p>
        </w:tc>
        <w:tc>
          <w:tcPr>
            <w:tcW w:w="808" w:type="dxa"/>
            <w:shd w:val="clear" w:color="auto" w:fill="FFFFFF"/>
            <w:vAlign w:val="center"/>
          </w:tcPr>
          <w:p>
            <w:pPr>
              <w:pStyle w:val="14"/>
              <w:jc w:val="center"/>
              <w:rPr>
                <w:rFonts w:eastAsiaTheme="minorEastAsia"/>
              </w:rPr>
            </w:pPr>
            <w:r>
              <w:rPr>
                <w:rFonts w:eastAsiaTheme="minorEastAsia"/>
              </w:rPr>
              <w:t>权重</w:t>
            </w:r>
          </w:p>
        </w:tc>
        <w:tc>
          <w:tcPr>
            <w:tcW w:w="4410" w:type="dxa"/>
            <w:shd w:val="clear" w:color="auto" w:fill="FFFFFF"/>
            <w:vAlign w:val="center"/>
          </w:tcPr>
          <w:p>
            <w:pPr>
              <w:pStyle w:val="14"/>
              <w:jc w:val="center"/>
              <w:rPr>
                <w:rFonts w:eastAsiaTheme="minorEastAsia"/>
              </w:rPr>
            </w:pPr>
            <w:r>
              <w:rPr>
                <w:rFonts w:eastAsiaTheme="minorEastAsia"/>
              </w:rPr>
              <w:t>考核/评价细则</w:t>
            </w:r>
          </w:p>
        </w:tc>
        <w:tc>
          <w:tcPr>
            <w:tcW w:w="1476" w:type="dxa"/>
            <w:shd w:val="clear" w:color="auto" w:fill="FFFFFF"/>
            <w:vAlign w:val="center"/>
          </w:tcPr>
          <w:p>
            <w:pPr>
              <w:pStyle w:val="14"/>
              <w:jc w:val="center"/>
              <w:rPr>
                <w:rFonts w:eastAsiaTheme="minorEastAsia"/>
              </w:rPr>
            </w:pPr>
            <w:r>
              <w:rPr>
                <w:rFonts w:eastAsiaTheme="minorEastAsia"/>
              </w:rPr>
              <w:t>对应的毕业要求指标点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1044" w:type="dxa"/>
            <w:vMerge w:val="restart"/>
            <w:tcMar>
              <w:left w:w="57" w:type="dxa"/>
              <w:right w:w="57" w:type="dxa"/>
            </w:tcMar>
            <w:vAlign w:val="center"/>
          </w:tcPr>
          <w:p>
            <w:pPr>
              <w:pStyle w:val="14"/>
              <w:jc w:val="center"/>
              <w:rPr>
                <w:rFonts w:eastAsiaTheme="minorEastAsia"/>
              </w:rPr>
            </w:pPr>
            <w:r>
              <w:rPr>
                <w:rFonts w:eastAsiaTheme="minorEastAsia"/>
              </w:rPr>
              <w:t>平时成绩</w:t>
            </w:r>
          </w:p>
        </w:tc>
        <w:tc>
          <w:tcPr>
            <w:tcW w:w="1565" w:type="dxa"/>
            <w:vAlign w:val="center"/>
          </w:tcPr>
          <w:p>
            <w:pPr>
              <w:pStyle w:val="14"/>
              <w:jc w:val="center"/>
              <w:rPr>
                <w:rFonts w:eastAsiaTheme="minorEastAsia"/>
              </w:rPr>
            </w:pPr>
            <w:r>
              <w:rPr>
                <w:rFonts w:eastAsiaTheme="minorEastAsia"/>
              </w:rPr>
              <w:t>平时作业</w:t>
            </w:r>
          </w:p>
        </w:tc>
        <w:tc>
          <w:tcPr>
            <w:tcW w:w="808" w:type="dxa"/>
            <w:vAlign w:val="center"/>
          </w:tcPr>
          <w:p>
            <w:pPr>
              <w:pStyle w:val="14"/>
              <w:jc w:val="center"/>
              <w:rPr>
                <w:rFonts w:eastAsiaTheme="minorEastAsia"/>
              </w:rPr>
            </w:pPr>
            <w:r>
              <w:rPr>
                <w:rFonts w:eastAsiaTheme="minorEastAsia"/>
              </w:rPr>
              <w:t>15%</w:t>
            </w:r>
          </w:p>
        </w:tc>
        <w:tc>
          <w:tcPr>
            <w:tcW w:w="4410" w:type="dxa"/>
            <w:vAlign w:val="center"/>
          </w:tcPr>
          <w:p>
            <w:pPr>
              <w:pStyle w:val="14"/>
              <w:rPr>
                <w:rFonts w:eastAsiaTheme="minorEastAsia"/>
              </w:rPr>
            </w:pPr>
            <w:r>
              <w:rPr>
                <w:rFonts w:eastAsiaTheme="minorEastAsia"/>
              </w:rPr>
              <w:t>每周课后完成与授课内容对应的课后习题，主要考核学生对每节课知识点的复习、理解和掌握程度，计算全部作业的平均成绩再按15%计入总成绩。并不定期布置开卷的小测验内容，以使学生对所学内容熟练掌握巩固。</w:t>
            </w:r>
          </w:p>
        </w:tc>
        <w:tc>
          <w:tcPr>
            <w:tcW w:w="1476" w:type="dxa"/>
            <w:vAlign w:val="center"/>
          </w:tcPr>
          <w:p>
            <w:pPr>
              <w:jc w:val="center"/>
              <w:rPr>
                <w:rFonts w:eastAsiaTheme="minorEastAsia"/>
              </w:rPr>
            </w:pPr>
            <w:r>
              <w:rPr>
                <w:rFonts w:eastAsiaTheme="minorEastAsia"/>
                <w:color w:val="000000"/>
                <w:szCs w:val="21"/>
              </w:rPr>
              <w:t>1</w:t>
            </w:r>
            <w:r>
              <w:rPr>
                <w:rFonts w:hint="eastAsia" w:eastAsiaTheme="minorEastAsia"/>
                <w:color w:val="000000"/>
                <w:szCs w:val="21"/>
              </w:rPr>
              <w:t>、2、3、4、1</w:t>
            </w:r>
            <w:r>
              <w:rPr>
                <w:rFonts w:eastAsiaTheme="minorEastAsia"/>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1044" w:type="dxa"/>
            <w:vMerge w:val="continue"/>
            <w:tcMar>
              <w:left w:w="57" w:type="dxa"/>
              <w:right w:w="57" w:type="dxa"/>
            </w:tcMar>
            <w:vAlign w:val="center"/>
          </w:tcPr>
          <w:p>
            <w:pPr>
              <w:pStyle w:val="14"/>
              <w:jc w:val="center"/>
              <w:rPr>
                <w:rFonts w:eastAsiaTheme="minorEastAsia"/>
              </w:rPr>
            </w:pPr>
          </w:p>
        </w:tc>
        <w:tc>
          <w:tcPr>
            <w:tcW w:w="1565" w:type="dxa"/>
            <w:vAlign w:val="center"/>
          </w:tcPr>
          <w:p>
            <w:pPr>
              <w:pStyle w:val="14"/>
              <w:jc w:val="center"/>
              <w:rPr>
                <w:rFonts w:eastAsiaTheme="minorEastAsia"/>
              </w:rPr>
            </w:pPr>
            <w:r>
              <w:rPr>
                <w:rFonts w:eastAsiaTheme="minorEastAsia"/>
              </w:rPr>
              <w:t>考勤及</w:t>
            </w:r>
          </w:p>
          <w:p>
            <w:pPr>
              <w:pStyle w:val="14"/>
              <w:jc w:val="center"/>
              <w:rPr>
                <w:rFonts w:eastAsiaTheme="minorEastAsia"/>
              </w:rPr>
            </w:pPr>
            <w:r>
              <w:rPr>
                <w:rFonts w:eastAsiaTheme="minorEastAsia"/>
              </w:rPr>
              <w:t>课堂练习</w:t>
            </w:r>
          </w:p>
        </w:tc>
        <w:tc>
          <w:tcPr>
            <w:tcW w:w="808" w:type="dxa"/>
            <w:vAlign w:val="center"/>
          </w:tcPr>
          <w:p>
            <w:pPr>
              <w:pStyle w:val="14"/>
              <w:jc w:val="center"/>
              <w:rPr>
                <w:rFonts w:eastAsiaTheme="minorEastAsia"/>
              </w:rPr>
            </w:pPr>
            <w:r>
              <w:rPr>
                <w:rFonts w:eastAsiaTheme="minorEastAsia"/>
              </w:rPr>
              <w:t>15%</w:t>
            </w:r>
          </w:p>
        </w:tc>
        <w:tc>
          <w:tcPr>
            <w:tcW w:w="4410" w:type="dxa"/>
            <w:vAlign w:val="center"/>
          </w:tcPr>
          <w:p>
            <w:pPr>
              <w:pStyle w:val="14"/>
              <w:rPr>
                <w:rFonts w:eastAsiaTheme="minorEastAsia"/>
                <w:szCs w:val="21"/>
              </w:rPr>
            </w:pPr>
            <w:r>
              <w:rPr>
                <w:rFonts w:eastAsiaTheme="minorEastAsia"/>
                <w:color w:val="000000"/>
                <w:szCs w:val="21"/>
              </w:rPr>
              <w:t>每堂课</w:t>
            </w:r>
            <w:r>
              <w:rPr>
                <w:rFonts w:hint="eastAsia" w:eastAsiaTheme="minorEastAsia"/>
                <w:color w:val="000000"/>
                <w:szCs w:val="21"/>
              </w:rPr>
              <w:t>上课前及</w:t>
            </w:r>
            <w:r>
              <w:rPr>
                <w:rFonts w:eastAsiaTheme="minorEastAsia"/>
                <w:color w:val="000000"/>
                <w:szCs w:val="21"/>
              </w:rPr>
              <w:t>在每小节内容结束后，随堂</w:t>
            </w:r>
            <w:r>
              <w:rPr>
                <w:rFonts w:hint="eastAsia" w:eastAsiaTheme="minorEastAsia"/>
                <w:color w:val="000000"/>
                <w:szCs w:val="21"/>
              </w:rPr>
              <w:t>提问</w:t>
            </w:r>
            <w:r>
              <w:rPr>
                <w:rFonts w:eastAsiaTheme="minorEastAsia"/>
                <w:color w:val="000000"/>
                <w:szCs w:val="21"/>
              </w:rPr>
              <w:t>，</w:t>
            </w:r>
            <w:r>
              <w:rPr>
                <w:rFonts w:hint="eastAsia" w:eastAsiaTheme="minorEastAsia"/>
                <w:color w:val="000000"/>
                <w:szCs w:val="21"/>
              </w:rPr>
              <w:t>检查学生的预习复习情况，</w:t>
            </w:r>
            <w:r>
              <w:rPr>
                <w:rFonts w:eastAsiaTheme="minorEastAsia"/>
                <w:color w:val="000000"/>
                <w:szCs w:val="21"/>
              </w:rPr>
              <w:t>并对学生进行提问或上黑板演练，主要考核学生课堂的听课效果和课后及时复习消化本章知识的能力</w:t>
            </w:r>
            <w:r>
              <w:rPr>
                <w:rFonts w:eastAsiaTheme="minorEastAsia"/>
                <w:szCs w:val="21"/>
              </w:rPr>
              <w:t>，结合平时考勤，最后按</w:t>
            </w:r>
            <w:r>
              <w:rPr>
                <w:rFonts w:hint="eastAsia" w:eastAsiaTheme="minorEastAsia"/>
                <w:szCs w:val="21"/>
              </w:rPr>
              <w:t>1</w:t>
            </w:r>
            <w:r>
              <w:rPr>
                <w:rFonts w:eastAsiaTheme="minorEastAsia"/>
                <w:szCs w:val="21"/>
              </w:rPr>
              <w:t>5%计入课程总成绩。</w:t>
            </w:r>
          </w:p>
        </w:tc>
        <w:tc>
          <w:tcPr>
            <w:tcW w:w="1476" w:type="dxa"/>
            <w:vAlign w:val="center"/>
          </w:tcPr>
          <w:p>
            <w:pPr>
              <w:jc w:val="center"/>
              <w:rPr>
                <w:rFonts w:eastAsiaTheme="minorEastAsia"/>
              </w:rPr>
            </w:pPr>
            <w:r>
              <w:rPr>
                <w:rFonts w:eastAsiaTheme="minorEastAsia"/>
                <w:color w:val="000000"/>
                <w:szCs w:val="21"/>
              </w:rPr>
              <w:t>1</w:t>
            </w:r>
            <w:r>
              <w:rPr>
                <w:rFonts w:hint="eastAsia" w:eastAsiaTheme="minorEastAsia"/>
                <w:color w:val="000000"/>
                <w:szCs w:val="21"/>
              </w:rPr>
              <w:t>、2、3、4、1</w:t>
            </w:r>
            <w:r>
              <w:rPr>
                <w:rFonts w:eastAsiaTheme="minorEastAsia"/>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1044" w:type="dxa"/>
            <w:tcMar>
              <w:left w:w="57" w:type="dxa"/>
              <w:right w:w="57" w:type="dxa"/>
            </w:tcMar>
            <w:vAlign w:val="center"/>
          </w:tcPr>
          <w:p>
            <w:pPr>
              <w:pStyle w:val="14"/>
              <w:jc w:val="center"/>
              <w:rPr>
                <w:rFonts w:eastAsiaTheme="minorEastAsia"/>
              </w:rPr>
            </w:pPr>
            <w:r>
              <w:rPr>
                <w:rFonts w:eastAsiaTheme="minorEastAsia"/>
              </w:rPr>
              <w:t>期末考试</w:t>
            </w:r>
          </w:p>
          <w:p>
            <w:pPr>
              <w:pStyle w:val="14"/>
              <w:jc w:val="center"/>
              <w:rPr>
                <w:rFonts w:eastAsiaTheme="minorEastAsia"/>
              </w:rPr>
            </w:pPr>
          </w:p>
        </w:tc>
        <w:tc>
          <w:tcPr>
            <w:tcW w:w="1565" w:type="dxa"/>
            <w:vAlign w:val="center"/>
          </w:tcPr>
          <w:p>
            <w:pPr>
              <w:pStyle w:val="14"/>
              <w:jc w:val="center"/>
              <w:rPr>
                <w:rFonts w:eastAsiaTheme="minorEastAsia"/>
              </w:rPr>
            </w:pPr>
            <w:r>
              <w:rPr>
                <w:rFonts w:eastAsiaTheme="minorEastAsia"/>
              </w:rPr>
              <w:t>期末考试</w:t>
            </w:r>
          </w:p>
          <w:p>
            <w:pPr>
              <w:pStyle w:val="14"/>
              <w:jc w:val="center"/>
              <w:rPr>
                <w:rFonts w:eastAsiaTheme="minorEastAsia"/>
              </w:rPr>
            </w:pPr>
            <w:r>
              <w:rPr>
                <w:rFonts w:eastAsiaTheme="minorEastAsia"/>
              </w:rPr>
              <w:t>卷面成绩</w:t>
            </w:r>
          </w:p>
        </w:tc>
        <w:tc>
          <w:tcPr>
            <w:tcW w:w="808" w:type="dxa"/>
            <w:vAlign w:val="center"/>
          </w:tcPr>
          <w:p>
            <w:pPr>
              <w:pStyle w:val="14"/>
              <w:jc w:val="center"/>
              <w:rPr>
                <w:rFonts w:eastAsiaTheme="minorEastAsia"/>
              </w:rPr>
            </w:pPr>
            <w:r>
              <w:rPr>
                <w:rFonts w:eastAsiaTheme="minorEastAsia"/>
              </w:rPr>
              <w:t>50%</w:t>
            </w:r>
          </w:p>
        </w:tc>
        <w:tc>
          <w:tcPr>
            <w:tcW w:w="4410" w:type="dxa"/>
            <w:vAlign w:val="center"/>
          </w:tcPr>
          <w:p>
            <w:pPr>
              <w:pStyle w:val="14"/>
              <w:rPr>
                <w:rFonts w:eastAsiaTheme="minorEastAsia"/>
                <w:color w:val="000000"/>
                <w:szCs w:val="21"/>
              </w:rPr>
            </w:pPr>
            <w:r>
              <w:rPr>
                <w:rFonts w:eastAsiaTheme="minorEastAsia"/>
                <w:color w:val="000000"/>
                <w:szCs w:val="21"/>
              </w:rPr>
              <w:t>试卷题型包括</w:t>
            </w:r>
            <w:r>
              <w:rPr>
                <w:rFonts w:hint="eastAsia" w:eastAsiaTheme="minorEastAsia"/>
                <w:color w:val="000000"/>
                <w:szCs w:val="21"/>
              </w:rPr>
              <w:t>填空题</w:t>
            </w:r>
            <w:r>
              <w:rPr>
                <w:rFonts w:eastAsiaTheme="minorEastAsia"/>
                <w:color w:val="000000"/>
                <w:szCs w:val="21"/>
              </w:rPr>
              <w:t>、</w:t>
            </w:r>
            <w:r>
              <w:rPr>
                <w:rFonts w:hint="eastAsia" w:eastAsiaTheme="minorEastAsia"/>
                <w:color w:val="000000"/>
                <w:szCs w:val="21"/>
              </w:rPr>
              <w:t>判断题</w:t>
            </w:r>
            <w:r>
              <w:rPr>
                <w:rFonts w:eastAsiaTheme="minorEastAsia"/>
                <w:color w:val="000000"/>
                <w:szCs w:val="21"/>
              </w:rPr>
              <w:t>、</w:t>
            </w:r>
            <w:r>
              <w:rPr>
                <w:rFonts w:hint="eastAsia" w:eastAsiaTheme="minorEastAsia"/>
                <w:color w:val="000000"/>
                <w:szCs w:val="21"/>
              </w:rPr>
              <w:t>简答题</w:t>
            </w:r>
            <w:r>
              <w:rPr>
                <w:rFonts w:eastAsiaTheme="minorEastAsia"/>
                <w:color w:val="000000"/>
                <w:szCs w:val="21"/>
              </w:rPr>
              <w:t>、</w:t>
            </w:r>
            <w:r>
              <w:rPr>
                <w:rFonts w:hint="eastAsia" w:eastAsiaTheme="minorEastAsia"/>
                <w:color w:val="000000"/>
                <w:szCs w:val="21"/>
              </w:rPr>
              <w:t>计算题</w:t>
            </w:r>
            <w:r>
              <w:rPr>
                <w:rFonts w:eastAsiaTheme="minorEastAsia"/>
                <w:color w:val="000000"/>
                <w:szCs w:val="21"/>
              </w:rPr>
              <w:t>等，以卷面成绩的50%计入课程总成绩。</w:t>
            </w:r>
          </w:p>
        </w:tc>
        <w:tc>
          <w:tcPr>
            <w:tcW w:w="1476" w:type="dxa"/>
            <w:vAlign w:val="center"/>
          </w:tcPr>
          <w:p>
            <w:pPr>
              <w:pStyle w:val="14"/>
              <w:jc w:val="center"/>
              <w:rPr>
                <w:rFonts w:eastAsiaTheme="minorEastAsia"/>
              </w:rPr>
            </w:pPr>
            <w:r>
              <w:rPr>
                <w:rFonts w:eastAsiaTheme="minorEastAsia"/>
                <w:color w:val="000000"/>
                <w:szCs w:val="21"/>
              </w:rPr>
              <w:t>1</w:t>
            </w:r>
            <w:r>
              <w:rPr>
                <w:rFonts w:hint="eastAsia" w:eastAsiaTheme="minorEastAsia"/>
                <w:color w:val="000000"/>
                <w:szCs w:val="21"/>
              </w:rPr>
              <w:t>、2、3、4、1</w:t>
            </w:r>
            <w:r>
              <w:rPr>
                <w:rFonts w:eastAsiaTheme="minorEastAsia"/>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1044" w:type="dxa"/>
            <w:tcMar>
              <w:left w:w="57" w:type="dxa"/>
              <w:right w:w="57" w:type="dxa"/>
            </w:tcMar>
            <w:vAlign w:val="center"/>
          </w:tcPr>
          <w:p>
            <w:pPr>
              <w:pStyle w:val="14"/>
              <w:jc w:val="center"/>
              <w:rPr>
                <w:rFonts w:eastAsiaTheme="minorEastAsia"/>
              </w:rPr>
            </w:pPr>
            <w:r>
              <w:rPr>
                <w:rFonts w:hint="eastAsia" w:eastAsiaTheme="minorEastAsia"/>
              </w:rPr>
              <w:t>小组汇报</w:t>
            </w:r>
          </w:p>
        </w:tc>
        <w:tc>
          <w:tcPr>
            <w:tcW w:w="1565" w:type="dxa"/>
            <w:vAlign w:val="center"/>
          </w:tcPr>
          <w:p>
            <w:pPr>
              <w:pStyle w:val="14"/>
              <w:jc w:val="center"/>
              <w:rPr>
                <w:rFonts w:eastAsiaTheme="minorEastAsia"/>
              </w:rPr>
            </w:pPr>
            <w:r>
              <w:rPr>
                <w:rFonts w:hint="eastAsia" w:eastAsiaTheme="minorEastAsia"/>
              </w:rPr>
              <w:t>P</w:t>
            </w:r>
            <w:r>
              <w:rPr>
                <w:rFonts w:eastAsiaTheme="minorEastAsia"/>
              </w:rPr>
              <w:t>PT</w:t>
            </w:r>
            <w:r>
              <w:rPr>
                <w:rFonts w:hint="eastAsia" w:eastAsiaTheme="minorEastAsia"/>
              </w:rPr>
              <w:t>汇报（5</w:t>
            </w:r>
            <w:r>
              <w:rPr>
                <w:rFonts w:eastAsiaTheme="minorEastAsia"/>
              </w:rPr>
              <w:t>-10</w:t>
            </w:r>
            <w:r>
              <w:rPr>
                <w:rFonts w:hint="eastAsia" w:eastAsiaTheme="minorEastAsia"/>
              </w:rPr>
              <w:t>min）</w:t>
            </w:r>
          </w:p>
        </w:tc>
        <w:tc>
          <w:tcPr>
            <w:tcW w:w="808" w:type="dxa"/>
            <w:vAlign w:val="center"/>
          </w:tcPr>
          <w:p>
            <w:pPr>
              <w:pStyle w:val="14"/>
              <w:jc w:val="center"/>
              <w:rPr>
                <w:rFonts w:eastAsiaTheme="minorEastAsia"/>
              </w:rPr>
            </w:pPr>
            <w:r>
              <w:rPr>
                <w:rFonts w:hint="eastAsia" w:eastAsiaTheme="minorEastAsia"/>
              </w:rPr>
              <w:t>2</w:t>
            </w:r>
            <w:r>
              <w:rPr>
                <w:rFonts w:eastAsiaTheme="minorEastAsia"/>
              </w:rPr>
              <w:t>0%</w:t>
            </w:r>
          </w:p>
        </w:tc>
        <w:tc>
          <w:tcPr>
            <w:tcW w:w="4410" w:type="dxa"/>
            <w:vAlign w:val="center"/>
          </w:tcPr>
          <w:p>
            <w:pPr>
              <w:pStyle w:val="14"/>
              <w:rPr>
                <w:rFonts w:eastAsiaTheme="minorEastAsia"/>
                <w:color w:val="000000"/>
                <w:szCs w:val="21"/>
              </w:rPr>
            </w:pPr>
            <w:r>
              <w:rPr>
                <w:rFonts w:hint="eastAsia" w:eastAsiaTheme="minorEastAsia"/>
                <w:color w:val="000000"/>
                <w:szCs w:val="21"/>
              </w:rPr>
              <w:t>针对本课程教学内容中自学部分以及典型的聚合方法、实施例子、聚合物以小组形式进行拓展性学习，并汇报学习成果</w:t>
            </w:r>
          </w:p>
        </w:tc>
        <w:tc>
          <w:tcPr>
            <w:tcW w:w="1476" w:type="dxa"/>
            <w:vAlign w:val="center"/>
          </w:tcPr>
          <w:p>
            <w:pPr>
              <w:pStyle w:val="14"/>
              <w:jc w:val="center"/>
              <w:rPr>
                <w:rFonts w:eastAsiaTheme="minorEastAsia"/>
                <w:color w:val="000000"/>
                <w:szCs w:val="21"/>
              </w:rPr>
            </w:pPr>
            <w:r>
              <w:rPr>
                <w:rFonts w:hint="eastAsia" w:eastAsiaTheme="minorEastAsia"/>
                <w:color w:val="000000"/>
                <w:szCs w:val="21"/>
              </w:rPr>
              <w:t>4</w:t>
            </w:r>
            <w:r>
              <w:rPr>
                <w:rFonts w:eastAsiaTheme="minorEastAsia"/>
                <w:color w:val="000000"/>
                <w:szCs w:val="21"/>
              </w:rPr>
              <w:t>~12</w:t>
            </w:r>
          </w:p>
        </w:tc>
      </w:tr>
    </w:tbl>
    <w:p>
      <w:pPr>
        <w:spacing w:line="360" w:lineRule="auto"/>
        <w:ind w:firstLine="562" w:firstLineChars="200"/>
        <w:rPr>
          <w:rFonts w:eastAsiaTheme="minorEastAsia"/>
          <w:b/>
          <w:sz w:val="28"/>
          <w:szCs w:val="28"/>
        </w:rPr>
      </w:pPr>
      <w:r>
        <w:rPr>
          <w:rFonts w:eastAsiaTheme="minorEastAsia"/>
          <w:b/>
          <w:sz w:val="28"/>
          <w:szCs w:val="28"/>
        </w:rPr>
        <w:t>六、有关说明</w:t>
      </w:r>
    </w:p>
    <w:p>
      <w:pPr>
        <w:spacing w:line="360" w:lineRule="auto"/>
        <w:ind w:firstLine="482" w:firstLineChars="200"/>
        <w:rPr>
          <w:rFonts w:eastAsiaTheme="minorEastAsia"/>
          <w:b/>
          <w:color w:val="000000"/>
          <w:sz w:val="24"/>
        </w:rPr>
      </w:pPr>
      <w:r>
        <w:rPr>
          <w:rFonts w:eastAsiaTheme="minorEastAsia"/>
          <w:b/>
          <w:color w:val="000000"/>
          <w:sz w:val="24"/>
        </w:rPr>
        <w:t>（一）持续改进</w:t>
      </w:r>
    </w:p>
    <w:p>
      <w:pPr>
        <w:spacing w:line="360" w:lineRule="auto"/>
        <w:ind w:firstLine="480" w:firstLineChars="200"/>
        <w:rPr>
          <w:rFonts w:eastAsiaTheme="minorEastAsia"/>
          <w:sz w:val="24"/>
          <w:szCs w:val="22"/>
        </w:rPr>
      </w:pPr>
      <w:r>
        <w:rPr>
          <w:rFonts w:eastAsiaTheme="minorEastAsia"/>
          <w:sz w:val="24"/>
          <w:szCs w:val="22"/>
        </w:rPr>
        <w:t>本课程根据学生作业、课堂</w:t>
      </w:r>
      <w:r>
        <w:rPr>
          <w:rFonts w:hint="eastAsia" w:eastAsiaTheme="minorEastAsia"/>
          <w:sz w:val="24"/>
          <w:szCs w:val="22"/>
        </w:rPr>
        <w:t>课后</w:t>
      </w:r>
      <w:r>
        <w:rPr>
          <w:rFonts w:eastAsiaTheme="minorEastAsia"/>
          <w:sz w:val="24"/>
          <w:szCs w:val="22"/>
        </w:rPr>
        <w:t>讨论、平时考核情况和学生、教学督导等的反馈，及时对教学中的不足之处进行改进，并在下一轮课程教学中整改完善，确保相应毕业要求指标点达成。</w:t>
      </w:r>
    </w:p>
    <w:p>
      <w:pPr>
        <w:spacing w:line="360" w:lineRule="auto"/>
        <w:ind w:firstLine="482" w:firstLineChars="200"/>
        <w:rPr>
          <w:rFonts w:eastAsiaTheme="minorEastAsia"/>
          <w:b/>
          <w:color w:val="000000"/>
          <w:sz w:val="24"/>
        </w:rPr>
      </w:pPr>
      <w:r>
        <w:rPr>
          <w:rFonts w:eastAsiaTheme="minorEastAsia"/>
          <w:b/>
          <w:color w:val="000000"/>
          <w:sz w:val="24"/>
        </w:rPr>
        <w:t>（二）参考书目及学习资料</w:t>
      </w:r>
    </w:p>
    <w:p>
      <w:pPr>
        <w:spacing w:line="400" w:lineRule="exact"/>
        <w:ind w:left="420" w:leftChars="200" w:firstLine="120" w:firstLineChars="50"/>
        <w:rPr>
          <w:rFonts w:eastAsiaTheme="minorEastAsia"/>
          <w:sz w:val="24"/>
        </w:rPr>
      </w:pPr>
      <w:r>
        <w:rPr>
          <w:rFonts w:eastAsiaTheme="minorEastAsia"/>
          <w:sz w:val="24"/>
        </w:rPr>
        <w:t>1.《</w:t>
      </w:r>
      <w:r>
        <w:rPr>
          <w:rFonts w:hint="eastAsia" w:eastAsiaTheme="minorEastAsia"/>
          <w:sz w:val="24"/>
        </w:rPr>
        <w:t>高分子化学导读与题解</w:t>
      </w:r>
      <w:r>
        <w:rPr>
          <w:rFonts w:eastAsiaTheme="minorEastAsia"/>
          <w:sz w:val="24"/>
        </w:rPr>
        <w:t>》，</w:t>
      </w:r>
      <w:r>
        <w:rPr>
          <w:rFonts w:hint="eastAsia" w:eastAsiaTheme="minorEastAsia"/>
          <w:sz w:val="24"/>
        </w:rPr>
        <w:t>贾红兵主编</w:t>
      </w:r>
      <w:r>
        <w:rPr>
          <w:rFonts w:eastAsiaTheme="minorEastAsia"/>
          <w:sz w:val="24"/>
        </w:rPr>
        <w:t>，</w:t>
      </w:r>
      <w:r>
        <w:rPr>
          <w:rFonts w:hint="eastAsia" w:eastAsiaTheme="minorEastAsia"/>
          <w:sz w:val="24"/>
        </w:rPr>
        <w:t>化学工业</w:t>
      </w:r>
      <w:r>
        <w:rPr>
          <w:rFonts w:eastAsiaTheme="minorEastAsia"/>
          <w:sz w:val="24"/>
        </w:rPr>
        <w:t>出版社，201</w:t>
      </w:r>
      <w:r>
        <w:rPr>
          <w:rFonts w:hint="eastAsia" w:eastAsiaTheme="minorEastAsia"/>
          <w:sz w:val="24"/>
        </w:rPr>
        <w:t>3</w:t>
      </w:r>
      <w:r>
        <w:rPr>
          <w:rFonts w:eastAsiaTheme="minorEastAsia"/>
          <w:sz w:val="24"/>
        </w:rPr>
        <w:t>.</w:t>
      </w:r>
      <w:r>
        <w:rPr>
          <w:rFonts w:hint="eastAsia" w:eastAsiaTheme="minorEastAsia"/>
          <w:sz w:val="24"/>
        </w:rPr>
        <w:t>7</w:t>
      </w:r>
    </w:p>
    <w:p>
      <w:pPr>
        <w:spacing w:line="400" w:lineRule="exact"/>
        <w:ind w:left="420" w:leftChars="200" w:firstLine="120" w:firstLineChars="50"/>
        <w:rPr>
          <w:rFonts w:eastAsiaTheme="minorEastAsia"/>
          <w:sz w:val="24"/>
        </w:rPr>
      </w:pPr>
      <w:r>
        <w:rPr>
          <w:rFonts w:eastAsiaTheme="minorEastAsia"/>
          <w:sz w:val="24"/>
        </w:rPr>
        <w:t>2.《</w:t>
      </w:r>
      <w:r>
        <w:rPr>
          <w:rFonts w:hint="eastAsia" w:eastAsiaTheme="minorEastAsia"/>
          <w:sz w:val="24"/>
        </w:rPr>
        <w:t>功能高分子材料</w:t>
      </w:r>
      <w:r>
        <w:rPr>
          <w:rFonts w:eastAsiaTheme="minorEastAsia"/>
          <w:sz w:val="24"/>
        </w:rPr>
        <w:t>》，</w:t>
      </w:r>
      <w:r>
        <w:rPr>
          <w:rFonts w:hint="eastAsia" w:eastAsiaTheme="minorEastAsia"/>
          <w:sz w:val="24"/>
        </w:rPr>
        <w:t>赵文元</w:t>
      </w:r>
      <w:r>
        <w:rPr>
          <w:rFonts w:eastAsiaTheme="minorEastAsia"/>
          <w:sz w:val="24"/>
        </w:rPr>
        <w:t>、</w:t>
      </w:r>
      <w:r>
        <w:rPr>
          <w:rFonts w:hint="eastAsia" w:eastAsiaTheme="minorEastAsia"/>
          <w:sz w:val="24"/>
        </w:rPr>
        <w:t>王亦军</w:t>
      </w:r>
      <w:r>
        <w:rPr>
          <w:rFonts w:eastAsiaTheme="minorEastAsia"/>
          <w:sz w:val="24"/>
        </w:rPr>
        <w:t>，</w:t>
      </w:r>
      <w:r>
        <w:rPr>
          <w:rFonts w:hint="eastAsia" w:eastAsiaTheme="minorEastAsia"/>
          <w:sz w:val="24"/>
        </w:rPr>
        <w:t>化学工业</w:t>
      </w:r>
      <w:r>
        <w:rPr>
          <w:rFonts w:eastAsiaTheme="minorEastAsia"/>
          <w:sz w:val="24"/>
        </w:rPr>
        <w:t>出版社，2</w:t>
      </w:r>
      <w:r>
        <w:rPr>
          <w:rFonts w:hint="eastAsia" w:eastAsiaTheme="minorEastAsia"/>
          <w:sz w:val="24"/>
        </w:rPr>
        <w:t>007</w:t>
      </w:r>
      <w:r>
        <w:rPr>
          <w:rFonts w:eastAsiaTheme="minorEastAsia"/>
          <w:sz w:val="24"/>
        </w:rPr>
        <w:t>.</w:t>
      </w:r>
      <w:r>
        <w:rPr>
          <w:rFonts w:hint="eastAsia" w:eastAsiaTheme="minorEastAsia"/>
          <w:sz w:val="24"/>
        </w:rPr>
        <w:t>2.</w:t>
      </w:r>
    </w:p>
    <w:p>
      <w:pPr>
        <w:spacing w:line="360" w:lineRule="auto"/>
        <w:ind w:firstLine="480" w:firstLineChars="200"/>
        <w:rPr>
          <w:rFonts w:eastAsiaTheme="minorEastAsia"/>
          <w:color w:val="000000"/>
          <w:sz w:val="24"/>
        </w:rPr>
      </w:pPr>
    </w:p>
    <w:p>
      <w:pPr>
        <w:spacing w:line="360" w:lineRule="auto"/>
        <w:ind w:firstLine="480" w:firstLineChars="200"/>
        <w:rPr>
          <w:rFonts w:eastAsiaTheme="minorEastAsia"/>
          <w:color w:val="000000"/>
          <w:sz w:val="24"/>
        </w:rPr>
      </w:pPr>
    </w:p>
    <w:p>
      <w:pPr>
        <w:spacing w:line="360" w:lineRule="auto"/>
        <w:ind w:firstLine="480" w:firstLineChars="200"/>
        <w:rPr>
          <w:rFonts w:eastAsiaTheme="minorEastAsia"/>
          <w:color w:val="000000"/>
          <w:sz w:val="24"/>
        </w:rPr>
      </w:pPr>
    </w:p>
    <w:p>
      <w:pPr>
        <w:autoSpaceDE w:val="0"/>
        <w:autoSpaceDN w:val="0"/>
        <w:adjustRightInd w:val="0"/>
        <w:spacing w:line="360" w:lineRule="auto"/>
        <w:ind w:right="480"/>
        <w:jc w:val="right"/>
        <w:rPr>
          <w:rFonts w:eastAsiaTheme="minorEastAsia"/>
          <w:kern w:val="0"/>
          <w:sz w:val="24"/>
          <w:szCs w:val="21"/>
        </w:rPr>
      </w:pPr>
      <w:r>
        <w:rPr>
          <w:rFonts w:eastAsiaTheme="minorEastAsia"/>
          <w:kern w:val="0"/>
          <w:sz w:val="24"/>
          <w:szCs w:val="21"/>
        </w:rPr>
        <w:t>执笔人：</w:t>
      </w:r>
      <w:r>
        <w:rPr>
          <w:rFonts w:hint="eastAsia" w:eastAsiaTheme="minorEastAsia"/>
          <w:kern w:val="0"/>
          <w:sz w:val="24"/>
          <w:szCs w:val="21"/>
        </w:rPr>
        <w:t>向梅</w:t>
      </w:r>
    </w:p>
    <w:p>
      <w:pPr>
        <w:autoSpaceDE w:val="0"/>
        <w:autoSpaceDN w:val="0"/>
        <w:adjustRightInd w:val="0"/>
        <w:spacing w:line="360" w:lineRule="auto"/>
        <w:ind w:right="240"/>
        <w:jc w:val="right"/>
        <w:rPr>
          <w:rFonts w:eastAsiaTheme="minorEastAsia"/>
          <w:kern w:val="0"/>
          <w:sz w:val="24"/>
          <w:szCs w:val="21"/>
        </w:rPr>
      </w:pPr>
      <w:r>
        <w:rPr>
          <w:rFonts w:eastAsiaTheme="minorEastAsia"/>
          <w:kern w:val="0"/>
          <w:sz w:val="24"/>
          <w:szCs w:val="21"/>
        </w:rPr>
        <w:t xml:space="preserve">审定人： </w:t>
      </w:r>
      <w:r>
        <w:rPr>
          <w:rFonts w:hint="eastAsia" w:eastAsiaTheme="minorEastAsia"/>
          <w:kern w:val="0"/>
          <w:sz w:val="24"/>
          <w:szCs w:val="21"/>
        </w:rPr>
        <w:t>魏雪娇</w:t>
      </w:r>
    </w:p>
    <w:p>
      <w:pPr>
        <w:autoSpaceDE w:val="0"/>
        <w:autoSpaceDN w:val="0"/>
        <w:adjustRightInd w:val="0"/>
        <w:spacing w:line="360" w:lineRule="auto"/>
        <w:ind w:right="240"/>
        <w:jc w:val="right"/>
        <w:rPr>
          <w:rFonts w:eastAsiaTheme="minorEastAsia"/>
          <w:kern w:val="0"/>
          <w:sz w:val="24"/>
          <w:szCs w:val="21"/>
        </w:rPr>
      </w:pPr>
      <w:r>
        <w:rPr>
          <w:rFonts w:eastAsiaTheme="minorEastAsia"/>
          <w:kern w:val="0"/>
          <w:sz w:val="24"/>
          <w:szCs w:val="21"/>
        </w:rPr>
        <w:t xml:space="preserve">审批人： </w:t>
      </w:r>
      <w:r>
        <w:rPr>
          <w:rFonts w:hint="eastAsia" w:eastAsiaTheme="minorEastAsia"/>
          <w:kern w:val="0"/>
          <w:sz w:val="24"/>
          <w:szCs w:val="21"/>
        </w:rPr>
        <w:t>吴泽颖</w:t>
      </w:r>
    </w:p>
    <w:p>
      <w:pPr>
        <w:autoSpaceDE w:val="0"/>
        <w:autoSpaceDN w:val="0"/>
        <w:adjustRightInd w:val="0"/>
        <w:spacing w:line="360" w:lineRule="auto"/>
        <w:ind w:right="960"/>
        <w:jc w:val="center"/>
        <w:rPr>
          <w:rFonts w:hint="eastAsia" w:eastAsiaTheme="minorEastAsia"/>
          <w:kern w:val="0"/>
          <w:sz w:val="24"/>
          <w:szCs w:val="21"/>
          <w:lang w:val="en-US" w:eastAsia="zh-CN"/>
        </w:rPr>
      </w:pPr>
      <w:r>
        <w:rPr>
          <w:rFonts w:hint="eastAsia" w:eastAsiaTheme="minorEastAsia"/>
          <w:kern w:val="0"/>
          <w:sz w:val="24"/>
          <w:szCs w:val="21"/>
          <w:lang w:val="en-US" w:eastAsia="zh-CN"/>
        </w:rPr>
        <w:t xml:space="preserve">                                            </w:t>
      </w:r>
      <w:r>
        <w:rPr>
          <w:rFonts w:eastAsiaTheme="minorEastAsia"/>
          <w:kern w:val="0"/>
          <w:sz w:val="24"/>
          <w:szCs w:val="21"/>
        </w:rPr>
        <w:t xml:space="preserve">批准时间： </w:t>
      </w:r>
      <w:r>
        <w:rPr>
          <w:rFonts w:hint="eastAsia" w:eastAsiaTheme="minorEastAsia"/>
          <w:kern w:val="0"/>
          <w:sz w:val="24"/>
          <w:szCs w:val="21"/>
          <w:lang w:val="en-US" w:eastAsia="zh-CN"/>
        </w:rPr>
        <w:t>2021.9.1</w:t>
      </w:r>
    </w:p>
    <w:p>
      <w:pPr>
        <w:autoSpaceDE w:val="0"/>
        <w:autoSpaceDN w:val="0"/>
        <w:adjustRightInd w:val="0"/>
        <w:spacing w:line="360" w:lineRule="auto"/>
        <w:ind w:right="960"/>
        <w:jc w:val="center"/>
        <w:rPr>
          <w:rFonts w:hint="eastAsia" w:eastAsiaTheme="minorEastAsia"/>
          <w:kern w:val="0"/>
          <w:sz w:val="24"/>
          <w:szCs w:val="21"/>
          <w:lang w:val="en-US" w:eastAsia="zh-CN"/>
        </w:rPr>
      </w:pPr>
    </w:p>
    <w:p>
      <w:pPr>
        <w:autoSpaceDE w:val="0"/>
        <w:autoSpaceDN w:val="0"/>
        <w:adjustRightInd w:val="0"/>
        <w:spacing w:line="360" w:lineRule="auto"/>
        <w:ind w:right="960"/>
        <w:jc w:val="center"/>
        <w:rPr>
          <w:rFonts w:hint="eastAsia" w:eastAsiaTheme="minorEastAsia"/>
          <w:kern w:val="0"/>
          <w:sz w:val="24"/>
          <w:szCs w:val="21"/>
          <w:lang w:val="en-US" w:eastAsia="zh-CN"/>
        </w:rPr>
      </w:pPr>
    </w:p>
    <w:p>
      <w:pPr>
        <w:autoSpaceDE w:val="0"/>
        <w:autoSpaceDN w:val="0"/>
        <w:adjustRightInd w:val="0"/>
        <w:spacing w:line="360" w:lineRule="auto"/>
        <w:ind w:right="960"/>
        <w:jc w:val="center"/>
        <w:rPr>
          <w:rFonts w:hint="eastAsia" w:eastAsiaTheme="minorEastAsia"/>
          <w:kern w:val="0"/>
          <w:sz w:val="24"/>
          <w:szCs w:val="21"/>
          <w:lang w:val="en-US" w:eastAsia="zh-CN"/>
        </w:rPr>
      </w:pPr>
    </w:p>
    <w:p>
      <w:pPr>
        <w:autoSpaceDE w:val="0"/>
        <w:autoSpaceDN w:val="0"/>
        <w:adjustRightInd w:val="0"/>
        <w:spacing w:line="360" w:lineRule="auto"/>
        <w:ind w:right="960"/>
        <w:jc w:val="center"/>
        <w:rPr>
          <w:rFonts w:hint="eastAsia" w:eastAsiaTheme="minorEastAsia"/>
          <w:kern w:val="0"/>
          <w:sz w:val="24"/>
          <w:szCs w:val="21"/>
          <w:lang w:val="en-US" w:eastAsia="zh-CN"/>
        </w:rPr>
      </w:pPr>
    </w:p>
    <w:p>
      <w:pPr>
        <w:autoSpaceDE w:val="0"/>
        <w:autoSpaceDN w:val="0"/>
        <w:adjustRightInd w:val="0"/>
        <w:spacing w:line="360" w:lineRule="auto"/>
        <w:ind w:right="960"/>
        <w:jc w:val="center"/>
        <w:rPr>
          <w:rFonts w:hint="eastAsia" w:eastAsiaTheme="minorEastAsia"/>
          <w:kern w:val="0"/>
          <w:sz w:val="24"/>
          <w:szCs w:val="21"/>
          <w:lang w:val="en-US" w:eastAsia="zh-CN"/>
        </w:rPr>
      </w:pPr>
    </w:p>
    <w:p>
      <w:pPr>
        <w:autoSpaceDE w:val="0"/>
        <w:autoSpaceDN w:val="0"/>
        <w:adjustRightInd w:val="0"/>
        <w:spacing w:line="360" w:lineRule="auto"/>
        <w:ind w:right="960"/>
        <w:jc w:val="center"/>
        <w:rPr>
          <w:rFonts w:hint="eastAsia" w:eastAsiaTheme="minorEastAsia"/>
          <w:kern w:val="0"/>
          <w:sz w:val="24"/>
          <w:szCs w:val="21"/>
          <w:lang w:val="en-US" w:eastAsia="zh-CN"/>
        </w:rPr>
      </w:pPr>
    </w:p>
    <w:p>
      <w:pPr>
        <w:autoSpaceDE w:val="0"/>
        <w:autoSpaceDN w:val="0"/>
        <w:adjustRightInd w:val="0"/>
        <w:spacing w:line="360" w:lineRule="auto"/>
        <w:ind w:right="960"/>
        <w:jc w:val="center"/>
        <w:rPr>
          <w:rFonts w:hint="eastAsia" w:eastAsiaTheme="minorEastAsia"/>
          <w:kern w:val="0"/>
          <w:sz w:val="24"/>
          <w:szCs w:val="21"/>
          <w:lang w:val="en-US" w:eastAsia="zh-CN"/>
        </w:rPr>
      </w:pPr>
    </w:p>
    <w:p>
      <w:pPr>
        <w:autoSpaceDE w:val="0"/>
        <w:autoSpaceDN w:val="0"/>
        <w:adjustRightInd w:val="0"/>
        <w:spacing w:line="360" w:lineRule="auto"/>
        <w:ind w:right="960"/>
        <w:jc w:val="center"/>
        <w:rPr>
          <w:rFonts w:hint="eastAsia" w:eastAsiaTheme="minorEastAsia"/>
          <w:kern w:val="0"/>
          <w:sz w:val="24"/>
          <w:szCs w:val="21"/>
          <w:lang w:val="en-US" w:eastAsia="zh-CN"/>
        </w:rPr>
      </w:pPr>
    </w:p>
    <w:p>
      <w:pPr>
        <w:autoSpaceDE w:val="0"/>
        <w:autoSpaceDN w:val="0"/>
        <w:adjustRightInd w:val="0"/>
        <w:spacing w:line="360" w:lineRule="auto"/>
        <w:ind w:right="960"/>
        <w:jc w:val="center"/>
        <w:rPr>
          <w:rFonts w:hint="eastAsia" w:eastAsiaTheme="minorEastAsia"/>
          <w:kern w:val="0"/>
          <w:sz w:val="24"/>
          <w:szCs w:val="21"/>
          <w:lang w:val="en-US" w:eastAsia="zh-CN"/>
        </w:rPr>
      </w:pPr>
    </w:p>
    <w:p>
      <w:pPr>
        <w:autoSpaceDE w:val="0"/>
        <w:autoSpaceDN w:val="0"/>
        <w:adjustRightInd w:val="0"/>
        <w:spacing w:line="360" w:lineRule="auto"/>
        <w:ind w:right="960"/>
        <w:jc w:val="center"/>
        <w:rPr>
          <w:rFonts w:hint="eastAsia" w:eastAsiaTheme="minorEastAsia"/>
          <w:kern w:val="0"/>
          <w:sz w:val="24"/>
          <w:szCs w:val="21"/>
          <w:lang w:val="en-US" w:eastAsia="zh-CN"/>
        </w:rPr>
      </w:pPr>
    </w:p>
    <w:p>
      <w:pPr>
        <w:autoSpaceDE w:val="0"/>
        <w:autoSpaceDN w:val="0"/>
        <w:adjustRightInd w:val="0"/>
        <w:spacing w:line="360" w:lineRule="auto"/>
        <w:ind w:right="960"/>
        <w:jc w:val="center"/>
        <w:rPr>
          <w:rFonts w:hint="eastAsia" w:eastAsiaTheme="minorEastAsia"/>
          <w:kern w:val="0"/>
          <w:sz w:val="24"/>
          <w:szCs w:val="21"/>
          <w:lang w:val="en-US" w:eastAsia="zh-CN"/>
        </w:rPr>
      </w:pPr>
    </w:p>
    <w:p>
      <w:pPr>
        <w:autoSpaceDE w:val="0"/>
        <w:autoSpaceDN w:val="0"/>
        <w:adjustRightInd w:val="0"/>
        <w:spacing w:line="360" w:lineRule="auto"/>
        <w:ind w:right="960"/>
        <w:jc w:val="center"/>
        <w:rPr>
          <w:rFonts w:hint="eastAsia" w:eastAsiaTheme="minorEastAsia"/>
          <w:kern w:val="0"/>
          <w:sz w:val="24"/>
          <w:szCs w:val="21"/>
          <w:lang w:val="en-US" w:eastAsia="zh-CN"/>
        </w:rPr>
      </w:pPr>
    </w:p>
    <w:p>
      <w:pPr>
        <w:pStyle w:val="3"/>
        <w:bidi w:val="0"/>
        <w:jc w:val="center"/>
        <w:rPr>
          <w:rFonts w:hint="eastAsia" w:eastAsia="宋体"/>
          <w:bCs w:val="0"/>
          <w:kern w:val="0"/>
          <w:lang w:eastAsia="zh-CN"/>
        </w:rPr>
      </w:pPr>
      <w:bookmarkStart w:id="232" w:name="_Toc15885"/>
      <w:bookmarkStart w:id="233" w:name="_Toc8100"/>
      <w:r>
        <w:rPr>
          <w:rFonts w:hint="eastAsia"/>
        </w:rPr>
        <w:t>现代材料表征技术</w:t>
      </w:r>
      <w:r>
        <w:rPr>
          <w:rFonts w:hint="eastAsia"/>
          <w:lang w:eastAsia="zh-CN"/>
        </w:rPr>
        <w:t>（新创碳谷）</w:t>
      </w:r>
      <w:bookmarkEnd w:id="232"/>
      <w:bookmarkEnd w:id="233"/>
    </w:p>
    <w:p>
      <w:pPr>
        <w:spacing w:line="312" w:lineRule="auto"/>
        <w:jc w:val="center"/>
        <w:rPr>
          <w:b/>
          <w:bCs/>
          <w:sz w:val="30"/>
        </w:rPr>
      </w:pPr>
      <w:r>
        <w:rPr>
          <w:b/>
          <w:bCs/>
          <w:sz w:val="30"/>
        </w:rPr>
        <w:t>（Modern material characterization techniques）</w:t>
      </w:r>
    </w:p>
    <w:p>
      <w:pPr>
        <w:spacing w:line="312" w:lineRule="auto"/>
        <w:jc w:val="center"/>
        <w:rPr>
          <w:rFonts w:eastAsia="黑体"/>
          <w:bCs/>
          <w:sz w:val="30"/>
        </w:rPr>
      </w:pPr>
    </w:p>
    <w:p>
      <w:pPr>
        <w:spacing w:line="360" w:lineRule="auto"/>
        <w:ind w:firstLine="551" w:firstLineChars="196"/>
        <w:rPr>
          <w:b/>
          <w:sz w:val="28"/>
          <w:szCs w:val="28"/>
        </w:rPr>
      </w:pPr>
      <w:r>
        <w:rPr>
          <w:b/>
          <w:sz w:val="28"/>
          <w:szCs w:val="28"/>
        </w:rPr>
        <w:t>一、课程概况</w:t>
      </w:r>
    </w:p>
    <w:p>
      <w:pPr>
        <w:spacing w:line="360" w:lineRule="auto"/>
        <w:ind w:firstLine="482" w:firstLineChars="200"/>
        <w:rPr>
          <w:b/>
          <w:sz w:val="28"/>
          <w:szCs w:val="28"/>
        </w:rPr>
      </w:pPr>
      <w:r>
        <w:rPr>
          <w:b/>
          <w:bCs/>
          <w:kern w:val="0"/>
          <w:sz w:val="24"/>
        </w:rPr>
        <w:t>课程代码</w:t>
      </w:r>
      <w:r>
        <w:rPr>
          <w:b/>
          <w:kern w:val="0"/>
          <w:sz w:val="24"/>
        </w:rPr>
        <w:t>：</w:t>
      </w:r>
      <w:r>
        <w:rPr>
          <w:bCs/>
          <w:kern w:val="0"/>
          <w:sz w:val="24"/>
        </w:rPr>
        <w:t>2501058</w:t>
      </w:r>
    </w:p>
    <w:p>
      <w:pPr>
        <w:spacing w:line="360" w:lineRule="auto"/>
        <w:ind w:firstLine="482" w:firstLineChars="200"/>
        <w:rPr>
          <w:kern w:val="0"/>
          <w:sz w:val="24"/>
        </w:rPr>
      </w:pPr>
      <w:r>
        <w:rPr>
          <w:b/>
          <w:bCs/>
          <w:kern w:val="0"/>
          <w:sz w:val="24"/>
        </w:rPr>
        <w:t>学    分</w:t>
      </w:r>
      <w:r>
        <w:rPr>
          <w:b/>
          <w:kern w:val="0"/>
          <w:sz w:val="24"/>
        </w:rPr>
        <w:t>：</w:t>
      </w:r>
      <w:r>
        <w:rPr>
          <w:rFonts w:hint="eastAsia"/>
          <w:kern w:val="0"/>
          <w:sz w:val="24"/>
        </w:rPr>
        <w:t>2</w:t>
      </w:r>
    </w:p>
    <w:p>
      <w:pPr>
        <w:spacing w:line="360" w:lineRule="auto"/>
        <w:ind w:firstLine="482" w:firstLineChars="200"/>
        <w:rPr>
          <w:kern w:val="0"/>
          <w:sz w:val="24"/>
        </w:rPr>
      </w:pPr>
      <w:r>
        <w:rPr>
          <w:b/>
          <w:bCs/>
          <w:kern w:val="0"/>
          <w:sz w:val="24"/>
        </w:rPr>
        <w:t>学    时</w:t>
      </w:r>
      <w:r>
        <w:rPr>
          <w:b/>
          <w:kern w:val="0"/>
          <w:sz w:val="24"/>
        </w:rPr>
        <w:t>：</w:t>
      </w:r>
      <w:r>
        <w:rPr>
          <w:kern w:val="0"/>
          <w:sz w:val="24"/>
        </w:rPr>
        <w:t>32</w:t>
      </w:r>
    </w:p>
    <w:p>
      <w:pPr>
        <w:spacing w:line="360" w:lineRule="auto"/>
        <w:ind w:firstLine="482" w:firstLineChars="200"/>
        <w:rPr>
          <w:bCs/>
          <w:kern w:val="0"/>
          <w:sz w:val="24"/>
        </w:rPr>
      </w:pPr>
      <w:r>
        <w:rPr>
          <w:b/>
          <w:bCs/>
          <w:kern w:val="0"/>
          <w:sz w:val="24"/>
        </w:rPr>
        <w:t>先修课程</w:t>
      </w:r>
      <w:r>
        <w:rPr>
          <w:b/>
          <w:kern w:val="0"/>
          <w:sz w:val="24"/>
        </w:rPr>
        <w:t>：</w:t>
      </w:r>
      <w:r>
        <w:rPr>
          <w:rFonts w:hint="eastAsia"/>
          <w:sz w:val="24"/>
        </w:rPr>
        <w:t>分析化学、无机化学、物理化学、仪器分析与实验</w:t>
      </w:r>
      <w:r>
        <w:rPr>
          <w:sz w:val="24"/>
        </w:rPr>
        <w:t>等</w:t>
      </w:r>
    </w:p>
    <w:p>
      <w:pPr>
        <w:spacing w:line="360" w:lineRule="auto"/>
        <w:ind w:firstLine="482" w:firstLineChars="200"/>
        <w:rPr>
          <w:kern w:val="0"/>
          <w:sz w:val="24"/>
        </w:rPr>
      </w:pPr>
      <w:r>
        <w:rPr>
          <w:b/>
          <w:bCs/>
          <w:kern w:val="0"/>
          <w:sz w:val="24"/>
        </w:rPr>
        <w:t>适用专业</w:t>
      </w:r>
      <w:r>
        <w:rPr>
          <w:b/>
          <w:kern w:val="0"/>
          <w:sz w:val="24"/>
        </w:rPr>
        <w:t>：</w:t>
      </w:r>
      <w:r>
        <w:rPr>
          <w:rFonts w:hint="eastAsia"/>
          <w:kern w:val="0"/>
          <w:sz w:val="24"/>
        </w:rPr>
        <w:t>化学工程与工艺</w:t>
      </w:r>
    </w:p>
    <w:p>
      <w:pPr>
        <w:spacing w:line="360" w:lineRule="auto"/>
        <w:ind w:firstLine="482" w:firstLineChars="200"/>
        <w:rPr>
          <w:sz w:val="24"/>
        </w:rPr>
      </w:pPr>
      <w:r>
        <w:rPr>
          <w:rFonts w:hint="eastAsia"/>
          <w:b/>
          <w:bCs/>
          <w:kern w:val="0"/>
          <w:sz w:val="24"/>
        </w:rPr>
        <w:t>建议</w:t>
      </w:r>
      <w:r>
        <w:rPr>
          <w:b/>
          <w:bCs/>
          <w:kern w:val="0"/>
          <w:sz w:val="24"/>
        </w:rPr>
        <w:t>教材</w:t>
      </w:r>
      <w:r>
        <w:rPr>
          <w:b/>
          <w:kern w:val="0"/>
          <w:sz w:val="24"/>
        </w:rPr>
        <w:t>：</w:t>
      </w:r>
      <w:r>
        <w:rPr>
          <w:rFonts w:hint="eastAsia"/>
          <w:kern w:val="0"/>
          <w:sz w:val="24"/>
          <w:szCs w:val="21"/>
        </w:rPr>
        <w:t>材料分析测试技术与应用，马毅龙 著，化学工业出版社，</w:t>
      </w:r>
      <w:r>
        <w:rPr>
          <w:kern w:val="0"/>
          <w:sz w:val="24"/>
          <w:szCs w:val="21"/>
        </w:rPr>
        <w:t>2017-10-01</w:t>
      </w:r>
      <w:r>
        <w:rPr>
          <w:rFonts w:hint="eastAsia"/>
          <w:kern w:val="0"/>
          <w:sz w:val="24"/>
          <w:szCs w:val="21"/>
        </w:rPr>
        <w:t>；</w:t>
      </w:r>
    </w:p>
    <w:p>
      <w:pPr>
        <w:spacing w:line="360" w:lineRule="auto"/>
        <w:ind w:firstLine="482" w:firstLineChars="200"/>
        <w:rPr>
          <w:kern w:val="0"/>
          <w:sz w:val="24"/>
        </w:rPr>
      </w:pPr>
      <w:r>
        <w:rPr>
          <w:b/>
          <w:bCs/>
          <w:kern w:val="0"/>
          <w:sz w:val="24"/>
        </w:rPr>
        <w:t>课程归口：</w:t>
      </w:r>
      <w:r>
        <w:rPr>
          <w:rFonts w:hint="eastAsia"/>
          <w:bCs/>
          <w:kern w:val="0"/>
          <w:sz w:val="24"/>
        </w:rPr>
        <w:t>化工与材料</w:t>
      </w:r>
      <w:r>
        <w:rPr>
          <w:kern w:val="0"/>
          <w:sz w:val="24"/>
        </w:rPr>
        <w:t>学院</w:t>
      </w:r>
    </w:p>
    <w:p>
      <w:pPr>
        <w:spacing w:line="360" w:lineRule="auto"/>
        <w:ind w:firstLine="482" w:firstLineChars="200"/>
        <w:rPr>
          <w:kern w:val="0"/>
          <w:sz w:val="24"/>
          <w:highlight w:val="none"/>
        </w:rPr>
      </w:pPr>
      <w:r>
        <w:rPr>
          <w:rFonts w:hint="eastAsia"/>
          <w:b/>
          <w:bCs/>
          <w:kern w:val="0"/>
          <w:sz w:val="24"/>
        </w:rPr>
        <w:t>课程团队：</w:t>
      </w:r>
      <w:r>
        <w:rPr>
          <w:rFonts w:hint="eastAsia"/>
          <w:kern w:val="0"/>
          <w:sz w:val="24"/>
          <w:highlight w:val="none"/>
        </w:rPr>
        <w:t>壮亚峰、吴泽颖、魏雪姣、张欢等</w:t>
      </w:r>
    </w:p>
    <w:p>
      <w:pPr>
        <w:spacing w:line="360" w:lineRule="auto"/>
        <w:ind w:firstLine="482" w:firstLineChars="200"/>
        <w:rPr>
          <w:bCs/>
          <w:kern w:val="0"/>
          <w:sz w:val="24"/>
        </w:rPr>
      </w:pPr>
      <w:r>
        <w:rPr>
          <w:b/>
          <w:bCs/>
          <w:kern w:val="0"/>
          <w:sz w:val="24"/>
        </w:rPr>
        <w:t>课程的性质与任务</w:t>
      </w:r>
      <w:r>
        <w:rPr>
          <w:rFonts w:hint="eastAsia"/>
          <w:b/>
          <w:bCs/>
          <w:kern w:val="0"/>
          <w:sz w:val="24"/>
        </w:rPr>
        <w:t>：</w:t>
      </w:r>
      <w:r>
        <w:rPr>
          <w:sz w:val="24"/>
        </w:rPr>
        <w:t>本课程是</w:t>
      </w:r>
      <w:r>
        <w:rPr>
          <w:rFonts w:hint="eastAsia"/>
          <w:kern w:val="0"/>
          <w:sz w:val="24"/>
        </w:rPr>
        <w:t>化学工程与工艺</w:t>
      </w:r>
      <w:r>
        <w:rPr>
          <w:sz w:val="24"/>
        </w:rPr>
        <w:t>专业的一门</w:t>
      </w:r>
      <w:r>
        <w:rPr>
          <w:rFonts w:hint="eastAsia"/>
          <w:sz w:val="24"/>
        </w:rPr>
        <w:t>专业基础课</w:t>
      </w:r>
      <w:r>
        <w:rPr>
          <w:sz w:val="24"/>
        </w:rPr>
        <w:t>。</w:t>
      </w:r>
      <w:r>
        <w:rPr>
          <w:rFonts w:hint="eastAsia"/>
          <w:sz w:val="24"/>
        </w:rPr>
        <w:t>通过本课程的学习，使学生在已学过化学分析、物理化学、仪器分析与实验等课程的基础上，学习和掌握现代材料表征的常用方法和仪器，理解基本理论、各类仪器分析的基本原理、仪器构造和定性定量分析方法，培养学生根据实际问题的需要，应用各类仪器分析方法对材料进行表征（定性或定量）的能力，同时培养学生</w:t>
      </w:r>
      <w:r>
        <w:rPr>
          <w:rFonts w:hint="eastAsia"/>
          <w:bCs/>
          <w:color w:val="000000"/>
          <w:sz w:val="24"/>
        </w:rPr>
        <w:t>具有辩证思维能力，树立理论联系实际的科学观，为学生毕业后从事相关工作打下良好的基础。</w:t>
      </w:r>
    </w:p>
    <w:p>
      <w:pPr>
        <w:numPr>
          <w:ilvl w:val="0"/>
          <w:numId w:val="1"/>
        </w:numPr>
        <w:spacing w:line="360" w:lineRule="auto"/>
        <w:ind w:left="420" w:firstLine="562" w:firstLineChars="200"/>
        <w:rPr>
          <w:b/>
          <w:sz w:val="28"/>
          <w:szCs w:val="28"/>
        </w:rPr>
      </w:pPr>
      <w:r>
        <w:rPr>
          <w:b/>
          <w:sz w:val="28"/>
          <w:szCs w:val="28"/>
        </w:rPr>
        <w:t>课程目标对毕业要求观测点的支撑</w:t>
      </w:r>
    </w:p>
    <w:tbl>
      <w:tblPr>
        <w:tblStyle w:val="1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118"/>
        <w:gridCol w:w="2292"/>
        <w:gridCol w:w="3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38" w:type="dxa"/>
            <w:noWrap/>
            <w:vAlign w:val="center"/>
          </w:tcPr>
          <w:p>
            <w:pPr>
              <w:widowControl/>
              <w:jc w:val="center"/>
              <w:rPr>
                <w:b/>
                <w:bCs/>
                <w:kern w:val="0"/>
                <w:szCs w:val="21"/>
              </w:rPr>
            </w:pPr>
            <w:r>
              <w:rPr>
                <w:b/>
                <w:bCs/>
                <w:kern w:val="0"/>
                <w:szCs w:val="21"/>
              </w:rPr>
              <w:t>序号</w:t>
            </w:r>
          </w:p>
        </w:tc>
        <w:tc>
          <w:tcPr>
            <w:tcW w:w="3118" w:type="dxa"/>
            <w:noWrap/>
            <w:vAlign w:val="center"/>
          </w:tcPr>
          <w:p>
            <w:pPr>
              <w:widowControl/>
              <w:jc w:val="center"/>
              <w:rPr>
                <w:b/>
                <w:bCs/>
                <w:kern w:val="0"/>
                <w:szCs w:val="21"/>
              </w:rPr>
            </w:pPr>
            <w:r>
              <w:rPr>
                <w:b/>
                <w:bCs/>
                <w:kern w:val="0"/>
                <w:szCs w:val="21"/>
              </w:rPr>
              <w:t>课程目标</w:t>
            </w:r>
          </w:p>
        </w:tc>
        <w:tc>
          <w:tcPr>
            <w:tcW w:w="2292" w:type="dxa"/>
            <w:noWrap/>
            <w:vAlign w:val="center"/>
          </w:tcPr>
          <w:p>
            <w:pPr>
              <w:widowControl/>
              <w:jc w:val="center"/>
              <w:rPr>
                <w:b/>
                <w:bCs/>
                <w:kern w:val="0"/>
                <w:szCs w:val="21"/>
              </w:rPr>
            </w:pPr>
            <w:r>
              <w:rPr>
                <w:b/>
                <w:bCs/>
                <w:kern w:val="0"/>
                <w:szCs w:val="21"/>
              </w:rPr>
              <w:t>支撑毕业要求观测点</w:t>
            </w:r>
          </w:p>
        </w:tc>
        <w:tc>
          <w:tcPr>
            <w:tcW w:w="3066" w:type="dxa"/>
            <w:noWrap/>
            <w:vAlign w:val="center"/>
          </w:tcPr>
          <w:p>
            <w:pPr>
              <w:widowControl/>
              <w:jc w:val="center"/>
              <w:rPr>
                <w:b/>
                <w:bCs/>
                <w:kern w:val="0"/>
                <w:szCs w:val="21"/>
              </w:rPr>
            </w:pPr>
            <w:r>
              <w:rPr>
                <w:b/>
                <w:bCs/>
                <w:kern w:val="0"/>
                <w:szCs w:val="21"/>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38" w:type="dxa"/>
            <w:noWrap/>
            <w:vAlign w:val="center"/>
          </w:tcPr>
          <w:p>
            <w:pPr>
              <w:widowControl/>
              <w:jc w:val="center"/>
              <w:rPr>
                <w:kern w:val="0"/>
                <w:szCs w:val="21"/>
              </w:rPr>
            </w:pPr>
            <w:r>
              <w:rPr>
                <w:kern w:val="0"/>
                <w:szCs w:val="21"/>
              </w:rPr>
              <w:t>1</w:t>
            </w:r>
          </w:p>
        </w:tc>
        <w:tc>
          <w:tcPr>
            <w:tcW w:w="3118" w:type="dxa"/>
            <w:noWrap/>
            <w:vAlign w:val="center"/>
          </w:tcPr>
          <w:p>
            <w:pPr>
              <w:rPr>
                <w:kern w:val="0"/>
                <w:szCs w:val="21"/>
              </w:rPr>
            </w:pPr>
            <w:r>
              <w:rPr>
                <w:b/>
                <w:kern w:val="0"/>
                <w:szCs w:val="21"/>
              </w:rPr>
              <w:t>目标1：</w:t>
            </w:r>
            <w:r>
              <w:rPr>
                <w:rFonts w:hint="eastAsia"/>
                <w:kern w:val="0"/>
                <w:szCs w:val="21"/>
              </w:rPr>
              <w:t>理解并掌握仪器分析方法的基本原理、理论、仪器构造；掌握相关分析结果的分析方法，能够进行定性、定量分析。</w:t>
            </w:r>
          </w:p>
        </w:tc>
        <w:tc>
          <w:tcPr>
            <w:tcW w:w="2292" w:type="dxa"/>
            <w:noWrap/>
            <w:vAlign w:val="center"/>
          </w:tcPr>
          <w:p>
            <w:pPr>
              <w:widowControl/>
              <w:rPr>
                <w:kern w:val="0"/>
                <w:szCs w:val="21"/>
              </w:rPr>
            </w:pPr>
            <w:r>
              <w:rPr>
                <w:b/>
                <w:color w:val="000000"/>
                <w:kern w:val="0"/>
                <w:szCs w:val="21"/>
              </w:rPr>
              <w:t>观测点</w:t>
            </w:r>
            <w:r>
              <w:rPr>
                <w:rFonts w:hint="eastAsia"/>
                <w:b/>
                <w:szCs w:val="21"/>
              </w:rPr>
              <w:t>5</w:t>
            </w:r>
            <w:r>
              <w:rPr>
                <w:b/>
                <w:szCs w:val="21"/>
              </w:rPr>
              <w:t>.</w:t>
            </w:r>
            <w:r>
              <w:rPr>
                <w:rFonts w:hint="eastAsia"/>
                <w:b/>
                <w:szCs w:val="21"/>
              </w:rPr>
              <w:t>1</w:t>
            </w:r>
            <w:r>
              <w:rPr>
                <w:szCs w:val="21"/>
              </w:rPr>
              <w:t>：</w:t>
            </w:r>
            <w:r>
              <w:rPr>
                <w:rFonts w:hint="eastAsia" w:ascii="宋体" w:hAnsi="宋体" w:cs="宋体"/>
                <w:color w:val="000000"/>
                <w:kern w:val="0"/>
                <w:szCs w:val="21"/>
              </w:rPr>
              <w:t>了解现代材料表征常用的方法、仪器、信息技术工具、分析软件和模拟软件；掌握的使用原理和方法，理解其局限性</w:t>
            </w:r>
            <w:r>
              <w:rPr>
                <w:rFonts w:hint="eastAsia"/>
                <w:color w:val="000000"/>
                <w:kern w:val="0"/>
                <w:szCs w:val="21"/>
              </w:rPr>
              <w:t>。</w:t>
            </w:r>
          </w:p>
        </w:tc>
        <w:tc>
          <w:tcPr>
            <w:tcW w:w="3066" w:type="dxa"/>
            <w:noWrap/>
            <w:vAlign w:val="center"/>
          </w:tcPr>
          <w:p>
            <w:pPr>
              <w:widowControl/>
              <w:rPr>
                <w:bCs/>
                <w:color w:val="000000"/>
                <w:kern w:val="0"/>
                <w:szCs w:val="21"/>
              </w:rPr>
            </w:pPr>
            <w:r>
              <w:rPr>
                <w:b/>
                <w:color w:val="000000"/>
                <w:kern w:val="0"/>
                <w:szCs w:val="21"/>
              </w:rPr>
              <w:t>毕业要求1</w:t>
            </w:r>
            <w:r>
              <w:rPr>
                <w:rFonts w:hint="eastAsia"/>
                <w:b/>
                <w:color w:val="000000"/>
                <w:kern w:val="0"/>
                <w:szCs w:val="21"/>
              </w:rPr>
              <w:t>工程知识：</w:t>
            </w:r>
            <w:r>
              <w:rPr>
                <w:rFonts w:hint="eastAsia"/>
                <w:bCs/>
                <w:color w:val="000000"/>
                <w:kern w:val="0"/>
                <w:szCs w:val="21"/>
              </w:rPr>
              <w:t>能够掌握数学、自然科学、工程基础和专业知识并用于解决化学工程与工艺领域的复杂工程问题。</w:t>
            </w:r>
          </w:p>
          <w:p>
            <w:pPr>
              <w:widowControl/>
              <w:rPr>
                <w:kern w:val="0"/>
                <w:szCs w:val="21"/>
              </w:rPr>
            </w:pPr>
            <w:r>
              <w:rPr>
                <w:b/>
                <w:color w:val="000000"/>
                <w:kern w:val="0"/>
                <w:szCs w:val="21"/>
              </w:rPr>
              <w:t>毕业要求</w:t>
            </w:r>
            <w:r>
              <w:rPr>
                <w:rFonts w:hint="eastAsia"/>
                <w:b/>
                <w:color w:val="000000"/>
                <w:kern w:val="0"/>
                <w:szCs w:val="21"/>
              </w:rPr>
              <w:t>5</w:t>
            </w:r>
            <w:r>
              <w:rPr>
                <w:rFonts w:hAnsi="宋体"/>
                <w:b/>
                <w:bCs/>
                <w:szCs w:val="21"/>
              </w:rPr>
              <w:t>使用现代工具：</w:t>
            </w:r>
            <w:r>
              <w:rPr>
                <w:rFonts w:hAnsi="宋体"/>
                <w:kern w:val="0"/>
                <w:szCs w:val="21"/>
              </w:rPr>
              <w:t>能够针对化学工程与工艺领域的复杂工程问题，开发、选择与使用恰当的技术、资源、现代工程工具和信息技术工具，包括对化学工程与工艺领域的复杂工程问题的预测与模拟，并能够理解其局限性。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38" w:type="dxa"/>
            <w:noWrap/>
            <w:vAlign w:val="center"/>
          </w:tcPr>
          <w:p>
            <w:pPr>
              <w:widowControl/>
              <w:jc w:val="center"/>
              <w:rPr>
                <w:kern w:val="0"/>
                <w:szCs w:val="21"/>
              </w:rPr>
            </w:pPr>
            <w:r>
              <w:rPr>
                <w:kern w:val="0"/>
                <w:szCs w:val="21"/>
              </w:rPr>
              <w:t>2</w:t>
            </w:r>
          </w:p>
        </w:tc>
        <w:tc>
          <w:tcPr>
            <w:tcW w:w="3118" w:type="dxa"/>
            <w:noWrap/>
            <w:vAlign w:val="center"/>
          </w:tcPr>
          <w:p>
            <w:pPr>
              <w:widowControl/>
              <w:rPr>
                <w:kern w:val="0"/>
                <w:szCs w:val="21"/>
              </w:rPr>
            </w:pPr>
            <w:r>
              <w:rPr>
                <w:b/>
                <w:kern w:val="0"/>
                <w:szCs w:val="21"/>
              </w:rPr>
              <w:t>目标2：</w:t>
            </w:r>
            <w:r>
              <w:rPr>
                <w:rFonts w:hint="eastAsia"/>
                <w:bCs/>
                <w:kern w:val="0"/>
                <w:szCs w:val="21"/>
              </w:rPr>
              <w:t>能够根据材料的特征和需求，选择合适的表征方法、仪器和分析条件；能够把所学的仪器分析基本理论、原理、分析方法和技能，运用到具体的材料表征中去；能够用相应专业软件分析表征结果并应用</w:t>
            </w:r>
            <w:r>
              <w:rPr>
                <w:rFonts w:hint="eastAsia"/>
                <w:b/>
                <w:kern w:val="0"/>
                <w:szCs w:val="21"/>
              </w:rPr>
              <w:t>。</w:t>
            </w:r>
          </w:p>
        </w:tc>
        <w:tc>
          <w:tcPr>
            <w:tcW w:w="2292" w:type="dxa"/>
            <w:noWrap/>
            <w:vAlign w:val="center"/>
          </w:tcPr>
          <w:p>
            <w:pPr>
              <w:widowControl/>
              <w:rPr>
                <w:kern w:val="0"/>
                <w:szCs w:val="21"/>
              </w:rPr>
            </w:pPr>
            <w:r>
              <w:rPr>
                <w:b/>
                <w:szCs w:val="21"/>
              </w:rPr>
              <w:t>观测点</w:t>
            </w:r>
            <w:r>
              <w:rPr>
                <w:rFonts w:hint="eastAsia"/>
                <w:b/>
                <w:szCs w:val="21"/>
              </w:rPr>
              <w:t>4.1</w:t>
            </w:r>
            <w:r>
              <w:rPr>
                <w:szCs w:val="21"/>
              </w:rPr>
              <w:t>：</w:t>
            </w:r>
            <w:r>
              <w:rPr>
                <w:rFonts w:hint="eastAsia" w:ascii="宋体" w:hAnsi="宋体" w:cs="宋体"/>
                <w:color w:val="000000"/>
                <w:kern w:val="0"/>
              </w:rPr>
              <w:t>能够比较和选择研究路线，设计实验方案，分析和应用表征结果</w:t>
            </w:r>
            <w:r>
              <w:rPr>
                <w:szCs w:val="21"/>
              </w:rPr>
              <w:t>。</w:t>
            </w:r>
          </w:p>
        </w:tc>
        <w:tc>
          <w:tcPr>
            <w:tcW w:w="3066" w:type="dxa"/>
            <w:noWrap/>
            <w:vAlign w:val="center"/>
          </w:tcPr>
          <w:p>
            <w:pPr>
              <w:widowControl/>
              <w:rPr>
                <w:bCs/>
                <w:szCs w:val="21"/>
              </w:rPr>
            </w:pPr>
            <w:r>
              <w:rPr>
                <w:b/>
                <w:szCs w:val="21"/>
              </w:rPr>
              <w:t>毕业要求2问题分析：</w:t>
            </w:r>
            <w:r>
              <w:rPr>
                <w:bCs/>
                <w:szCs w:val="21"/>
              </w:rPr>
              <w:t>能够应用数学、自然科学和工程科学的基本原理，识别、表达、并通过文献研究分析化学工程与工艺领域的复杂工程问题，以获得有效结论。</w:t>
            </w:r>
          </w:p>
          <w:p>
            <w:pPr>
              <w:widowControl/>
              <w:rPr>
                <w:szCs w:val="21"/>
              </w:rPr>
            </w:pPr>
            <w:r>
              <w:rPr>
                <w:b/>
                <w:szCs w:val="21"/>
              </w:rPr>
              <w:t>毕业要求</w:t>
            </w:r>
            <w:r>
              <w:rPr>
                <w:rFonts w:hint="eastAsia"/>
                <w:b/>
                <w:szCs w:val="21"/>
              </w:rPr>
              <w:t>4</w:t>
            </w:r>
            <w:r>
              <w:rPr>
                <w:rFonts w:hint="eastAsia" w:ascii="宋体" w:hAnsi="宋体"/>
                <w:b/>
                <w:bCs/>
                <w:color w:val="000000"/>
                <w:szCs w:val="22"/>
              </w:rPr>
              <w:t>研究：</w:t>
            </w:r>
            <w:r>
              <w:rPr>
                <w:rFonts w:hint="eastAsia" w:ascii="宋体" w:hAnsi="宋体"/>
                <w:color w:val="000000"/>
                <w:szCs w:val="22"/>
              </w:rPr>
              <w:t>能够基于科学原理并采用科学方法对复杂工程问题进行研究，包括设计实验、分析与解释数据、并通过信息综合得到合理有效的结论。</w:t>
            </w:r>
          </w:p>
        </w:tc>
      </w:tr>
    </w:tbl>
    <w:p>
      <w:pPr>
        <w:numPr>
          <w:ilvl w:val="0"/>
          <w:numId w:val="1"/>
        </w:numPr>
        <w:spacing w:line="360" w:lineRule="auto"/>
        <w:ind w:left="420" w:firstLine="562" w:firstLineChars="200"/>
        <w:rPr>
          <w:b/>
          <w:sz w:val="28"/>
          <w:szCs w:val="28"/>
        </w:rPr>
      </w:pPr>
      <w:r>
        <w:rPr>
          <w:b/>
          <w:sz w:val="28"/>
          <w:szCs w:val="28"/>
        </w:rPr>
        <w:t>课程内容及要求</w:t>
      </w:r>
    </w:p>
    <w:tbl>
      <w:tblPr>
        <w:tblStyle w:val="10"/>
        <w:tblW w:w="9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2632"/>
        <w:gridCol w:w="1134"/>
        <w:gridCol w:w="2028"/>
        <w:gridCol w:w="699"/>
        <w:gridCol w:w="975"/>
        <w:gridCol w:w="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vAlign w:val="center"/>
          </w:tcPr>
          <w:p>
            <w:pPr>
              <w:jc w:val="center"/>
              <w:rPr>
                <w:b/>
                <w:bCs/>
                <w:szCs w:val="21"/>
              </w:rPr>
            </w:pPr>
            <w:r>
              <w:rPr>
                <w:b/>
                <w:bCs/>
                <w:szCs w:val="21"/>
              </w:rPr>
              <w:t>序号</w:t>
            </w:r>
          </w:p>
        </w:tc>
        <w:tc>
          <w:tcPr>
            <w:tcW w:w="2632" w:type="dxa"/>
            <w:vAlign w:val="center"/>
          </w:tcPr>
          <w:p>
            <w:pPr>
              <w:jc w:val="center"/>
              <w:rPr>
                <w:b/>
                <w:bCs/>
                <w:szCs w:val="21"/>
              </w:rPr>
            </w:pPr>
            <w:r>
              <w:rPr>
                <w:b/>
                <w:bCs/>
                <w:szCs w:val="21"/>
              </w:rPr>
              <w:t>教学内容</w:t>
            </w:r>
          </w:p>
        </w:tc>
        <w:tc>
          <w:tcPr>
            <w:tcW w:w="1134" w:type="dxa"/>
            <w:vAlign w:val="center"/>
          </w:tcPr>
          <w:p>
            <w:pPr>
              <w:jc w:val="center"/>
              <w:rPr>
                <w:b/>
                <w:bCs/>
                <w:szCs w:val="21"/>
              </w:rPr>
            </w:pPr>
            <w:r>
              <w:rPr>
                <w:b/>
                <w:bCs/>
                <w:szCs w:val="21"/>
              </w:rPr>
              <w:t>思政元素</w:t>
            </w:r>
          </w:p>
        </w:tc>
        <w:tc>
          <w:tcPr>
            <w:tcW w:w="2028" w:type="dxa"/>
            <w:vAlign w:val="center"/>
          </w:tcPr>
          <w:p>
            <w:pPr>
              <w:jc w:val="center"/>
              <w:rPr>
                <w:b/>
                <w:bCs/>
                <w:szCs w:val="21"/>
              </w:rPr>
            </w:pPr>
            <w:r>
              <w:rPr>
                <w:b/>
                <w:bCs/>
                <w:szCs w:val="21"/>
              </w:rPr>
              <w:t>预期学习成果</w:t>
            </w:r>
          </w:p>
        </w:tc>
        <w:tc>
          <w:tcPr>
            <w:tcW w:w="699" w:type="dxa"/>
            <w:vAlign w:val="center"/>
          </w:tcPr>
          <w:p>
            <w:pPr>
              <w:jc w:val="center"/>
              <w:rPr>
                <w:b/>
                <w:bCs/>
                <w:szCs w:val="21"/>
              </w:rPr>
            </w:pPr>
            <w:r>
              <w:rPr>
                <w:b/>
                <w:bCs/>
                <w:szCs w:val="21"/>
              </w:rPr>
              <w:t>教学学时</w:t>
            </w:r>
          </w:p>
        </w:tc>
        <w:tc>
          <w:tcPr>
            <w:tcW w:w="975" w:type="dxa"/>
            <w:vAlign w:val="center"/>
          </w:tcPr>
          <w:p>
            <w:pPr>
              <w:jc w:val="center"/>
              <w:rPr>
                <w:b/>
                <w:bCs/>
                <w:szCs w:val="21"/>
              </w:rPr>
            </w:pPr>
            <w:r>
              <w:rPr>
                <w:b/>
                <w:bCs/>
                <w:szCs w:val="21"/>
              </w:rPr>
              <w:t>教学方式</w:t>
            </w:r>
          </w:p>
        </w:tc>
        <w:tc>
          <w:tcPr>
            <w:tcW w:w="925" w:type="dxa"/>
            <w:vAlign w:val="center"/>
          </w:tcPr>
          <w:p>
            <w:pPr>
              <w:jc w:val="center"/>
              <w:rPr>
                <w:b/>
                <w:bCs/>
                <w:szCs w:val="21"/>
              </w:rPr>
            </w:pPr>
            <w:r>
              <w:rPr>
                <w:b/>
                <w:bCs/>
                <w:szCs w:val="21"/>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vAlign w:val="center"/>
          </w:tcPr>
          <w:p>
            <w:pPr>
              <w:jc w:val="center"/>
              <w:rPr>
                <w:szCs w:val="21"/>
              </w:rPr>
            </w:pPr>
            <w:r>
              <w:rPr>
                <w:szCs w:val="21"/>
              </w:rPr>
              <w:t>1</w:t>
            </w:r>
          </w:p>
        </w:tc>
        <w:tc>
          <w:tcPr>
            <w:tcW w:w="2632" w:type="dxa"/>
            <w:vAlign w:val="center"/>
          </w:tcPr>
          <w:p>
            <w:pPr>
              <w:rPr>
                <w:b/>
                <w:kern w:val="0"/>
                <w:szCs w:val="21"/>
              </w:rPr>
            </w:pPr>
            <w:r>
              <w:rPr>
                <w:rFonts w:hint="eastAsia"/>
                <w:b/>
                <w:kern w:val="0"/>
                <w:szCs w:val="21"/>
              </w:rPr>
              <w:t>实验室一般知识：</w:t>
            </w:r>
            <w:r>
              <w:rPr>
                <w:rFonts w:hint="eastAsia"/>
                <w:bCs/>
                <w:kern w:val="0"/>
                <w:szCs w:val="21"/>
              </w:rPr>
              <w:t>分析实验室安全规则；分析实验室用水的规格和制备、玻璃仪器的洗涤、化学试剂的级别、保管和使用；分析试样的准备、保存和分解；特殊材料的使用、气体钢瓶的使用及注意事项。质量控制目的；方法评价指标；方法验证过程。</w:t>
            </w:r>
            <w:r>
              <w:rPr>
                <w:rFonts w:hint="eastAsia"/>
                <w:kern w:val="0"/>
                <w:szCs w:val="21"/>
              </w:rPr>
              <w:t>传感器的基本特性；物理传感器、化学传感器、生物传感器的基本原理和基本结构；传感器在现代分析仪器中的重要作用。</w:t>
            </w:r>
          </w:p>
          <w:p>
            <w:pPr>
              <w:rPr>
                <w:kern w:val="0"/>
                <w:szCs w:val="21"/>
              </w:rPr>
            </w:pPr>
            <w:r>
              <w:rPr>
                <w:b/>
                <w:kern w:val="0"/>
                <w:szCs w:val="21"/>
              </w:rPr>
              <w:t>重点和难点：</w:t>
            </w:r>
            <w:r>
              <w:rPr>
                <w:rFonts w:hint="eastAsia"/>
                <w:bCs/>
                <w:kern w:val="0"/>
                <w:szCs w:val="21"/>
              </w:rPr>
              <w:t>分析试样准备、保存和使用的要求。</w:t>
            </w:r>
          </w:p>
        </w:tc>
        <w:tc>
          <w:tcPr>
            <w:tcW w:w="1134" w:type="dxa"/>
            <w:vAlign w:val="center"/>
          </w:tcPr>
          <w:p>
            <w:pPr>
              <w:rPr>
                <w:bCs/>
                <w:kern w:val="0"/>
                <w:szCs w:val="21"/>
              </w:rPr>
            </w:pPr>
            <w:r>
              <w:rPr>
                <w:rFonts w:hint="eastAsia"/>
                <w:bCs/>
                <w:kern w:val="0"/>
                <w:szCs w:val="21"/>
              </w:rPr>
              <w:t>正确使用仪器设备、处理化学试剂的重要性，培养学生具备安全意识和环保意识。理解基础科学与科研工具的重要性，培养学生具备勇敢探索精神、认识动手能力重要性。</w:t>
            </w:r>
          </w:p>
        </w:tc>
        <w:tc>
          <w:tcPr>
            <w:tcW w:w="2028" w:type="dxa"/>
            <w:vAlign w:val="center"/>
          </w:tcPr>
          <w:p>
            <w:pPr>
              <w:rPr>
                <w:bCs/>
                <w:kern w:val="0"/>
                <w:szCs w:val="21"/>
              </w:rPr>
            </w:pPr>
            <w:r>
              <w:rPr>
                <w:bCs/>
                <w:kern w:val="0"/>
                <w:szCs w:val="21"/>
              </w:rPr>
              <w:t>能够</w:t>
            </w:r>
            <w:r>
              <w:rPr>
                <w:rFonts w:hint="eastAsia"/>
                <w:bCs/>
                <w:kern w:val="0"/>
                <w:szCs w:val="21"/>
              </w:rPr>
              <w:t>了解分析实验室安全规则；能够理解准备、保存和使用分析试样的要求和方法；能够了解实验室水、仪器、试剂的使用要求。能够理解传感器的重要性；能够掌握传感器的分类、原理、结构、特点与局限。</w:t>
            </w:r>
          </w:p>
        </w:tc>
        <w:tc>
          <w:tcPr>
            <w:tcW w:w="699" w:type="dxa"/>
            <w:vAlign w:val="center"/>
          </w:tcPr>
          <w:p>
            <w:pPr>
              <w:spacing w:line="312" w:lineRule="auto"/>
              <w:jc w:val="center"/>
              <w:rPr>
                <w:szCs w:val="21"/>
              </w:rPr>
            </w:pPr>
            <w:r>
              <w:rPr>
                <w:szCs w:val="21"/>
              </w:rPr>
              <w:t>2</w:t>
            </w:r>
            <w:r>
              <w:rPr>
                <w:rFonts w:hint="eastAsia"/>
                <w:szCs w:val="21"/>
              </w:rPr>
              <w:t>（讲授）</w:t>
            </w:r>
          </w:p>
        </w:tc>
        <w:tc>
          <w:tcPr>
            <w:tcW w:w="975" w:type="dxa"/>
            <w:vAlign w:val="center"/>
          </w:tcPr>
          <w:p>
            <w:pPr>
              <w:rPr>
                <w:szCs w:val="21"/>
              </w:rPr>
            </w:pPr>
            <w:r>
              <w:rPr>
                <w:szCs w:val="21"/>
              </w:rPr>
              <w:t>讲授/讨论/实例教学等</w:t>
            </w:r>
          </w:p>
        </w:tc>
        <w:tc>
          <w:tcPr>
            <w:tcW w:w="925" w:type="dxa"/>
            <w:vAlign w:val="center"/>
          </w:tcPr>
          <w:p>
            <w:pPr>
              <w:jc w:val="center"/>
              <w:rPr>
                <w:szCs w:val="21"/>
              </w:rPr>
            </w:pPr>
            <w:r>
              <w:rPr>
                <w:b/>
                <w:kern w:val="0"/>
                <w:szCs w:val="21"/>
              </w:rPr>
              <w:t>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vAlign w:val="center"/>
          </w:tcPr>
          <w:p>
            <w:pPr>
              <w:jc w:val="center"/>
              <w:rPr>
                <w:szCs w:val="21"/>
              </w:rPr>
            </w:pPr>
            <w:r>
              <w:rPr>
                <w:szCs w:val="21"/>
              </w:rPr>
              <w:t>2</w:t>
            </w:r>
          </w:p>
        </w:tc>
        <w:tc>
          <w:tcPr>
            <w:tcW w:w="2632" w:type="dxa"/>
            <w:vAlign w:val="center"/>
          </w:tcPr>
          <w:p>
            <w:pPr>
              <w:rPr>
                <w:kern w:val="0"/>
                <w:szCs w:val="21"/>
              </w:rPr>
            </w:pPr>
            <w:r>
              <w:rPr>
                <w:rFonts w:hint="eastAsia"/>
                <w:b/>
                <w:kern w:val="0"/>
                <w:szCs w:val="21"/>
              </w:rPr>
              <w:t>X射线衍射分析原理、方法及应用：</w:t>
            </w:r>
            <w:r>
              <w:rPr>
                <w:rFonts w:hint="eastAsia"/>
                <w:kern w:val="0"/>
                <w:szCs w:val="21"/>
              </w:rPr>
              <w:t>晶体的结构、X射线的产生与特征、晶体对X射线的衍射作用、X射线衍射仪的结构与基本原理、粉末状材料的X射线衍射分析方法、X射线衍射分析数据的分析软件与应用。</w:t>
            </w:r>
          </w:p>
          <w:p>
            <w:pPr>
              <w:rPr>
                <w:b/>
                <w:kern w:val="0"/>
                <w:szCs w:val="21"/>
              </w:rPr>
            </w:pPr>
            <w:r>
              <w:rPr>
                <w:b/>
                <w:kern w:val="0"/>
                <w:szCs w:val="21"/>
              </w:rPr>
              <w:t>重点和难点：</w:t>
            </w:r>
            <w:r>
              <w:rPr>
                <w:rFonts w:hint="eastAsia"/>
                <w:kern w:val="0"/>
                <w:szCs w:val="21"/>
              </w:rPr>
              <w:t>晶体对X射线的衍射作用，衍射数据分析与应用；</w:t>
            </w:r>
          </w:p>
        </w:tc>
        <w:tc>
          <w:tcPr>
            <w:tcW w:w="1134" w:type="dxa"/>
            <w:vAlign w:val="center"/>
          </w:tcPr>
          <w:p>
            <w:pPr>
              <w:autoSpaceDE w:val="0"/>
              <w:autoSpaceDN w:val="0"/>
              <w:adjustRightInd w:val="0"/>
              <w:rPr>
                <w:kern w:val="0"/>
                <w:szCs w:val="21"/>
              </w:rPr>
            </w:pPr>
            <w:r>
              <w:rPr>
                <w:rFonts w:hint="eastAsia"/>
                <w:kern w:val="0"/>
                <w:szCs w:val="21"/>
              </w:rPr>
              <w:t>介绍分析方法的产生、推广对科学发展的促进作用，激发学生大胆谨慎的科学探索精神，目标动手、团队合作的重要性。</w:t>
            </w:r>
          </w:p>
        </w:tc>
        <w:tc>
          <w:tcPr>
            <w:tcW w:w="2028" w:type="dxa"/>
            <w:vAlign w:val="center"/>
          </w:tcPr>
          <w:p>
            <w:pPr>
              <w:rPr>
                <w:kern w:val="0"/>
                <w:szCs w:val="21"/>
              </w:rPr>
            </w:pPr>
            <w:r>
              <w:rPr>
                <w:rFonts w:hint="eastAsia"/>
                <w:kern w:val="0"/>
                <w:szCs w:val="21"/>
              </w:rPr>
              <w:t>理解晶体结构，对X射线的衍射作用，掌握衍射数据分析软件，并能够实际应用。</w:t>
            </w:r>
          </w:p>
        </w:tc>
        <w:tc>
          <w:tcPr>
            <w:tcW w:w="699" w:type="dxa"/>
            <w:vAlign w:val="center"/>
          </w:tcPr>
          <w:p>
            <w:pPr>
              <w:spacing w:line="312" w:lineRule="auto"/>
              <w:jc w:val="center"/>
              <w:rPr>
                <w:szCs w:val="21"/>
              </w:rPr>
            </w:pPr>
            <w:r>
              <w:rPr>
                <w:rFonts w:hint="eastAsia"/>
                <w:szCs w:val="21"/>
              </w:rPr>
              <w:t>1</w:t>
            </w:r>
            <w:r>
              <w:rPr>
                <w:szCs w:val="21"/>
              </w:rPr>
              <w:t>2</w:t>
            </w:r>
            <w:r>
              <w:rPr>
                <w:rFonts w:hint="eastAsia"/>
                <w:szCs w:val="21"/>
              </w:rPr>
              <w:t>（讲授）</w:t>
            </w:r>
          </w:p>
        </w:tc>
        <w:tc>
          <w:tcPr>
            <w:tcW w:w="975" w:type="dxa"/>
            <w:vAlign w:val="center"/>
          </w:tcPr>
          <w:p>
            <w:pPr>
              <w:rPr>
                <w:szCs w:val="21"/>
              </w:rPr>
            </w:pPr>
            <w:r>
              <w:rPr>
                <w:szCs w:val="21"/>
              </w:rPr>
              <w:t>讲授/</w:t>
            </w:r>
            <w:r>
              <w:rPr>
                <w:rFonts w:hint="eastAsia"/>
                <w:szCs w:val="21"/>
              </w:rPr>
              <w:t>实例</w:t>
            </w:r>
            <w:r>
              <w:rPr>
                <w:szCs w:val="21"/>
              </w:rPr>
              <w:t>/讨论/等</w:t>
            </w:r>
          </w:p>
        </w:tc>
        <w:tc>
          <w:tcPr>
            <w:tcW w:w="925" w:type="dxa"/>
            <w:vAlign w:val="center"/>
          </w:tcPr>
          <w:p>
            <w:pPr>
              <w:jc w:val="center"/>
              <w:rPr>
                <w:b/>
                <w:kern w:val="0"/>
                <w:szCs w:val="21"/>
              </w:rPr>
            </w:pPr>
            <w:r>
              <w:rPr>
                <w:b/>
                <w:kern w:val="0"/>
                <w:szCs w:val="21"/>
              </w:rPr>
              <w:t>目标</w:t>
            </w:r>
            <w:r>
              <w:rPr>
                <w:rFonts w:hint="eastAsia"/>
                <w:b/>
                <w:kern w:val="0"/>
                <w:szCs w:val="21"/>
              </w:rPr>
              <w:t>1</w:t>
            </w:r>
          </w:p>
          <w:p>
            <w:pPr>
              <w:jc w:val="center"/>
              <w:rPr>
                <w:b/>
                <w:kern w:val="0"/>
                <w:szCs w:val="21"/>
              </w:rPr>
            </w:pPr>
            <w:r>
              <w:rPr>
                <w:b/>
                <w:kern w:val="0"/>
                <w:szCs w:val="21"/>
              </w:rPr>
              <w:t>目标</w:t>
            </w:r>
            <w:r>
              <w:rPr>
                <w:rFonts w:hint="eastAsia"/>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vAlign w:val="center"/>
          </w:tcPr>
          <w:p>
            <w:pPr>
              <w:jc w:val="center"/>
              <w:rPr>
                <w:szCs w:val="21"/>
              </w:rPr>
            </w:pPr>
            <w:r>
              <w:rPr>
                <w:szCs w:val="21"/>
              </w:rPr>
              <w:t>3</w:t>
            </w:r>
          </w:p>
        </w:tc>
        <w:tc>
          <w:tcPr>
            <w:tcW w:w="2632" w:type="dxa"/>
            <w:vAlign w:val="center"/>
          </w:tcPr>
          <w:p>
            <w:pPr>
              <w:rPr>
                <w:bCs/>
                <w:kern w:val="0"/>
                <w:szCs w:val="21"/>
              </w:rPr>
            </w:pPr>
            <w:r>
              <w:rPr>
                <w:rFonts w:hint="eastAsia"/>
                <w:b/>
                <w:kern w:val="0"/>
                <w:szCs w:val="21"/>
              </w:rPr>
              <w:t>扫描电子显微分析：</w:t>
            </w:r>
            <w:r>
              <w:rPr>
                <w:rFonts w:hint="eastAsia"/>
                <w:bCs/>
                <w:kern w:val="0"/>
                <w:szCs w:val="21"/>
              </w:rPr>
              <w:t>扫描电子显微镜基本工作原理和结构；电子束与样品相互作用产生的信号类型；扫描电子显微镜衬度原理；电子探针的基本原理及构造；电子背散射衍射的结构及基本原理；样品的断口类型与制备方法；</w:t>
            </w:r>
          </w:p>
          <w:p>
            <w:pPr>
              <w:rPr>
                <w:kern w:val="0"/>
                <w:szCs w:val="21"/>
              </w:rPr>
            </w:pPr>
            <w:r>
              <w:rPr>
                <w:b/>
                <w:kern w:val="0"/>
                <w:szCs w:val="21"/>
              </w:rPr>
              <w:t>重点和难点：</w:t>
            </w:r>
            <w:r>
              <w:rPr>
                <w:rFonts w:hint="eastAsia"/>
                <w:kern w:val="0"/>
                <w:szCs w:val="21"/>
              </w:rPr>
              <w:t>掌握不同分析方法的优缺点；能够根据需要制备相应的样品断口。</w:t>
            </w:r>
          </w:p>
        </w:tc>
        <w:tc>
          <w:tcPr>
            <w:tcW w:w="1134" w:type="dxa"/>
            <w:vAlign w:val="center"/>
          </w:tcPr>
          <w:p>
            <w:pPr>
              <w:rPr>
                <w:szCs w:val="21"/>
              </w:rPr>
            </w:pPr>
            <w:r>
              <w:rPr>
                <w:rFonts w:hint="eastAsia"/>
                <w:szCs w:val="21"/>
              </w:rPr>
              <w:t>正确的方法选择及实验操作对分析结果的重要性，培养学生具备职业道德和敬业精神。</w:t>
            </w:r>
          </w:p>
        </w:tc>
        <w:tc>
          <w:tcPr>
            <w:tcW w:w="2028" w:type="dxa"/>
            <w:vAlign w:val="center"/>
          </w:tcPr>
          <w:p>
            <w:pPr>
              <w:rPr>
                <w:szCs w:val="21"/>
              </w:rPr>
            </w:pPr>
            <w:r>
              <w:rPr>
                <w:kern w:val="0"/>
                <w:szCs w:val="21"/>
              </w:rPr>
              <w:t>理解</w:t>
            </w:r>
            <w:r>
              <w:rPr>
                <w:rFonts w:hint="eastAsia"/>
                <w:bCs/>
                <w:kern w:val="0"/>
                <w:szCs w:val="21"/>
              </w:rPr>
              <w:t>扫描电子显微镜基本工作原理和结构</w:t>
            </w:r>
            <w:r>
              <w:rPr>
                <w:kern w:val="0"/>
                <w:szCs w:val="21"/>
              </w:rPr>
              <w:t>；能够</w:t>
            </w:r>
            <w:r>
              <w:rPr>
                <w:rFonts w:hint="eastAsia"/>
                <w:kern w:val="0"/>
                <w:szCs w:val="21"/>
              </w:rPr>
              <w:t>掌握不同方法应用范围；能够更具样品和需要制备合适的断口。</w:t>
            </w:r>
          </w:p>
        </w:tc>
        <w:tc>
          <w:tcPr>
            <w:tcW w:w="699" w:type="dxa"/>
            <w:vAlign w:val="center"/>
          </w:tcPr>
          <w:p>
            <w:pPr>
              <w:spacing w:line="312" w:lineRule="auto"/>
              <w:jc w:val="center"/>
              <w:rPr>
                <w:szCs w:val="21"/>
              </w:rPr>
            </w:pPr>
            <w:r>
              <w:rPr>
                <w:szCs w:val="21"/>
              </w:rPr>
              <w:t>6</w:t>
            </w:r>
            <w:r>
              <w:rPr>
                <w:rFonts w:hint="eastAsia"/>
                <w:szCs w:val="21"/>
              </w:rPr>
              <w:t>（讲授）</w:t>
            </w:r>
          </w:p>
        </w:tc>
        <w:tc>
          <w:tcPr>
            <w:tcW w:w="975" w:type="dxa"/>
            <w:vAlign w:val="center"/>
          </w:tcPr>
          <w:p>
            <w:pPr>
              <w:rPr>
                <w:szCs w:val="21"/>
              </w:rPr>
            </w:pPr>
            <w:r>
              <w:rPr>
                <w:szCs w:val="21"/>
              </w:rPr>
              <w:t>讲授/讨论/实例教学等</w:t>
            </w:r>
          </w:p>
        </w:tc>
        <w:tc>
          <w:tcPr>
            <w:tcW w:w="925" w:type="dxa"/>
            <w:vAlign w:val="center"/>
          </w:tcPr>
          <w:p>
            <w:pPr>
              <w:jc w:val="center"/>
              <w:rPr>
                <w:kern w:val="0"/>
                <w:szCs w:val="21"/>
              </w:rPr>
            </w:pPr>
            <w:r>
              <w:rPr>
                <w:b/>
                <w:kern w:val="0"/>
                <w:szCs w:val="21"/>
              </w:rPr>
              <w:t>目标</w:t>
            </w:r>
            <w:r>
              <w:rPr>
                <w:rFonts w:hint="eastAsia"/>
                <w:b/>
                <w:kern w:val="0"/>
                <w:szCs w:val="21"/>
              </w:rPr>
              <w:t>1</w:t>
            </w:r>
          </w:p>
          <w:p>
            <w:pPr>
              <w:jc w:val="center"/>
              <w:rPr>
                <w:szCs w:val="21"/>
              </w:rPr>
            </w:pPr>
            <w:r>
              <w:rPr>
                <w:b/>
                <w:kern w:val="0"/>
                <w:szCs w:val="21"/>
              </w:rPr>
              <w:t>目标</w:t>
            </w:r>
            <w:r>
              <w:rPr>
                <w:rFonts w:hint="eastAsia"/>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vAlign w:val="center"/>
          </w:tcPr>
          <w:p>
            <w:pPr>
              <w:jc w:val="center"/>
              <w:rPr>
                <w:szCs w:val="21"/>
              </w:rPr>
            </w:pPr>
            <w:r>
              <w:rPr>
                <w:szCs w:val="21"/>
              </w:rPr>
              <w:t>4</w:t>
            </w:r>
          </w:p>
        </w:tc>
        <w:tc>
          <w:tcPr>
            <w:tcW w:w="2632" w:type="dxa"/>
            <w:vAlign w:val="center"/>
          </w:tcPr>
          <w:p>
            <w:pPr>
              <w:rPr>
                <w:kern w:val="0"/>
                <w:szCs w:val="21"/>
              </w:rPr>
            </w:pPr>
            <w:r>
              <w:rPr>
                <w:rFonts w:hint="eastAsia"/>
                <w:b/>
                <w:kern w:val="0"/>
                <w:szCs w:val="21"/>
              </w:rPr>
              <w:t>透射电子显微分析：</w:t>
            </w:r>
            <w:r>
              <w:rPr>
                <w:rFonts w:hint="eastAsia"/>
                <w:kern w:val="0"/>
                <w:szCs w:val="21"/>
              </w:rPr>
              <w:t>透射电子显微镜的结构与成像原理；电子衍射基本原理与衍射花样标定；透射电子显微镜衬度原理；扫描透射电子显微镜的工作原理与基本结构；透射电子显微镜样品制备方法；</w:t>
            </w:r>
          </w:p>
          <w:p>
            <w:pPr>
              <w:rPr>
                <w:kern w:val="0"/>
                <w:szCs w:val="21"/>
              </w:rPr>
            </w:pPr>
            <w:r>
              <w:rPr>
                <w:b/>
                <w:kern w:val="0"/>
                <w:szCs w:val="21"/>
              </w:rPr>
              <w:t>重点和难点：</w:t>
            </w:r>
            <w:r>
              <w:rPr>
                <w:rFonts w:hint="eastAsia"/>
                <w:kern w:val="0"/>
                <w:szCs w:val="21"/>
              </w:rPr>
              <w:t>透射电子显微镜的基本结构与原理；电子衍射基本原理与衍射花样标定；透射电子显微镜样品制备方法；</w:t>
            </w:r>
          </w:p>
        </w:tc>
        <w:tc>
          <w:tcPr>
            <w:tcW w:w="1134" w:type="dxa"/>
            <w:vAlign w:val="center"/>
          </w:tcPr>
          <w:p>
            <w:pPr>
              <w:rPr>
                <w:szCs w:val="21"/>
              </w:rPr>
            </w:pPr>
            <w:r>
              <w:rPr>
                <w:rFonts w:hint="eastAsia"/>
                <w:szCs w:val="21"/>
              </w:rPr>
              <w:t>正确的方法选择及实验操作对分析结果的重要性，培养学生具备职业道德和敬业精神。</w:t>
            </w:r>
          </w:p>
        </w:tc>
        <w:tc>
          <w:tcPr>
            <w:tcW w:w="2028" w:type="dxa"/>
            <w:vAlign w:val="center"/>
          </w:tcPr>
          <w:p>
            <w:pPr>
              <w:rPr>
                <w:szCs w:val="21"/>
              </w:rPr>
            </w:pPr>
            <w:r>
              <w:rPr>
                <w:kern w:val="0"/>
                <w:szCs w:val="21"/>
              </w:rPr>
              <w:t>理解</w:t>
            </w:r>
            <w:r>
              <w:rPr>
                <w:rFonts w:hint="eastAsia"/>
                <w:kern w:val="0"/>
                <w:szCs w:val="21"/>
              </w:rPr>
              <w:t>透射电子显微镜的基本结构与原理</w:t>
            </w:r>
            <w:r>
              <w:rPr>
                <w:kern w:val="0"/>
                <w:szCs w:val="21"/>
              </w:rPr>
              <w:t>；</w:t>
            </w:r>
            <w:r>
              <w:rPr>
                <w:rFonts w:hint="eastAsia"/>
                <w:kern w:val="0"/>
                <w:szCs w:val="21"/>
              </w:rPr>
              <w:t>掌握样品制备方法；掌握衍射花样标定、形貌与晶体结构分析。</w:t>
            </w:r>
          </w:p>
        </w:tc>
        <w:tc>
          <w:tcPr>
            <w:tcW w:w="699" w:type="dxa"/>
            <w:vAlign w:val="center"/>
          </w:tcPr>
          <w:p>
            <w:pPr>
              <w:spacing w:line="312" w:lineRule="auto"/>
              <w:jc w:val="center"/>
              <w:rPr>
                <w:szCs w:val="21"/>
              </w:rPr>
            </w:pPr>
            <w:r>
              <w:rPr>
                <w:szCs w:val="21"/>
              </w:rPr>
              <w:t>6</w:t>
            </w:r>
            <w:r>
              <w:rPr>
                <w:rFonts w:hint="eastAsia"/>
                <w:szCs w:val="21"/>
              </w:rPr>
              <w:t>（讲授）</w:t>
            </w:r>
          </w:p>
        </w:tc>
        <w:tc>
          <w:tcPr>
            <w:tcW w:w="975" w:type="dxa"/>
            <w:vAlign w:val="center"/>
          </w:tcPr>
          <w:p>
            <w:pPr>
              <w:rPr>
                <w:szCs w:val="21"/>
              </w:rPr>
            </w:pPr>
            <w:r>
              <w:rPr>
                <w:szCs w:val="21"/>
              </w:rPr>
              <w:t>讲授/实验/讨论/等</w:t>
            </w:r>
          </w:p>
        </w:tc>
        <w:tc>
          <w:tcPr>
            <w:tcW w:w="925" w:type="dxa"/>
            <w:vAlign w:val="center"/>
          </w:tcPr>
          <w:p>
            <w:pPr>
              <w:jc w:val="center"/>
              <w:rPr>
                <w:kern w:val="0"/>
                <w:szCs w:val="21"/>
              </w:rPr>
            </w:pPr>
            <w:r>
              <w:rPr>
                <w:b/>
                <w:kern w:val="0"/>
                <w:szCs w:val="21"/>
              </w:rPr>
              <w:t>目标</w:t>
            </w:r>
            <w:r>
              <w:rPr>
                <w:rFonts w:hint="eastAsia"/>
                <w:b/>
                <w:kern w:val="0"/>
                <w:szCs w:val="21"/>
              </w:rPr>
              <w:t>1</w:t>
            </w:r>
          </w:p>
          <w:p>
            <w:pPr>
              <w:jc w:val="center"/>
              <w:rPr>
                <w:szCs w:val="21"/>
              </w:rPr>
            </w:pPr>
            <w:r>
              <w:rPr>
                <w:b/>
                <w:kern w:val="0"/>
                <w:szCs w:val="21"/>
              </w:rPr>
              <w:t>目标</w:t>
            </w:r>
            <w:r>
              <w:rPr>
                <w:rFonts w:hint="eastAsia"/>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vAlign w:val="center"/>
          </w:tcPr>
          <w:p>
            <w:pPr>
              <w:jc w:val="center"/>
              <w:rPr>
                <w:szCs w:val="21"/>
              </w:rPr>
            </w:pPr>
            <w:r>
              <w:rPr>
                <w:szCs w:val="21"/>
              </w:rPr>
              <w:t>5</w:t>
            </w:r>
          </w:p>
        </w:tc>
        <w:tc>
          <w:tcPr>
            <w:tcW w:w="2632" w:type="dxa"/>
            <w:vAlign w:val="center"/>
          </w:tcPr>
          <w:p>
            <w:pPr>
              <w:rPr>
                <w:kern w:val="0"/>
                <w:szCs w:val="21"/>
              </w:rPr>
            </w:pPr>
            <w:r>
              <w:rPr>
                <w:rFonts w:hint="eastAsia"/>
                <w:b/>
                <w:kern w:val="0"/>
                <w:szCs w:val="21"/>
              </w:rPr>
              <w:t>原子力显微镜：</w:t>
            </w:r>
            <w:r>
              <w:rPr>
                <w:rFonts w:hint="eastAsia"/>
                <w:kern w:val="0"/>
                <w:szCs w:val="21"/>
              </w:rPr>
              <w:t>原子力显微镜工作原理、结构、功能；在材料科学方面中的应用。</w:t>
            </w:r>
          </w:p>
          <w:p>
            <w:pPr>
              <w:rPr>
                <w:kern w:val="0"/>
                <w:szCs w:val="21"/>
              </w:rPr>
            </w:pPr>
            <w:r>
              <w:rPr>
                <w:b/>
                <w:kern w:val="0"/>
                <w:szCs w:val="21"/>
              </w:rPr>
              <w:t>重点和难点：</w:t>
            </w:r>
            <w:r>
              <w:rPr>
                <w:rFonts w:hint="eastAsia"/>
                <w:kern w:val="0"/>
                <w:szCs w:val="21"/>
              </w:rPr>
              <w:t>原子力显微镜的优势与局限性；样品制备技术。</w:t>
            </w:r>
          </w:p>
        </w:tc>
        <w:tc>
          <w:tcPr>
            <w:tcW w:w="1134" w:type="dxa"/>
            <w:vAlign w:val="center"/>
          </w:tcPr>
          <w:p>
            <w:pPr>
              <w:autoSpaceDE w:val="0"/>
              <w:autoSpaceDN w:val="0"/>
              <w:adjustRightInd w:val="0"/>
              <w:rPr>
                <w:szCs w:val="21"/>
              </w:rPr>
            </w:pPr>
            <w:r>
              <w:rPr>
                <w:rFonts w:hint="eastAsia"/>
                <w:szCs w:val="21"/>
              </w:rPr>
              <w:t>正确的方法选择及实验操作对分析结果的重要性，培养学生具备职业道德和敬业精神。</w:t>
            </w:r>
          </w:p>
        </w:tc>
        <w:tc>
          <w:tcPr>
            <w:tcW w:w="2028" w:type="dxa"/>
            <w:vAlign w:val="center"/>
          </w:tcPr>
          <w:p>
            <w:pPr>
              <w:autoSpaceDE w:val="0"/>
              <w:autoSpaceDN w:val="0"/>
              <w:adjustRightInd w:val="0"/>
              <w:rPr>
                <w:szCs w:val="21"/>
              </w:rPr>
            </w:pPr>
            <w:r>
              <w:rPr>
                <w:kern w:val="0"/>
                <w:szCs w:val="21"/>
              </w:rPr>
              <w:t>理解</w:t>
            </w:r>
            <w:r>
              <w:rPr>
                <w:rFonts w:hint="eastAsia"/>
                <w:kern w:val="0"/>
                <w:szCs w:val="21"/>
              </w:rPr>
              <w:t>原子力显微镜的基本原理、仪器结构、功能</w:t>
            </w:r>
            <w:r>
              <w:rPr>
                <w:kern w:val="0"/>
                <w:szCs w:val="21"/>
              </w:rPr>
              <w:t>；</w:t>
            </w:r>
            <w:r>
              <w:rPr>
                <w:rFonts w:hint="eastAsia"/>
                <w:kern w:val="0"/>
                <w:szCs w:val="21"/>
              </w:rPr>
              <w:t>了解显微分析技术的优势与局限性。</w:t>
            </w:r>
          </w:p>
        </w:tc>
        <w:tc>
          <w:tcPr>
            <w:tcW w:w="699" w:type="dxa"/>
            <w:vAlign w:val="center"/>
          </w:tcPr>
          <w:p>
            <w:pPr>
              <w:spacing w:line="312" w:lineRule="auto"/>
              <w:jc w:val="center"/>
              <w:rPr>
                <w:szCs w:val="21"/>
              </w:rPr>
            </w:pPr>
            <w:r>
              <w:rPr>
                <w:rFonts w:hint="eastAsia"/>
                <w:szCs w:val="21"/>
              </w:rPr>
              <w:t>4（讲授）</w:t>
            </w:r>
          </w:p>
        </w:tc>
        <w:tc>
          <w:tcPr>
            <w:tcW w:w="975" w:type="dxa"/>
            <w:vAlign w:val="center"/>
          </w:tcPr>
          <w:p>
            <w:pPr>
              <w:rPr>
                <w:szCs w:val="21"/>
              </w:rPr>
            </w:pPr>
            <w:r>
              <w:rPr>
                <w:szCs w:val="21"/>
              </w:rPr>
              <w:t>讲授/实验/讨论/等</w:t>
            </w:r>
          </w:p>
        </w:tc>
        <w:tc>
          <w:tcPr>
            <w:tcW w:w="925" w:type="dxa"/>
            <w:vAlign w:val="center"/>
          </w:tcPr>
          <w:p>
            <w:pPr>
              <w:jc w:val="center"/>
              <w:rPr>
                <w:kern w:val="0"/>
                <w:szCs w:val="21"/>
              </w:rPr>
            </w:pPr>
            <w:r>
              <w:rPr>
                <w:b/>
                <w:kern w:val="0"/>
                <w:szCs w:val="21"/>
              </w:rPr>
              <w:t>目标</w:t>
            </w:r>
            <w:r>
              <w:rPr>
                <w:rFonts w:hint="eastAsia"/>
                <w:b/>
                <w:kern w:val="0"/>
                <w:szCs w:val="21"/>
              </w:rPr>
              <w:t>1</w:t>
            </w:r>
          </w:p>
          <w:p>
            <w:pPr>
              <w:jc w:val="center"/>
              <w:rPr>
                <w:szCs w:val="21"/>
              </w:rPr>
            </w:pPr>
            <w:r>
              <w:rPr>
                <w:b/>
                <w:kern w:val="0"/>
                <w:szCs w:val="21"/>
              </w:rPr>
              <w:t>目标</w:t>
            </w:r>
            <w:r>
              <w:rPr>
                <w:rFonts w:hint="eastAsia"/>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vAlign w:val="center"/>
          </w:tcPr>
          <w:p>
            <w:pPr>
              <w:jc w:val="center"/>
              <w:rPr>
                <w:szCs w:val="21"/>
              </w:rPr>
            </w:pPr>
            <w:r>
              <w:rPr>
                <w:szCs w:val="21"/>
              </w:rPr>
              <w:t>6</w:t>
            </w:r>
          </w:p>
        </w:tc>
        <w:tc>
          <w:tcPr>
            <w:tcW w:w="2632" w:type="dxa"/>
            <w:vAlign w:val="center"/>
          </w:tcPr>
          <w:p>
            <w:pPr>
              <w:rPr>
                <w:kern w:val="0"/>
                <w:szCs w:val="21"/>
              </w:rPr>
            </w:pPr>
            <w:r>
              <w:rPr>
                <w:rFonts w:hint="eastAsia"/>
                <w:b/>
                <w:kern w:val="0"/>
                <w:szCs w:val="21"/>
              </w:rPr>
              <w:t>其他近代材料测试方法：</w:t>
            </w:r>
            <w:r>
              <w:rPr>
                <w:rFonts w:hint="eastAsia"/>
                <w:kern w:val="0"/>
                <w:szCs w:val="21"/>
              </w:rPr>
              <w:t>电子探针的结构、分析方法和应用；离子探针、低能电子衍射、俄歇电子能谱、X射线光电子能谱的结构、分析方法和应用。</w:t>
            </w:r>
          </w:p>
          <w:p>
            <w:pPr>
              <w:rPr>
                <w:rFonts w:hint="eastAsia"/>
                <w:b/>
                <w:kern w:val="0"/>
                <w:szCs w:val="21"/>
              </w:rPr>
            </w:pPr>
            <w:r>
              <w:rPr>
                <w:b/>
                <w:kern w:val="0"/>
                <w:szCs w:val="21"/>
              </w:rPr>
              <w:t>重点和难点：</w:t>
            </w:r>
            <w:r>
              <w:rPr>
                <w:rFonts w:hint="eastAsia"/>
                <w:kern w:val="0"/>
                <w:szCs w:val="21"/>
              </w:rPr>
              <w:t>各种测试方法的优势与局限性；样品制备技术。</w:t>
            </w:r>
          </w:p>
        </w:tc>
        <w:tc>
          <w:tcPr>
            <w:tcW w:w="1134" w:type="dxa"/>
            <w:vAlign w:val="center"/>
          </w:tcPr>
          <w:p>
            <w:pPr>
              <w:autoSpaceDE w:val="0"/>
              <w:autoSpaceDN w:val="0"/>
              <w:adjustRightInd w:val="0"/>
              <w:rPr>
                <w:rFonts w:hint="eastAsia"/>
                <w:szCs w:val="21"/>
              </w:rPr>
            </w:pPr>
          </w:p>
        </w:tc>
        <w:tc>
          <w:tcPr>
            <w:tcW w:w="2028" w:type="dxa"/>
            <w:vAlign w:val="center"/>
          </w:tcPr>
          <w:p>
            <w:pPr>
              <w:autoSpaceDE w:val="0"/>
              <w:autoSpaceDN w:val="0"/>
              <w:adjustRightInd w:val="0"/>
              <w:rPr>
                <w:kern w:val="0"/>
                <w:szCs w:val="21"/>
              </w:rPr>
            </w:pPr>
            <w:r>
              <w:rPr>
                <w:kern w:val="0"/>
                <w:szCs w:val="21"/>
              </w:rPr>
              <w:t>理解</w:t>
            </w:r>
            <w:r>
              <w:rPr>
                <w:rFonts w:hint="eastAsia"/>
                <w:kern w:val="0"/>
                <w:szCs w:val="21"/>
              </w:rPr>
              <w:t>其他材料测试方法的基本原理、仪器结构、功能，了解各自的优势与局限性。</w:t>
            </w:r>
          </w:p>
        </w:tc>
        <w:tc>
          <w:tcPr>
            <w:tcW w:w="699" w:type="dxa"/>
            <w:vAlign w:val="center"/>
          </w:tcPr>
          <w:p>
            <w:pPr>
              <w:spacing w:line="312" w:lineRule="auto"/>
              <w:jc w:val="center"/>
              <w:rPr>
                <w:rFonts w:hint="eastAsia"/>
                <w:szCs w:val="21"/>
              </w:rPr>
            </w:pPr>
            <w:r>
              <w:rPr>
                <w:szCs w:val="21"/>
              </w:rPr>
              <w:t>2</w:t>
            </w:r>
            <w:r>
              <w:rPr>
                <w:rFonts w:hint="eastAsia"/>
                <w:szCs w:val="21"/>
              </w:rPr>
              <w:t>（讲授）</w:t>
            </w:r>
          </w:p>
        </w:tc>
        <w:tc>
          <w:tcPr>
            <w:tcW w:w="975" w:type="dxa"/>
            <w:vAlign w:val="center"/>
          </w:tcPr>
          <w:p>
            <w:pPr>
              <w:rPr>
                <w:szCs w:val="21"/>
              </w:rPr>
            </w:pPr>
            <w:r>
              <w:rPr>
                <w:szCs w:val="21"/>
              </w:rPr>
              <w:t>讲授/实验/讨论/等</w:t>
            </w:r>
          </w:p>
        </w:tc>
        <w:tc>
          <w:tcPr>
            <w:tcW w:w="925" w:type="dxa"/>
            <w:vAlign w:val="center"/>
          </w:tcPr>
          <w:p>
            <w:pPr>
              <w:jc w:val="center"/>
              <w:rPr>
                <w:kern w:val="0"/>
                <w:szCs w:val="21"/>
              </w:rPr>
            </w:pPr>
            <w:r>
              <w:rPr>
                <w:b/>
                <w:kern w:val="0"/>
                <w:szCs w:val="21"/>
              </w:rPr>
              <w:t>目标</w:t>
            </w:r>
            <w:r>
              <w:rPr>
                <w:rFonts w:hint="eastAsia"/>
                <w:b/>
                <w:kern w:val="0"/>
                <w:szCs w:val="21"/>
              </w:rPr>
              <w:t>1</w:t>
            </w:r>
          </w:p>
          <w:p>
            <w:pPr>
              <w:jc w:val="center"/>
              <w:rPr>
                <w:b/>
                <w:kern w:val="0"/>
                <w:szCs w:val="21"/>
              </w:rPr>
            </w:pPr>
            <w:r>
              <w:rPr>
                <w:b/>
                <w:kern w:val="0"/>
                <w:szCs w:val="21"/>
              </w:rPr>
              <w:t>目标</w:t>
            </w:r>
            <w:r>
              <w:rPr>
                <w:rFonts w:hint="eastAsia"/>
                <w:b/>
                <w:kern w:val="0"/>
                <w:szCs w:val="21"/>
              </w:rPr>
              <w:t>2</w:t>
            </w:r>
          </w:p>
        </w:tc>
      </w:tr>
    </w:tbl>
    <w:p>
      <w:pPr>
        <w:spacing w:line="360" w:lineRule="auto"/>
        <w:ind w:firstLine="562" w:firstLineChars="200"/>
        <w:rPr>
          <w:b/>
          <w:sz w:val="28"/>
          <w:szCs w:val="28"/>
        </w:rPr>
      </w:pPr>
      <w:r>
        <w:rPr>
          <w:rFonts w:hint="eastAsia"/>
          <w:b/>
          <w:sz w:val="28"/>
          <w:szCs w:val="28"/>
        </w:rPr>
        <w:t>四、课程实施</w:t>
      </w:r>
    </w:p>
    <w:p>
      <w:pPr>
        <w:spacing w:line="360" w:lineRule="auto"/>
        <w:ind w:firstLine="482" w:firstLineChars="200"/>
        <w:rPr>
          <w:b/>
          <w:sz w:val="24"/>
        </w:rPr>
      </w:pPr>
      <w:r>
        <w:rPr>
          <w:rFonts w:hint="eastAsia"/>
          <w:b/>
          <w:sz w:val="24"/>
        </w:rPr>
        <w:t>（一）教学方法与教学手段</w:t>
      </w:r>
    </w:p>
    <w:p>
      <w:pPr>
        <w:spacing w:line="360" w:lineRule="auto"/>
        <w:ind w:firstLine="480" w:firstLineChars="200"/>
        <w:rPr>
          <w:color w:val="000000"/>
          <w:sz w:val="24"/>
        </w:rPr>
      </w:pPr>
      <w:r>
        <w:rPr>
          <w:rFonts w:hint="eastAsia"/>
          <w:color w:val="000000"/>
          <w:sz w:val="24"/>
        </w:rPr>
        <w:t>1.</w:t>
      </w:r>
      <w:r>
        <w:rPr>
          <w:color w:val="000000"/>
          <w:sz w:val="24"/>
        </w:rPr>
        <w:t>采用多媒体教学手段，配合例题的讲解及适当的思考题，保证讲课进度的同时，注意学生的掌握程度和课堂的气氛</w:t>
      </w:r>
      <w:r>
        <w:rPr>
          <w:rFonts w:hint="eastAsia"/>
          <w:color w:val="000000"/>
          <w:sz w:val="24"/>
        </w:rPr>
        <w:t>。</w:t>
      </w:r>
    </w:p>
    <w:p>
      <w:pPr>
        <w:spacing w:line="360" w:lineRule="auto"/>
        <w:ind w:firstLine="480" w:firstLineChars="200"/>
        <w:rPr>
          <w:color w:val="000000"/>
          <w:sz w:val="24"/>
        </w:rPr>
      </w:pPr>
      <w:r>
        <w:rPr>
          <w:rFonts w:hint="eastAsia"/>
          <w:sz w:val="24"/>
        </w:rPr>
        <w:t>2.</w:t>
      </w:r>
      <w:r>
        <w:rPr>
          <w:rFonts w:hint="eastAsia"/>
          <w:color w:val="000000"/>
          <w:sz w:val="24"/>
        </w:rPr>
        <w:t>课程讲授与启案例教学、课堂讨论、设计实验方案、解释实际现象、线上网络教学、实验设计及实施等多种教学方式结合，实行互动研究型教学，重点培养学生的理论素养和实践操作能力。因此，本课程要求课前必须阅读教材的相关部分和参考文献；课上主动参与讨论；课后按时完成布置的作业，积极进行教学互动交流。</w:t>
      </w:r>
    </w:p>
    <w:p>
      <w:pPr>
        <w:spacing w:line="360" w:lineRule="auto"/>
        <w:ind w:firstLine="482" w:firstLineChars="200"/>
        <w:rPr>
          <w:b/>
          <w:sz w:val="24"/>
        </w:rPr>
      </w:pPr>
      <w:r>
        <w:rPr>
          <w:rFonts w:hint="eastAsia"/>
          <w:b/>
          <w:sz w:val="24"/>
        </w:rPr>
        <w:t>（二）课程实施与保障</w:t>
      </w:r>
    </w:p>
    <w:tbl>
      <w:tblPr>
        <w:tblStyle w:val="10"/>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2"/>
        <w:gridCol w:w="1701"/>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3" w:type="dxa"/>
            <w:gridSpan w:val="2"/>
            <w:tcMar>
              <w:left w:w="28" w:type="dxa"/>
              <w:right w:w="28" w:type="dxa"/>
            </w:tcMar>
            <w:vAlign w:val="center"/>
          </w:tcPr>
          <w:p>
            <w:pPr>
              <w:spacing w:line="276" w:lineRule="auto"/>
              <w:jc w:val="center"/>
              <w:rPr>
                <w:szCs w:val="21"/>
              </w:rPr>
            </w:pPr>
            <w:r>
              <w:rPr>
                <w:bCs/>
                <w:szCs w:val="21"/>
              </w:rPr>
              <w:t>主要教学环节</w:t>
            </w:r>
          </w:p>
        </w:tc>
        <w:tc>
          <w:tcPr>
            <w:tcW w:w="6237" w:type="dxa"/>
            <w:vAlign w:val="center"/>
          </w:tcPr>
          <w:p>
            <w:pPr>
              <w:spacing w:line="276" w:lineRule="auto"/>
              <w:jc w:val="center"/>
              <w:rPr>
                <w:szCs w:val="21"/>
              </w:rPr>
            </w:pPr>
            <w:r>
              <w:rPr>
                <w:bCs/>
                <w:szCs w:val="21"/>
              </w:rPr>
              <w:t>质量</w:t>
            </w:r>
            <w:r>
              <w:rPr>
                <w:rFonts w:hint="eastAsia"/>
                <w:bCs/>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582" w:type="dxa"/>
            <w:vAlign w:val="center"/>
          </w:tcPr>
          <w:p>
            <w:pPr>
              <w:spacing w:line="276" w:lineRule="auto"/>
              <w:jc w:val="center"/>
              <w:rPr>
                <w:szCs w:val="21"/>
              </w:rPr>
            </w:pPr>
            <w:r>
              <w:rPr>
                <w:szCs w:val="21"/>
              </w:rPr>
              <w:t>1</w:t>
            </w:r>
          </w:p>
        </w:tc>
        <w:tc>
          <w:tcPr>
            <w:tcW w:w="1701" w:type="dxa"/>
            <w:tcMar>
              <w:left w:w="28" w:type="dxa"/>
              <w:right w:w="28" w:type="dxa"/>
            </w:tcMar>
            <w:vAlign w:val="center"/>
          </w:tcPr>
          <w:p>
            <w:pPr>
              <w:spacing w:line="276" w:lineRule="auto"/>
              <w:jc w:val="center"/>
              <w:rPr>
                <w:szCs w:val="21"/>
              </w:rPr>
            </w:pPr>
            <w:r>
              <w:rPr>
                <w:szCs w:val="21"/>
              </w:rPr>
              <w:t>备课</w:t>
            </w:r>
          </w:p>
        </w:tc>
        <w:tc>
          <w:tcPr>
            <w:tcW w:w="6237" w:type="dxa"/>
            <w:vAlign w:val="center"/>
          </w:tcPr>
          <w:p>
            <w:pPr>
              <w:spacing w:line="276" w:lineRule="auto"/>
              <w:rPr>
                <w:szCs w:val="21"/>
              </w:rPr>
            </w:pPr>
            <w:r>
              <w:rPr>
                <w:rFonts w:hint="eastAsia"/>
                <w:szCs w:val="21"/>
              </w:rPr>
              <w:t>1.</w:t>
            </w:r>
            <w:r>
              <w:rPr>
                <w:szCs w:val="21"/>
              </w:rPr>
              <w:t>掌握本课程教学大纲内容，严格按照教学大纲要求进行课程教学内容的组织。</w:t>
            </w:r>
          </w:p>
          <w:p>
            <w:pPr>
              <w:spacing w:line="276" w:lineRule="auto"/>
              <w:rPr>
                <w:szCs w:val="21"/>
              </w:rPr>
            </w:pPr>
            <w:r>
              <w:rPr>
                <w:rFonts w:hint="eastAsia"/>
                <w:szCs w:val="21"/>
              </w:rPr>
              <w:t>2.</w:t>
            </w:r>
            <w:r>
              <w:rPr>
                <w:szCs w:val="21"/>
              </w:rPr>
              <w:t>熟悉教材各章节，借助专业书籍资料，并依据教学大纲编写授课计划</w:t>
            </w:r>
            <w:r>
              <w:rPr>
                <w:rFonts w:hint="eastAsia"/>
                <w:szCs w:val="21"/>
              </w:rPr>
              <w:t>进度表</w:t>
            </w:r>
          </w:p>
          <w:p>
            <w:pPr>
              <w:spacing w:line="276" w:lineRule="auto"/>
              <w:rPr>
                <w:szCs w:val="21"/>
              </w:rPr>
            </w:pPr>
            <w:r>
              <w:rPr>
                <w:rFonts w:hint="eastAsia"/>
                <w:szCs w:val="21"/>
              </w:rPr>
              <w:t>3.根据</w:t>
            </w:r>
            <w:r>
              <w:rPr>
                <w:szCs w:val="21"/>
              </w:rPr>
              <w:t>各部分</w:t>
            </w:r>
            <w:r>
              <w:rPr>
                <w:rFonts w:hint="eastAsia"/>
                <w:szCs w:val="21"/>
              </w:rPr>
              <w:t>教学</w:t>
            </w:r>
            <w:r>
              <w:rPr>
                <w:szCs w:val="21"/>
              </w:rPr>
              <w:t>内容</w:t>
            </w:r>
            <w:r>
              <w:rPr>
                <w:rFonts w:hint="eastAsia"/>
                <w:szCs w:val="21"/>
              </w:rPr>
              <w:t>，</w:t>
            </w:r>
            <w:r>
              <w:rPr>
                <w:szCs w:val="21"/>
              </w:rPr>
              <w:t>构思授课思路、技巧</w:t>
            </w:r>
            <w:r>
              <w:rPr>
                <w:rFonts w:hint="eastAsia"/>
                <w:szCs w:val="21"/>
              </w:rPr>
              <w:t>，选择合适的</w:t>
            </w:r>
            <w:r>
              <w:rPr>
                <w:szCs w:val="21"/>
              </w:rPr>
              <w:t>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vAlign w:val="center"/>
          </w:tcPr>
          <w:p>
            <w:pPr>
              <w:spacing w:line="276" w:lineRule="auto"/>
              <w:jc w:val="center"/>
              <w:rPr>
                <w:szCs w:val="21"/>
              </w:rPr>
            </w:pPr>
            <w:r>
              <w:rPr>
                <w:szCs w:val="21"/>
              </w:rPr>
              <w:t>2</w:t>
            </w:r>
          </w:p>
        </w:tc>
        <w:tc>
          <w:tcPr>
            <w:tcW w:w="1701" w:type="dxa"/>
            <w:tcMar>
              <w:left w:w="28" w:type="dxa"/>
              <w:right w:w="28" w:type="dxa"/>
            </w:tcMar>
            <w:vAlign w:val="center"/>
          </w:tcPr>
          <w:p>
            <w:pPr>
              <w:spacing w:line="276" w:lineRule="auto"/>
              <w:jc w:val="center"/>
              <w:rPr>
                <w:szCs w:val="21"/>
              </w:rPr>
            </w:pPr>
            <w:r>
              <w:rPr>
                <w:szCs w:val="21"/>
              </w:rPr>
              <w:t>讲授</w:t>
            </w:r>
          </w:p>
        </w:tc>
        <w:tc>
          <w:tcPr>
            <w:tcW w:w="6237" w:type="dxa"/>
            <w:vAlign w:val="center"/>
          </w:tcPr>
          <w:p>
            <w:pPr>
              <w:spacing w:line="276" w:lineRule="auto"/>
              <w:rPr>
                <w:szCs w:val="21"/>
              </w:rPr>
            </w:pPr>
            <w:r>
              <w:rPr>
                <w:rFonts w:hint="eastAsia"/>
                <w:szCs w:val="21"/>
              </w:rPr>
              <w:t>1.</w:t>
            </w:r>
            <w:r>
              <w:rPr>
                <w:szCs w:val="21"/>
              </w:rPr>
              <w:t>要点准确</w:t>
            </w:r>
            <w:r>
              <w:rPr>
                <w:rFonts w:hint="eastAsia"/>
                <w:szCs w:val="21"/>
              </w:rPr>
              <w:t>、</w:t>
            </w:r>
            <w:r>
              <w:rPr>
                <w:szCs w:val="21"/>
              </w:rPr>
              <w:t>推理正确</w:t>
            </w:r>
            <w:r>
              <w:rPr>
                <w:rFonts w:hint="eastAsia"/>
                <w:szCs w:val="21"/>
              </w:rPr>
              <w:t>、</w:t>
            </w:r>
            <w:r>
              <w:rPr>
                <w:szCs w:val="21"/>
              </w:rPr>
              <w:t>条理清晰</w:t>
            </w:r>
            <w:r>
              <w:rPr>
                <w:rFonts w:hint="eastAsia"/>
                <w:szCs w:val="21"/>
              </w:rPr>
              <w:t>、</w:t>
            </w:r>
            <w:r>
              <w:rPr>
                <w:szCs w:val="21"/>
              </w:rPr>
              <w:t>重点突出，</w:t>
            </w:r>
            <w:r>
              <w:rPr>
                <w:rFonts w:hint="eastAsia"/>
                <w:szCs w:val="21"/>
              </w:rPr>
              <w:t>能够</w:t>
            </w:r>
            <w:r>
              <w:rPr>
                <w:szCs w:val="21"/>
              </w:rPr>
              <w:t>理论联系实际，熟练地解答和讲解例题。</w:t>
            </w:r>
          </w:p>
          <w:p>
            <w:pPr>
              <w:spacing w:line="276" w:lineRule="auto"/>
              <w:rPr>
                <w:szCs w:val="21"/>
              </w:rPr>
            </w:pPr>
            <w:r>
              <w:rPr>
                <w:rFonts w:hint="eastAsia"/>
                <w:szCs w:val="21"/>
              </w:rPr>
              <w:t>2.</w:t>
            </w:r>
            <w:r>
              <w:rPr>
                <w:szCs w:val="21"/>
              </w:rPr>
              <w:t>采用多种教学方式（如启发式教学、案例分析教学、讨论式教学、多媒体示范教学等），注重培养学生发现、分析和解决问题的能力。</w:t>
            </w:r>
          </w:p>
          <w:p>
            <w:pPr>
              <w:spacing w:line="276" w:lineRule="auto"/>
              <w:rPr>
                <w:szCs w:val="21"/>
              </w:rPr>
            </w:pPr>
            <w:r>
              <w:rPr>
                <w:rFonts w:hint="eastAsia"/>
                <w:szCs w:val="21"/>
              </w:rPr>
              <w:t>3.能够采用现代信息技术辅助</w:t>
            </w:r>
            <w:r>
              <w:rPr>
                <w:szCs w:val="21"/>
              </w:rPr>
              <w:t>教学。</w:t>
            </w:r>
          </w:p>
          <w:p>
            <w:pPr>
              <w:spacing w:line="276" w:lineRule="auto"/>
              <w:rPr>
                <w:szCs w:val="21"/>
              </w:rPr>
            </w:pPr>
            <w:r>
              <w:rPr>
                <w:rFonts w:hint="eastAsia"/>
                <w:szCs w:val="21"/>
              </w:rPr>
              <w:t>4.</w:t>
            </w:r>
            <w:r>
              <w:rPr>
                <w:szCs w:val="21"/>
              </w:rPr>
              <w:t>表达方式</w:t>
            </w:r>
            <w:r>
              <w:rPr>
                <w:rFonts w:hint="eastAsia"/>
                <w:szCs w:val="21"/>
              </w:rPr>
              <w:t>应能</w:t>
            </w:r>
            <w:r>
              <w:rPr>
                <w:szCs w:val="21"/>
              </w:rPr>
              <w:t>便于学生理解、接受，力求形象生动，使学生在掌握知识的过程中，保持较为浓厚的</w:t>
            </w:r>
            <w:r>
              <w:rPr>
                <w:rFonts w:hint="eastAsia"/>
                <w:szCs w:val="21"/>
              </w:rPr>
              <w:t>学习</w:t>
            </w:r>
            <w:r>
              <w:rPr>
                <w:szCs w:val="21"/>
              </w:rPr>
              <w:t>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jc w:val="center"/>
        </w:trPr>
        <w:tc>
          <w:tcPr>
            <w:tcW w:w="582" w:type="dxa"/>
            <w:vAlign w:val="center"/>
          </w:tcPr>
          <w:p>
            <w:pPr>
              <w:spacing w:line="276" w:lineRule="auto"/>
              <w:jc w:val="center"/>
              <w:rPr>
                <w:szCs w:val="21"/>
              </w:rPr>
            </w:pPr>
            <w:r>
              <w:rPr>
                <w:szCs w:val="21"/>
              </w:rPr>
              <w:t>3</w:t>
            </w:r>
          </w:p>
        </w:tc>
        <w:tc>
          <w:tcPr>
            <w:tcW w:w="1701" w:type="dxa"/>
            <w:tcMar>
              <w:left w:w="28" w:type="dxa"/>
              <w:right w:w="28" w:type="dxa"/>
            </w:tcMar>
            <w:vAlign w:val="center"/>
          </w:tcPr>
          <w:p>
            <w:pPr>
              <w:spacing w:line="276" w:lineRule="auto"/>
              <w:jc w:val="center"/>
              <w:rPr>
                <w:szCs w:val="21"/>
              </w:rPr>
            </w:pPr>
            <w:r>
              <w:rPr>
                <w:szCs w:val="21"/>
              </w:rPr>
              <w:t>作业布置与批改</w:t>
            </w:r>
          </w:p>
        </w:tc>
        <w:tc>
          <w:tcPr>
            <w:tcW w:w="6237" w:type="dxa"/>
            <w:vAlign w:val="center"/>
          </w:tcPr>
          <w:p>
            <w:pPr>
              <w:spacing w:line="276" w:lineRule="auto"/>
              <w:rPr>
                <w:szCs w:val="21"/>
              </w:rPr>
            </w:pPr>
            <w:r>
              <w:rPr>
                <w:szCs w:val="21"/>
              </w:rPr>
              <w:t>学生必须完成</w:t>
            </w:r>
            <w:r>
              <w:rPr>
                <w:rFonts w:hint="eastAsia"/>
                <w:szCs w:val="21"/>
              </w:rPr>
              <w:t>规定</w:t>
            </w:r>
            <w:r>
              <w:rPr>
                <w:szCs w:val="21"/>
              </w:rPr>
              <w:t>数量的作业</w:t>
            </w:r>
            <w:r>
              <w:rPr>
                <w:rFonts w:hint="eastAsia"/>
                <w:szCs w:val="21"/>
              </w:rPr>
              <w:t>，</w:t>
            </w:r>
            <w:r>
              <w:rPr>
                <w:szCs w:val="21"/>
              </w:rPr>
              <w:t>作业必须达到以下基本要求：</w:t>
            </w:r>
          </w:p>
          <w:p>
            <w:pPr>
              <w:spacing w:line="276" w:lineRule="auto"/>
              <w:rPr>
                <w:szCs w:val="21"/>
              </w:rPr>
            </w:pPr>
            <w:r>
              <w:rPr>
                <w:rFonts w:hint="eastAsia"/>
                <w:szCs w:val="21"/>
              </w:rPr>
              <w:t>1.</w:t>
            </w:r>
            <w:r>
              <w:rPr>
                <w:szCs w:val="21"/>
              </w:rPr>
              <w:t>按时按量完成作业，不缺交，不抄袭</w:t>
            </w:r>
            <w:r>
              <w:rPr>
                <w:rFonts w:hint="eastAsia"/>
                <w:szCs w:val="21"/>
              </w:rPr>
              <w:t>。</w:t>
            </w:r>
          </w:p>
          <w:p>
            <w:pPr>
              <w:spacing w:line="276" w:lineRule="auto"/>
              <w:rPr>
                <w:szCs w:val="21"/>
              </w:rPr>
            </w:pPr>
            <w:r>
              <w:rPr>
                <w:rFonts w:hint="eastAsia"/>
                <w:szCs w:val="21"/>
              </w:rPr>
              <w:t>2.书写</w:t>
            </w:r>
            <w:r>
              <w:rPr>
                <w:szCs w:val="21"/>
              </w:rPr>
              <w:t>规范</w:t>
            </w:r>
            <w:r>
              <w:rPr>
                <w:rFonts w:hint="eastAsia"/>
                <w:szCs w:val="21"/>
              </w:rPr>
              <w:t>、</w:t>
            </w:r>
            <w:r>
              <w:rPr>
                <w:szCs w:val="21"/>
              </w:rPr>
              <w:t>清晰</w:t>
            </w:r>
            <w:r>
              <w:rPr>
                <w:rFonts w:hint="eastAsia"/>
                <w:szCs w:val="21"/>
              </w:rPr>
              <w:t>。</w:t>
            </w:r>
          </w:p>
          <w:p>
            <w:pPr>
              <w:spacing w:line="276" w:lineRule="auto"/>
              <w:rPr>
                <w:szCs w:val="21"/>
              </w:rPr>
            </w:pPr>
            <w:r>
              <w:rPr>
                <w:rFonts w:hint="eastAsia"/>
                <w:szCs w:val="21"/>
              </w:rPr>
              <w:t>3.</w:t>
            </w:r>
            <w:r>
              <w:rPr>
                <w:szCs w:val="21"/>
              </w:rPr>
              <w:t>解题方法和步骤正确。</w:t>
            </w:r>
          </w:p>
          <w:p>
            <w:pPr>
              <w:spacing w:line="276" w:lineRule="auto"/>
              <w:rPr>
                <w:szCs w:val="21"/>
              </w:rPr>
            </w:pPr>
            <w:r>
              <w:rPr>
                <w:szCs w:val="21"/>
              </w:rPr>
              <w:t>教师批改</w:t>
            </w:r>
            <w:r>
              <w:rPr>
                <w:rFonts w:hint="eastAsia"/>
                <w:szCs w:val="21"/>
              </w:rPr>
              <w:t>和</w:t>
            </w:r>
            <w:r>
              <w:rPr>
                <w:szCs w:val="21"/>
              </w:rPr>
              <w:t>讲评作业要求如下：</w:t>
            </w:r>
          </w:p>
          <w:p>
            <w:pPr>
              <w:spacing w:line="276" w:lineRule="auto"/>
              <w:rPr>
                <w:szCs w:val="21"/>
              </w:rPr>
            </w:pPr>
            <w:r>
              <w:rPr>
                <w:rFonts w:hint="eastAsia"/>
                <w:szCs w:val="21"/>
              </w:rPr>
              <w:t>1.</w:t>
            </w:r>
            <w:r>
              <w:rPr>
                <w:szCs w:val="21"/>
              </w:rPr>
              <w:t>学生的作业要</w:t>
            </w:r>
            <w:r>
              <w:rPr>
                <w:rFonts w:hint="eastAsia"/>
                <w:szCs w:val="21"/>
              </w:rPr>
              <w:t>按时</w:t>
            </w:r>
            <w:r>
              <w:rPr>
                <w:szCs w:val="21"/>
              </w:rPr>
              <w:t>全</w:t>
            </w:r>
            <w:r>
              <w:rPr>
                <w:rFonts w:hint="eastAsia"/>
                <w:szCs w:val="21"/>
              </w:rPr>
              <w:t>部</w:t>
            </w:r>
            <w:r>
              <w:rPr>
                <w:szCs w:val="21"/>
              </w:rPr>
              <w:t>批改，并</w:t>
            </w:r>
            <w:r>
              <w:rPr>
                <w:rFonts w:hint="eastAsia"/>
                <w:szCs w:val="21"/>
              </w:rPr>
              <w:t>及时进行</w:t>
            </w:r>
            <w:r>
              <w:rPr>
                <w:szCs w:val="21"/>
              </w:rPr>
              <w:t>讲评</w:t>
            </w:r>
            <w:r>
              <w:rPr>
                <w:rFonts w:hint="eastAsia"/>
                <w:szCs w:val="21"/>
              </w:rPr>
              <w:t>。</w:t>
            </w:r>
          </w:p>
          <w:p>
            <w:pPr>
              <w:spacing w:line="276" w:lineRule="auto"/>
              <w:rPr>
                <w:szCs w:val="21"/>
              </w:rPr>
            </w:pPr>
            <w:r>
              <w:rPr>
                <w:rFonts w:hint="eastAsia"/>
                <w:szCs w:val="21"/>
              </w:rPr>
              <w:t>2.</w:t>
            </w:r>
            <w:r>
              <w:rPr>
                <w:szCs w:val="21"/>
              </w:rPr>
              <w:t>教师批改</w:t>
            </w:r>
            <w:r>
              <w:rPr>
                <w:rFonts w:hint="eastAsia"/>
                <w:szCs w:val="21"/>
              </w:rPr>
              <w:t>和</w:t>
            </w:r>
            <w:r>
              <w:rPr>
                <w:szCs w:val="21"/>
              </w:rPr>
              <w:t>讲评作业要认真、细致，按百分制评定成绩并写明日期</w:t>
            </w:r>
            <w:r>
              <w:rPr>
                <w:rFonts w:hint="eastAsia"/>
                <w:szCs w:val="21"/>
              </w:rPr>
              <w:t>。</w:t>
            </w:r>
          </w:p>
          <w:p>
            <w:pPr>
              <w:spacing w:line="276" w:lineRule="auto"/>
              <w:rPr>
                <w:szCs w:val="21"/>
              </w:rPr>
            </w:pPr>
            <w:r>
              <w:rPr>
                <w:rFonts w:hint="eastAsia"/>
                <w:szCs w:val="21"/>
              </w:rPr>
              <w:t>3.</w:t>
            </w:r>
            <w:r>
              <w:rPr>
                <w:szCs w:val="21"/>
              </w:rPr>
              <w:t>学生作业的平均成绩</w:t>
            </w:r>
            <w:r>
              <w:rPr>
                <w:rFonts w:hint="eastAsia"/>
                <w:szCs w:val="21"/>
              </w:rPr>
              <w:t>应</w:t>
            </w:r>
            <w:r>
              <w:rPr>
                <w:szCs w:val="21"/>
              </w:rPr>
              <w:t>作为本课程总评成绩中平时成绩的重要组成部分。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jc w:val="center"/>
        </w:trPr>
        <w:tc>
          <w:tcPr>
            <w:tcW w:w="582" w:type="dxa"/>
            <w:vAlign w:val="center"/>
          </w:tcPr>
          <w:p>
            <w:pPr>
              <w:spacing w:line="276" w:lineRule="auto"/>
              <w:jc w:val="center"/>
              <w:rPr>
                <w:szCs w:val="21"/>
              </w:rPr>
            </w:pPr>
            <w:r>
              <w:rPr>
                <w:rFonts w:hint="eastAsia"/>
                <w:szCs w:val="21"/>
              </w:rPr>
              <w:t>4</w:t>
            </w:r>
          </w:p>
        </w:tc>
        <w:tc>
          <w:tcPr>
            <w:tcW w:w="1701" w:type="dxa"/>
            <w:tcMar>
              <w:left w:w="28" w:type="dxa"/>
              <w:right w:w="28" w:type="dxa"/>
            </w:tcMar>
            <w:vAlign w:val="center"/>
          </w:tcPr>
          <w:p>
            <w:pPr>
              <w:spacing w:line="276" w:lineRule="auto"/>
              <w:jc w:val="center"/>
              <w:rPr>
                <w:szCs w:val="21"/>
              </w:rPr>
            </w:pPr>
            <w:r>
              <w:rPr>
                <w:rFonts w:hint="eastAsia"/>
                <w:szCs w:val="21"/>
              </w:rPr>
              <w:t>课内实验</w:t>
            </w:r>
          </w:p>
        </w:tc>
        <w:tc>
          <w:tcPr>
            <w:tcW w:w="6237" w:type="dxa"/>
            <w:vAlign w:val="center"/>
          </w:tcPr>
          <w:p>
            <w:pPr>
              <w:spacing w:line="276" w:lineRule="auto"/>
              <w:rPr>
                <w:szCs w:val="21"/>
              </w:rPr>
            </w:pPr>
            <w:r>
              <w:rPr>
                <w:szCs w:val="21"/>
              </w:rPr>
              <w:t>学生必须完成</w:t>
            </w:r>
            <w:r>
              <w:rPr>
                <w:rFonts w:hint="eastAsia"/>
                <w:szCs w:val="21"/>
              </w:rPr>
              <w:t>规定</w:t>
            </w:r>
            <w:r>
              <w:rPr>
                <w:szCs w:val="21"/>
              </w:rPr>
              <w:t>数量的</w:t>
            </w:r>
            <w:r>
              <w:rPr>
                <w:rFonts w:hint="eastAsia"/>
                <w:szCs w:val="21"/>
              </w:rPr>
              <w:t>课内实验，课内实验</w:t>
            </w:r>
            <w:r>
              <w:rPr>
                <w:szCs w:val="21"/>
              </w:rPr>
              <w:t>必须达到以下基本要求：</w:t>
            </w:r>
          </w:p>
          <w:p>
            <w:pPr>
              <w:spacing w:line="276" w:lineRule="auto"/>
              <w:rPr>
                <w:szCs w:val="21"/>
              </w:rPr>
            </w:pPr>
            <w:r>
              <w:rPr>
                <w:rFonts w:hint="eastAsia"/>
                <w:szCs w:val="21"/>
              </w:rPr>
              <w:t>1.</w:t>
            </w:r>
            <w:r>
              <w:rPr>
                <w:szCs w:val="21"/>
              </w:rPr>
              <w:t>按时按量完成</w:t>
            </w:r>
            <w:r>
              <w:rPr>
                <w:rFonts w:hint="eastAsia"/>
                <w:szCs w:val="21"/>
              </w:rPr>
              <w:t>预习报告和实验报告</w:t>
            </w:r>
            <w:r>
              <w:rPr>
                <w:szCs w:val="21"/>
              </w:rPr>
              <w:t>，不缺交，不抄袭</w:t>
            </w:r>
            <w:r>
              <w:rPr>
                <w:rFonts w:hint="eastAsia"/>
                <w:szCs w:val="21"/>
              </w:rPr>
              <w:t>。</w:t>
            </w:r>
          </w:p>
          <w:p>
            <w:pPr>
              <w:spacing w:line="276" w:lineRule="auto"/>
              <w:rPr>
                <w:szCs w:val="21"/>
              </w:rPr>
            </w:pPr>
            <w:r>
              <w:rPr>
                <w:rFonts w:hint="eastAsia"/>
                <w:szCs w:val="21"/>
              </w:rPr>
              <w:t>2.书写</w:t>
            </w:r>
            <w:r>
              <w:rPr>
                <w:szCs w:val="21"/>
              </w:rPr>
              <w:t>规范</w:t>
            </w:r>
            <w:r>
              <w:rPr>
                <w:rFonts w:hint="eastAsia"/>
                <w:szCs w:val="21"/>
              </w:rPr>
              <w:t>、</w:t>
            </w:r>
            <w:r>
              <w:rPr>
                <w:szCs w:val="21"/>
              </w:rPr>
              <w:t>清晰</w:t>
            </w:r>
            <w:r>
              <w:rPr>
                <w:rFonts w:hint="eastAsia"/>
                <w:szCs w:val="21"/>
              </w:rPr>
              <w:t>。</w:t>
            </w:r>
          </w:p>
          <w:p>
            <w:pPr>
              <w:spacing w:line="276" w:lineRule="auto"/>
              <w:rPr>
                <w:szCs w:val="21"/>
              </w:rPr>
            </w:pPr>
            <w:r>
              <w:rPr>
                <w:rFonts w:hint="eastAsia"/>
                <w:szCs w:val="21"/>
              </w:rPr>
              <w:t>3.实验</w:t>
            </w:r>
            <w:r>
              <w:rPr>
                <w:szCs w:val="21"/>
              </w:rPr>
              <w:t>步骤</w:t>
            </w:r>
            <w:r>
              <w:rPr>
                <w:rFonts w:hint="eastAsia"/>
                <w:szCs w:val="21"/>
              </w:rPr>
              <w:t>、操作和结果处理</w:t>
            </w:r>
            <w:r>
              <w:rPr>
                <w:szCs w:val="21"/>
              </w:rPr>
              <w:t>正确。</w:t>
            </w:r>
          </w:p>
          <w:p>
            <w:pPr>
              <w:spacing w:line="276" w:lineRule="auto"/>
              <w:rPr>
                <w:szCs w:val="21"/>
              </w:rPr>
            </w:pPr>
            <w:r>
              <w:rPr>
                <w:szCs w:val="21"/>
              </w:rPr>
              <w:t>教师批改</w:t>
            </w:r>
            <w:r>
              <w:rPr>
                <w:rFonts w:hint="eastAsia"/>
                <w:szCs w:val="21"/>
              </w:rPr>
              <w:t>和</w:t>
            </w:r>
            <w:r>
              <w:rPr>
                <w:szCs w:val="21"/>
              </w:rPr>
              <w:t>讲评作业要求如下：</w:t>
            </w:r>
          </w:p>
          <w:p>
            <w:pPr>
              <w:spacing w:line="276" w:lineRule="auto"/>
              <w:rPr>
                <w:szCs w:val="21"/>
              </w:rPr>
            </w:pPr>
            <w:r>
              <w:rPr>
                <w:rFonts w:hint="eastAsia"/>
                <w:szCs w:val="21"/>
              </w:rPr>
              <w:t>1.</w:t>
            </w:r>
            <w:r>
              <w:rPr>
                <w:szCs w:val="21"/>
              </w:rPr>
              <w:t>学生的</w:t>
            </w:r>
            <w:r>
              <w:rPr>
                <w:rFonts w:hint="eastAsia"/>
                <w:szCs w:val="21"/>
              </w:rPr>
              <w:t>预习报告和实验</w:t>
            </w:r>
            <w:r>
              <w:rPr>
                <w:szCs w:val="21"/>
              </w:rPr>
              <w:t>要</w:t>
            </w:r>
            <w:r>
              <w:rPr>
                <w:rFonts w:hint="eastAsia"/>
                <w:szCs w:val="21"/>
              </w:rPr>
              <w:t>按时</w:t>
            </w:r>
            <w:r>
              <w:rPr>
                <w:szCs w:val="21"/>
              </w:rPr>
              <w:t>全</w:t>
            </w:r>
            <w:r>
              <w:rPr>
                <w:rFonts w:hint="eastAsia"/>
                <w:szCs w:val="21"/>
              </w:rPr>
              <w:t>部</w:t>
            </w:r>
            <w:r>
              <w:rPr>
                <w:szCs w:val="21"/>
              </w:rPr>
              <w:t>批改，并</w:t>
            </w:r>
            <w:r>
              <w:rPr>
                <w:rFonts w:hint="eastAsia"/>
                <w:szCs w:val="21"/>
              </w:rPr>
              <w:t>及时进行</w:t>
            </w:r>
            <w:r>
              <w:rPr>
                <w:szCs w:val="21"/>
              </w:rPr>
              <w:t>讲评</w:t>
            </w:r>
            <w:r>
              <w:rPr>
                <w:rFonts w:hint="eastAsia"/>
                <w:szCs w:val="21"/>
              </w:rPr>
              <w:t>。</w:t>
            </w:r>
          </w:p>
          <w:p>
            <w:pPr>
              <w:spacing w:line="276" w:lineRule="auto"/>
              <w:rPr>
                <w:szCs w:val="21"/>
              </w:rPr>
            </w:pPr>
            <w:r>
              <w:rPr>
                <w:rFonts w:hint="eastAsia"/>
                <w:szCs w:val="21"/>
              </w:rPr>
              <w:t>2.</w:t>
            </w:r>
            <w:r>
              <w:rPr>
                <w:szCs w:val="21"/>
              </w:rPr>
              <w:t>教师批改</w:t>
            </w:r>
            <w:r>
              <w:rPr>
                <w:rFonts w:hint="eastAsia"/>
                <w:szCs w:val="21"/>
              </w:rPr>
              <w:t>和</w:t>
            </w:r>
            <w:r>
              <w:rPr>
                <w:szCs w:val="21"/>
              </w:rPr>
              <w:t>讲评</w:t>
            </w:r>
            <w:r>
              <w:rPr>
                <w:rFonts w:hint="eastAsia"/>
                <w:szCs w:val="21"/>
              </w:rPr>
              <w:t>预习报告和实验报告</w:t>
            </w:r>
            <w:r>
              <w:rPr>
                <w:szCs w:val="21"/>
              </w:rPr>
              <w:t>要认真、细致，按百分制评定成绩并写明日期</w:t>
            </w:r>
            <w:r>
              <w:rPr>
                <w:rFonts w:hint="eastAsia"/>
                <w:szCs w:val="21"/>
              </w:rPr>
              <w:t>。</w:t>
            </w:r>
          </w:p>
          <w:p>
            <w:pPr>
              <w:spacing w:line="276" w:lineRule="auto"/>
              <w:rPr>
                <w:szCs w:val="21"/>
              </w:rPr>
            </w:pPr>
            <w:r>
              <w:rPr>
                <w:rFonts w:hint="eastAsia"/>
                <w:szCs w:val="21"/>
              </w:rPr>
              <w:t>3.</w:t>
            </w:r>
            <w:r>
              <w:rPr>
                <w:szCs w:val="21"/>
              </w:rPr>
              <w:t>学生</w:t>
            </w:r>
            <w:r>
              <w:rPr>
                <w:rFonts w:hint="eastAsia"/>
                <w:szCs w:val="21"/>
              </w:rPr>
              <w:t>课内实验</w:t>
            </w:r>
            <w:r>
              <w:rPr>
                <w:szCs w:val="21"/>
              </w:rPr>
              <w:t>的平均成绩</w:t>
            </w:r>
            <w:r>
              <w:rPr>
                <w:rFonts w:hint="eastAsia"/>
                <w:szCs w:val="21"/>
              </w:rPr>
              <w:t>应</w:t>
            </w:r>
            <w:r>
              <w:rPr>
                <w:szCs w:val="21"/>
              </w:rPr>
              <w:t>作为本课程总评成绩中</w:t>
            </w:r>
            <w:r>
              <w:rPr>
                <w:rFonts w:hint="eastAsia"/>
                <w:szCs w:val="21"/>
              </w:rPr>
              <w:t>实验</w:t>
            </w:r>
            <w:r>
              <w:rPr>
                <w:szCs w:val="21"/>
              </w:rPr>
              <w:t>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582" w:type="dxa"/>
            <w:vAlign w:val="center"/>
          </w:tcPr>
          <w:p>
            <w:pPr>
              <w:spacing w:line="276" w:lineRule="auto"/>
              <w:jc w:val="center"/>
              <w:rPr>
                <w:szCs w:val="21"/>
              </w:rPr>
            </w:pPr>
            <w:r>
              <w:rPr>
                <w:rFonts w:hint="eastAsia"/>
                <w:szCs w:val="21"/>
              </w:rPr>
              <w:t>5</w:t>
            </w:r>
          </w:p>
        </w:tc>
        <w:tc>
          <w:tcPr>
            <w:tcW w:w="1701" w:type="dxa"/>
            <w:tcMar>
              <w:left w:w="28" w:type="dxa"/>
              <w:right w:w="28" w:type="dxa"/>
            </w:tcMar>
            <w:vAlign w:val="center"/>
          </w:tcPr>
          <w:p>
            <w:pPr>
              <w:spacing w:line="276" w:lineRule="auto"/>
              <w:jc w:val="center"/>
              <w:rPr>
                <w:szCs w:val="21"/>
              </w:rPr>
            </w:pPr>
            <w:r>
              <w:rPr>
                <w:szCs w:val="21"/>
              </w:rPr>
              <w:t>课外答疑</w:t>
            </w:r>
          </w:p>
        </w:tc>
        <w:tc>
          <w:tcPr>
            <w:tcW w:w="6237" w:type="dxa"/>
            <w:vAlign w:val="center"/>
          </w:tcPr>
          <w:p>
            <w:pPr>
              <w:spacing w:line="276" w:lineRule="auto"/>
              <w:rPr>
                <w:szCs w:val="21"/>
              </w:rPr>
            </w:pPr>
            <w:r>
              <w:rPr>
                <w:szCs w:val="21"/>
              </w:rPr>
              <w:t>为了解学生的学习情况，帮助学生</w:t>
            </w:r>
            <w:r>
              <w:rPr>
                <w:rFonts w:hint="eastAsia"/>
                <w:szCs w:val="21"/>
              </w:rPr>
              <w:t>更好地</w:t>
            </w:r>
            <w:r>
              <w:rPr>
                <w:szCs w:val="21"/>
              </w:rPr>
              <w:t>理解和消化所学知识、改进学习方法和思维方式，培养其独立思考问题的能力，</w:t>
            </w:r>
            <w:r>
              <w:rPr>
                <w:rFonts w:hint="eastAsia"/>
                <w:szCs w:val="21"/>
              </w:rPr>
              <w:t>课外答疑方式、时间、地点要跟学生商量共同确定，灵活安排。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582" w:type="dxa"/>
            <w:vAlign w:val="center"/>
          </w:tcPr>
          <w:p>
            <w:pPr>
              <w:spacing w:line="276" w:lineRule="auto"/>
              <w:jc w:val="center"/>
              <w:rPr>
                <w:szCs w:val="21"/>
              </w:rPr>
            </w:pPr>
            <w:r>
              <w:rPr>
                <w:rFonts w:hint="eastAsia"/>
                <w:szCs w:val="21"/>
              </w:rPr>
              <w:t>6</w:t>
            </w:r>
          </w:p>
        </w:tc>
        <w:tc>
          <w:tcPr>
            <w:tcW w:w="1701" w:type="dxa"/>
            <w:tcMar>
              <w:left w:w="28" w:type="dxa"/>
              <w:right w:w="28" w:type="dxa"/>
            </w:tcMar>
            <w:vAlign w:val="center"/>
          </w:tcPr>
          <w:p>
            <w:pPr>
              <w:spacing w:line="276" w:lineRule="auto"/>
              <w:jc w:val="center"/>
              <w:rPr>
                <w:szCs w:val="21"/>
              </w:rPr>
            </w:pPr>
            <w:r>
              <w:rPr>
                <w:szCs w:val="21"/>
              </w:rPr>
              <w:t>成绩考核</w:t>
            </w:r>
          </w:p>
        </w:tc>
        <w:tc>
          <w:tcPr>
            <w:tcW w:w="6237" w:type="dxa"/>
            <w:vAlign w:val="center"/>
          </w:tcPr>
          <w:p>
            <w:pPr>
              <w:spacing w:line="276" w:lineRule="auto"/>
              <w:rPr>
                <w:szCs w:val="21"/>
              </w:rPr>
            </w:pPr>
            <w:r>
              <w:rPr>
                <w:szCs w:val="21"/>
              </w:rPr>
              <w:t>本课程考核的方式</w:t>
            </w:r>
            <w:r>
              <w:rPr>
                <w:rFonts w:hint="eastAsia"/>
                <w:szCs w:val="21"/>
              </w:rPr>
              <w:t>为闭卷笔试</w:t>
            </w:r>
            <w:r>
              <w:rPr>
                <w:szCs w:val="21"/>
              </w:rPr>
              <w:t>。考试监考</w:t>
            </w:r>
            <w:r>
              <w:rPr>
                <w:rFonts w:hint="eastAsia"/>
                <w:szCs w:val="21"/>
              </w:rPr>
              <w:t>由学院</w:t>
            </w:r>
            <w:r>
              <w:rPr>
                <w:szCs w:val="21"/>
              </w:rPr>
              <w:t>统一安排。有下列情况之一者，总评成绩为不及格：</w:t>
            </w:r>
          </w:p>
          <w:p>
            <w:pPr>
              <w:spacing w:line="276" w:lineRule="auto"/>
              <w:rPr>
                <w:szCs w:val="21"/>
              </w:rPr>
            </w:pPr>
            <w:r>
              <w:rPr>
                <w:rFonts w:hint="eastAsia"/>
                <w:szCs w:val="21"/>
              </w:rPr>
              <w:t>1.</w:t>
            </w:r>
            <w:r>
              <w:rPr>
                <w:szCs w:val="21"/>
              </w:rPr>
              <w:t>缺交作业次数达1/3以上者</w:t>
            </w:r>
            <w:r>
              <w:rPr>
                <w:rFonts w:hint="eastAsia"/>
                <w:szCs w:val="21"/>
              </w:rPr>
              <w:t>。</w:t>
            </w:r>
          </w:p>
          <w:p>
            <w:pPr>
              <w:spacing w:line="276" w:lineRule="auto"/>
              <w:rPr>
                <w:szCs w:val="21"/>
              </w:rPr>
            </w:pPr>
            <w:r>
              <w:rPr>
                <w:rFonts w:hint="eastAsia"/>
                <w:szCs w:val="21"/>
              </w:rPr>
              <w:t>2.</w:t>
            </w:r>
            <w:r>
              <w:rPr>
                <w:szCs w:val="21"/>
              </w:rPr>
              <w:t>缺课次数达本学期总授课学时的1/3以上者</w:t>
            </w:r>
            <w:r>
              <w:rPr>
                <w:rFonts w:hint="eastAsia"/>
                <w:szCs w:val="21"/>
              </w:rPr>
              <w:t>。</w:t>
            </w:r>
          </w:p>
          <w:p>
            <w:pPr>
              <w:spacing w:line="276" w:lineRule="auto"/>
              <w:rPr>
                <w:szCs w:val="21"/>
              </w:rPr>
            </w:pPr>
            <w:r>
              <w:rPr>
                <w:rFonts w:hint="eastAsia"/>
                <w:szCs w:val="21"/>
              </w:rPr>
              <w:t>3.实验考核不及格。</w:t>
            </w:r>
          </w:p>
        </w:tc>
      </w:tr>
    </w:tbl>
    <w:p>
      <w:pPr>
        <w:spacing w:line="360" w:lineRule="auto"/>
        <w:rPr>
          <w:b/>
          <w:sz w:val="28"/>
          <w:szCs w:val="28"/>
        </w:rPr>
      </w:pPr>
      <w:r>
        <w:rPr>
          <w:rFonts w:hint="eastAsia"/>
          <w:b/>
          <w:sz w:val="28"/>
          <w:szCs w:val="28"/>
        </w:rPr>
        <w:t>五、课程</w:t>
      </w:r>
      <w:r>
        <w:rPr>
          <w:b/>
          <w:sz w:val="28"/>
          <w:szCs w:val="28"/>
        </w:rPr>
        <w:t>考核</w:t>
      </w:r>
    </w:p>
    <w:p>
      <w:pPr>
        <w:spacing w:line="360" w:lineRule="auto"/>
        <w:ind w:firstLine="480" w:firstLineChars="200"/>
        <w:rPr>
          <w:sz w:val="24"/>
        </w:rPr>
      </w:pPr>
      <w:r>
        <w:rPr>
          <w:rFonts w:hint="eastAsia"/>
          <w:sz w:val="24"/>
        </w:rPr>
        <w:t>（一）</w:t>
      </w:r>
      <w:r>
        <w:rPr>
          <w:sz w:val="24"/>
        </w:rPr>
        <w:t>课程考核包括期末考试、作业</w:t>
      </w:r>
      <w:r>
        <w:rPr>
          <w:rFonts w:hint="eastAsia"/>
          <w:sz w:val="24"/>
        </w:rPr>
        <w:t>、平时测验</w:t>
      </w:r>
      <w:r>
        <w:rPr>
          <w:sz w:val="24"/>
        </w:rPr>
        <w:t>考核和实验</w:t>
      </w:r>
      <w:r>
        <w:rPr>
          <w:rFonts w:hint="eastAsia"/>
          <w:sz w:val="24"/>
        </w:rPr>
        <w:t>（实践）</w:t>
      </w:r>
      <w:r>
        <w:rPr>
          <w:sz w:val="24"/>
        </w:rPr>
        <w:t>考核</w:t>
      </w:r>
      <w:r>
        <w:rPr>
          <w:rFonts w:hint="eastAsia"/>
          <w:sz w:val="24"/>
        </w:rPr>
        <w:t>等</w:t>
      </w:r>
      <w:r>
        <w:rPr>
          <w:sz w:val="24"/>
        </w:rPr>
        <w:t>，期</w:t>
      </w:r>
      <w:r>
        <w:rPr>
          <w:rFonts w:hint="eastAsia"/>
          <w:sz w:val="24"/>
        </w:rPr>
        <w:t>末</w:t>
      </w:r>
      <w:r>
        <w:rPr>
          <w:sz w:val="24"/>
        </w:rPr>
        <w:t>考试采用</w:t>
      </w:r>
      <w:r>
        <w:rPr>
          <w:rFonts w:hint="eastAsia"/>
          <w:sz w:val="24"/>
        </w:rPr>
        <w:t>开</w:t>
      </w:r>
      <w:r>
        <w:rPr>
          <w:sz w:val="24"/>
        </w:rPr>
        <w:t>卷</w:t>
      </w:r>
      <w:r>
        <w:rPr>
          <w:rFonts w:hint="eastAsia"/>
          <w:sz w:val="24"/>
        </w:rPr>
        <w:t>考试方式</w:t>
      </w:r>
      <w:r>
        <w:rPr>
          <w:sz w:val="24"/>
        </w:rPr>
        <w:t>。</w:t>
      </w:r>
    </w:p>
    <w:p>
      <w:pPr>
        <w:spacing w:line="360" w:lineRule="auto"/>
        <w:ind w:firstLine="480" w:firstLineChars="200"/>
        <w:rPr>
          <w:sz w:val="24"/>
        </w:rPr>
      </w:pPr>
      <w:r>
        <w:rPr>
          <w:rFonts w:hint="eastAsia"/>
          <w:sz w:val="24"/>
        </w:rPr>
        <w:t>（二）</w:t>
      </w:r>
      <w:r>
        <w:rPr>
          <w:sz w:val="24"/>
        </w:rPr>
        <w:t>课程</w:t>
      </w:r>
      <w:r>
        <w:rPr>
          <w:rFonts w:hint="eastAsia"/>
          <w:sz w:val="24"/>
        </w:rPr>
        <w:t>总评</w:t>
      </w:r>
      <w:r>
        <w:rPr>
          <w:sz w:val="24"/>
        </w:rPr>
        <w:t>成绩=平时成绩×</w:t>
      </w:r>
      <w:r>
        <w:rPr>
          <w:rFonts w:hint="eastAsia"/>
          <w:sz w:val="24"/>
        </w:rPr>
        <w:t>10</w:t>
      </w:r>
      <w:r>
        <w:rPr>
          <w:sz w:val="24"/>
        </w:rPr>
        <w:t>% +</w:t>
      </w:r>
      <w:r>
        <w:rPr>
          <w:rFonts w:hint="eastAsia"/>
          <w:sz w:val="24"/>
        </w:rPr>
        <w:t>作业</w:t>
      </w:r>
      <w:r>
        <w:rPr>
          <w:sz w:val="24"/>
        </w:rPr>
        <w:t>×</w:t>
      </w:r>
      <w:r>
        <w:rPr>
          <w:rFonts w:hint="eastAsia"/>
          <w:sz w:val="24"/>
        </w:rPr>
        <w:t>10</w:t>
      </w:r>
      <w:r>
        <w:rPr>
          <w:sz w:val="24"/>
        </w:rPr>
        <w:t xml:space="preserve">% </w:t>
      </w:r>
      <w:r>
        <w:rPr>
          <w:rFonts w:hint="eastAsia"/>
          <w:sz w:val="24"/>
        </w:rPr>
        <w:t>+平时测验</w:t>
      </w:r>
      <w:r>
        <w:rPr>
          <w:sz w:val="24"/>
        </w:rPr>
        <w:t>×</w:t>
      </w:r>
      <w:r>
        <w:rPr>
          <w:rFonts w:hint="eastAsia"/>
          <w:sz w:val="24"/>
        </w:rPr>
        <w:t>10</w:t>
      </w:r>
      <w:r>
        <w:rPr>
          <w:sz w:val="24"/>
        </w:rPr>
        <w:t>%</w:t>
      </w:r>
      <w:r>
        <w:rPr>
          <w:rFonts w:hint="eastAsia"/>
          <w:sz w:val="24"/>
        </w:rPr>
        <w:t>+课内</w:t>
      </w:r>
      <w:r>
        <w:rPr>
          <w:sz w:val="24"/>
        </w:rPr>
        <w:t>实验×</w:t>
      </w:r>
      <w:r>
        <w:rPr>
          <w:rFonts w:hint="eastAsia"/>
          <w:sz w:val="24"/>
        </w:rPr>
        <w:t>30</w:t>
      </w:r>
      <w:r>
        <w:rPr>
          <w:sz w:val="24"/>
        </w:rPr>
        <w:t>%+期末考试成绩×</w:t>
      </w:r>
      <w:r>
        <w:rPr>
          <w:rFonts w:hint="eastAsia"/>
          <w:sz w:val="24"/>
        </w:rPr>
        <w:t>40</w:t>
      </w:r>
      <w:r>
        <w:rPr>
          <w:sz w:val="24"/>
        </w:rPr>
        <w:t>%。具体内容和比例</w:t>
      </w:r>
      <w:r>
        <w:rPr>
          <w:rFonts w:hint="eastAsia"/>
          <w:sz w:val="24"/>
        </w:rPr>
        <w:t>如表所示。</w:t>
      </w:r>
    </w:p>
    <w:tbl>
      <w:tblPr>
        <w:tblStyle w:val="10"/>
        <w:tblpPr w:leftFromText="180" w:rightFromText="180" w:vertAnchor="text" w:horzAnchor="margin" w:tblpXSpec="center" w:tblpY="244"/>
        <w:tblW w:w="91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715"/>
        <w:gridCol w:w="1560"/>
        <w:gridCol w:w="3260"/>
        <w:gridCol w:w="638"/>
        <w:gridCol w:w="638"/>
        <w:gridCol w:w="638"/>
        <w:gridCol w:w="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vMerge w:val="restart"/>
            <w:shd w:val="clear" w:color="auto" w:fill="FFFFFF"/>
            <w:tcMar>
              <w:left w:w="57" w:type="dxa"/>
              <w:right w:w="57" w:type="dxa"/>
            </w:tcMar>
            <w:vAlign w:val="center"/>
          </w:tcPr>
          <w:p>
            <w:pPr>
              <w:pStyle w:val="14"/>
              <w:jc w:val="center"/>
              <w:rPr>
                <w:rFonts w:eastAsia="宋体"/>
              </w:rPr>
            </w:pPr>
            <w:r>
              <w:rPr>
                <w:rFonts w:hint="eastAsia" w:eastAsia="宋体"/>
              </w:rPr>
              <w:t>考核环节</w:t>
            </w:r>
          </w:p>
        </w:tc>
        <w:tc>
          <w:tcPr>
            <w:tcW w:w="715" w:type="dxa"/>
            <w:vMerge w:val="restart"/>
            <w:shd w:val="clear" w:color="auto" w:fill="FFFFFF"/>
            <w:vAlign w:val="center"/>
          </w:tcPr>
          <w:p>
            <w:pPr>
              <w:pStyle w:val="14"/>
              <w:jc w:val="center"/>
              <w:rPr>
                <w:rFonts w:eastAsia="宋体"/>
              </w:rPr>
            </w:pPr>
            <w:r>
              <w:rPr>
                <w:rFonts w:hint="eastAsia" w:eastAsia="宋体"/>
              </w:rPr>
              <w:t>成绩比例</w:t>
            </w:r>
          </w:p>
        </w:tc>
        <w:tc>
          <w:tcPr>
            <w:tcW w:w="4820" w:type="dxa"/>
            <w:gridSpan w:val="2"/>
            <w:vMerge w:val="restart"/>
            <w:shd w:val="clear" w:color="auto" w:fill="FFFFFF"/>
            <w:vAlign w:val="center"/>
          </w:tcPr>
          <w:p>
            <w:pPr>
              <w:pStyle w:val="14"/>
              <w:jc w:val="center"/>
              <w:rPr>
                <w:rFonts w:eastAsia="宋体"/>
              </w:rPr>
            </w:pPr>
            <w:r>
              <w:rPr>
                <w:rFonts w:eastAsia="宋体"/>
              </w:rPr>
              <w:t>考核</w:t>
            </w:r>
            <w:r>
              <w:rPr>
                <w:rFonts w:hint="eastAsia" w:eastAsia="宋体"/>
              </w:rPr>
              <w:t>内容与</w:t>
            </w:r>
            <w:r>
              <w:rPr>
                <w:rFonts w:eastAsia="宋体"/>
              </w:rPr>
              <w:t>评价细则</w:t>
            </w:r>
          </w:p>
        </w:tc>
        <w:tc>
          <w:tcPr>
            <w:tcW w:w="2552" w:type="dxa"/>
            <w:gridSpan w:val="4"/>
            <w:shd w:val="clear" w:color="auto" w:fill="FFFFFF"/>
            <w:vAlign w:val="center"/>
          </w:tcPr>
          <w:p>
            <w:pPr>
              <w:pStyle w:val="14"/>
              <w:jc w:val="center"/>
              <w:rPr>
                <w:rFonts w:eastAsia="宋体"/>
              </w:rPr>
            </w:pPr>
            <w:r>
              <w:rPr>
                <w:rFonts w:hint="eastAsia" w:eastAsia="宋体"/>
              </w:rPr>
              <w:t>支撑目标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vMerge w:val="continue"/>
            <w:shd w:val="clear" w:color="auto" w:fill="FFFFFF"/>
            <w:tcMar>
              <w:left w:w="57" w:type="dxa"/>
              <w:right w:w="57" w:type="dxa"/>
            </w:tcMar>
            <w:vAlign w:val="center"/>
          </w:tcPr>
          <w:p>
            <w:pPr>
              <w:pStyle w:val="14"/>
              <w:jc w:val="center"/>
              <w:rPr>
                <w:rFonts w:eastAsia="宋体"/>
              </w:rPr>
            </w:pPr>
          </w:p>
        </w:tc>
        <w:tc>
          <w:tcPr>
            <w:tcW w:w="715" w:type="dxa"/>
            <w:vMerge w:val="continue"/>
            <w:shd w:val="clear" w:color="auto" w:fill="FFFFFF"/>
            <w:vAlign w:val="center"/>
          </w:tcPr>
          <w:p>
            <w:pPr>
              <w:pStyle w:val="14"/>
              <w:jc w:val="center"/>
              <w:rPr>
                <w:rFonts w:eastAsia="宋体"/>
              </w:rPr>
            </w:pPr>
          </w:p>
        </w:tc>
        <w:tc>
          <w:tcPr>
            <w:tcW w:w="4820" w:type="dxa"/>
            <w:gridSpan w:val="2"/>
            <w:vMerge w:val="continue"/>
            <w:shd w:val="clear" w:color="auto" w:fill="FFFFFF"/>
            <w:vAlign w:val="center"/>
          </w:tcPr>
          <w:p>
            <w:pPr>
              <w:pStyle w:val="14"/>
              <w:jc w:val="center"/>
              <w:rPr>
                <w:rFonts w:eastAsia="宋体"/>
              </w:rPr>
            </w:pPr>
          </w:p>
        </w:tc>
        <w:tc>
          <w:tcPr>
            <w:tcW w:w="638" w:type="dxa"/>
            <w:shd w:val="clear" w:color="auto" w:fill="FFFFFF"/>
            <w:vAlign w:val="center"/>
          </w:tcPr>
          <w:p>
            <w:pPr>
              <w:pStyle w:val="14"/>
              <w:jc w:val="center"/>
              <w:rPr>
                <w:rFonts w:eastAsia="宋体"/>
              </w:rPr>
            </w:pPr>
            <w:r>
              <w:rPr>
                <w:rFonts w:hint="eastAsia" w:eastAsia="宋体"/>
              </w:rPr>
              <w:t>目标1</w:t>
            </w:r>
          </w:p>
        </w:tc>
        <w:tc>
          <w:tcPr>
            <w:tcW w:w="638" w:type="dxa"/>
            <w:shd w:val="clear" w:color="auto" w:fill="FFFFFF"/>
            <w:vAlign w:val="center"/>
          </w:tcPr>
          <w:p>
            <w:pPr>
              <w:pStyle w:val="14"/>
              <w:jc w:val="center"/>
              <w:rPr>
                <w:rFonts w:eastAsia="宋体"/>
              </w:rPr>
            </w:pPr>
            <w:r>
              <w:rPr>
                <w:rFonts w:hint="eastAsia" w:eastAsia="宋体"/>
              </w:rPr>
              <w:t>目标2</w:t>
            </w:r>
          </w:p>
        </w:tc>
        <w:tc>
          <w:tcPr>
            <w:tcW w:w="638" w:type="dxa"/>
            <w:shd w:val="clear" w:color="auto" w:fill="FFFFFF"/>
            <w:vAlign w:val="center"/>
          </w:tcPr>
          <w:p>
            <w:pPr>
              <w:pStyle w:val="14"/>
              <w:jc w:val="center"/>
              <w:rPr>
                <w:rFonts w:eastAsia="宋体"/>
              </w:rPr>
            </w:pPr>
          </w:p>
        </w:tc>
        <w:tc>
          <w:tcPr>
            <w:tcW w:w="638" w:type="dxa"/>
            <w:shd w:val="clear" w:color="auto" w:fill="FFFFFF"/>
            <w:vAlign w:val="center"/>
          </w:tcPr>
          <w:p>
            <w:pPr>
              <w:pStyle w:val="14"/>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shd w:val="clear" w:color="auto" w:fill="FFFFFF"/>
            <w:tcMar>
              <w:left w:w="57" w:type="dxa"/>
              <w:right w:w="57" w:type="dxa"/>
            </w:tcMar>
            <w:vAlign w:val="center"/>
          </w:tcPr>
          <w:p>
            <w:pPr>
              <w:pStyle w:val="14"/>
              <w:jc w:val="center"/>
              <w:rPr>
                <w:rFonts w:eastAsia="宋体"/>
              </w:rPr>
            </w:pPr>
            <w:r>
              <w:rPr>
                <w:rFonts w:hint="eastAsia" w:eastAsia="宋体"/>
              </w:rPr>
              <w:t>平时表现</w:t>
            </w:r>
          </w:p>
        </w:tc>
        <w:tc>
          <w:tcPr>
            <w:tcW w:w="715" w:type="dxa"/>
            <w:shd w:val="clear" w:color="auto" w:fill="FFFFFF"/>
            <w:vAlign w:val="center"/>
          </w:tcPr>
          <w:p>
            <w:pPr>
              <w:pStyle w:val="14"/>
              <w:jc w:val="center"/>
              <w:rPr>
                <w:rFonts w:eastAsia="宋体"/>
              </w:rPr>
            </w:pPr>
            <w:r>
              <w:rPr>
                <w:rFonts w:eastAsia="宋体"/>
              </w:rPr>
              <w:t>3</w:t>
            </w:r>
            <w:r>
              <w:rPr>
                <w:rFonts w:hint="eastAsia" w:eastAsia="宋体"/>
              </w:rPr>
              <w:t>0%</w:t>
            </w:r>
          </w:p>
        </w:tc>
        <w:tc>
          <w:tcPr>
            <w:tcW w:w="4820" w:type="dxa"/>
            <w:gridSpan w:val="2"/>
            <w:shd w:val="clear" w:color="auto" w:fill="FFFFFF"/>
            <w:vAlign w:val="center"/>
          </w:tcPr>
          <w:p>
            <w:pPr>
              <w:pStyle w:val="14"/>
              <w:rPr>
                <w:rFonts w:eastAsia="宋体"/>
              </w:rPr>
            </w:pPr>
            <w:r>
              <w:rPr>
                <w:rFonts w:hint="eastAsia" w:eastAsia="宋体"/>
              </w:rPr>
              <w:t>课堂不定期点名，考核能否按时到勤，对于旷课、迟到和早退者适当扣分，根据平时课堂笔记、课堂回答问题等情况确定平时表现分数。还包括平时布置的调研报告、案例分析、小组讨论、实验报告和小设计等，赋予平时成绩。</w:t>
            </w:r>
          </w:p>
        </w:tc>
        <w:tc>
          <w:tcPr>
            <w:tcW w:w="638" w:type="dxa"/>
            <w:shd w:val="clear" w:color="auto" w:fill="FFFFFF"/>
            <w:vAlign w:val="center"/>
          </w:tcPr>
          <w:p>
            <w:pPr>
              <w:pStyle w:val="14"/>
              <w:jc w:val="center"/>
              <w:rPr>
                <w:rFonts w:eastAsia="宋体"/>
                <w:highlight w:val="yellow"/>
              </w:rPr>
            </w:pPr>
            <w:r>
              <w:rPr>
                <w:rFonts w:eastAsia="宋体"/>
              </w:rPr>
              <w:t>1</w:t>
            </w:r>
            <w:r>
              <w:rPr>
                <w:rFonts w:hint="eastAsia" w:eastAsia="宋体"/>
              </w:rPr>
              <w:t>5%</w:t>
            </w:r>
          </w:p>
        </w:tc>
        <w:tc>
          <w:tcPr>
            <w:tcW w:w="638" w:type="dxa"/>
            <w:shd w:val="clear" w:color="auto" w:fill="FFFFFF"/>
            <w:vAlign w:val="center"/>
          </w:tcPr>
          <w:p>
            <w:pPr>
              <w:pStyle w:val="14"/>
              <w:jc w:val="center"/>
              <w:rPr>
                <w:rFonts w:eastAsia="宋体"/>
                <w:highlight w:val="yellow"/>
              </w:rPr>
            </w:pPr>
            <w:r>
              <w:rPr>
                <w:rFonts w:eastAsia="宋体"/>
              </w:rPr>
              <w:t>1</w:t>
            </w:r>
            <w:r>
              <w:rPr>
                <w:rFonts w:hint="eastAsia" w:eastAsia="宋体"/>
              </w:rPr>
              <w:t>5%</w:t>
            </w:r>
          </w:p>
        </w:tc>
        <w:tc>
          <w:tcPr>
            <w:tcW w:w="638" w:type="dxa"/>
            <w:shd w:val="clear" w:color="auto" w:fill="FFFFFF"/>
            <w:vAlign w:val="center"/>
          </w:tcPr>
          <w:p>
            <w:pPr>
              <w:pStyle w:val="14"/>
              <w:jc w:val="center"/>
              <w:rPr>
                <w:rFonts w:eastAsia="宋体"/>
              </w:rPr>
            </w:pPr>
          </w:p>
        </w:tc>
        <w:tc>
          <w:tcPr>
            <w:tcW w:w="638" w:type="dxa"/>
            <w:shd w:val="clear" w:color="auto" w:fill="FFFFFF"/>
            <w:vAlign w:val="center"/>
          </w:tcPr>
          <w:p>
            <w:pPr>
              <w:pStyle w:val="14"/>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shd w:val="clear" w:color="auto" w:fill="FFFFFF"/>
            <w:tcMar>
              <w:left w:w="57" w:type="dxa"/>
              <w:right w:w="57" w:type="dxa"/>
            </w:tcMar>
            <w:vAlign w:val="center"/>
          </w:tcPr>
          <w:p>
            <w:pPr>
              <w:pStyle w:val="14"/>
              <w:jc w:val="center"/>
              <w:rPr>
                <w:rFonts w:eastAsia="宋体"/>
              </w:rPr>
            </w:pPr>
            <w:r>
              <w:rPr>
                <w:rFonts w:eastAsia="宋体"/>
              </w:rPr>
              <w:t>作</w:t>
            </w:r>
            <w:r>
              <w:rPr>
                <w:rFonts w:hint="eastAsia" w:eastAsia="宋体"/>
              </w:rPr>
              <w:t xml:space="preserve">    </w:t>
            </w:r>
            <w:r>
              <w:rPr>
                <w:rFonts w:eastAsia="宋体"/>
              </w:rPr>
              <w:t>业</w:t>
            </w:r>
          </w:p>
        </w:tc>
        <w:tc>
          <w:tcPr>
            <w:tcW w:w="715" w:type="dxa"/>
            <w:shd w:val="clear" w:color="auto" w:fill="FFFFFF"/>
            <w:vAlign w:val="center"/>
          </w:tcPr>
          <w:p>
            <w:pPr>
              <w:pStyle w:val="14"/>
              <w:jc w:val="center"/>
              <w:rPr>
                <w:rFonts w:eastAsia="宋体"/>
              </w:rPr>
            </w:pPr>
            <w:r>
              <w:rPr>
                <w:rFonts w:hint="eastAsia" w:eastAsia="宋体"/>
              </w:rPr>
              <w:t>10</w:t>
            </w:r>
            <w:r>
              <w:rPr>
                <w:rFonts w:eastAsia="宋体"/>
              </w:rPr>
              <w:t>%</w:t>
            </w:r>
          </w:p>
        </w:tc>
        <w:tc>
          <w:tcPr>
            <w:tcW w:w="4820" w:type="dxa"/>
            <w:gridSpan w:val="2"/>
            <w:shd w:val="clear" w:color="auto" w:fill="FFFFFF"/>
            <w:vAlign w:val="center"/>
          </w:tcPr>
          <w:p>
            <w:pPr>
              <w:pStyle w:val="14"/>
              <w:rPr>
                <w:rFonts w:eastAsia="宋体"/>
              </w:rPr>
            </w:pPr>
            <w:r>
              <w:rPr>
                <w:rFonts w:hint="eastAsia" w:eastAsia="宋体"/>
                <w:szCs w:val="21"/>
              </w:rPr>
              <w:t>重点章节对应有思考题和习题，考核学生对每节课知识点的复习、理解和掌握度。对每次作业完成情况做记录并百分制打分。</w:t>
            </w:r>
          </w:p>
        </w:tc>
        <w:tc>
          <w:tcPr>
            <w:tcW w:w="638" w:type="dxa"/>
            <w:shd w:val="clear" w:color="auto" w:fill="FFFFFF"/>
            <w:vAlign w:val="center"/>
          </w:tcPr>
          <w:p>
            <w:pPr>
              <w:pStyle w:val="14"/>
              <w:jc w:val="center"/>
              <w:rPr>
                <w:rFonts w:eastAsia="宋体"/>
              </w:rPr>
            </w:pPr>
            <w:r>
              <w:rPr>
                <w:rFonts w:hint="eastAsia" w:eastAsia="宋体"/>
                <w:color w:val="000000"/>
                <w:szCs w:val="21"/>
              </w:rPr>
              <w:t>5%</w:t>
            </w:r>
          </w:p>
        </w:tc>
        <w:tc>
          <w:tcPr>
            <w:tcW w:w="638" w:type="dxa"/>
            <w:shd w:val="clear" w:color="auto" w:fill="FFFFFF"/>
            <w:vAlign w:val="center"/>
          </w:tcPr>
          <w:p>
            <w:pPr>
              <w:pStyle w:val="14"/>
              <w:jc w:val="center"/>
              <w:rPr>
                <w:rFonts w:eastAsia="宋体"/>
              </w:rPr>
            </w:pPr>
            <w:r>
              <w:rPr>
                <w:rFonts w:hint="eastAsia" w:eastAsia="宋体"/>
                <w:color w:val="000000"/>
                <w:szCs w:val="21"/>
              </w:rPr>
              <w:t>5%</w:t>
            </w:r>
          </w:p>
        </w:tc>
        <w:tc>
          <w:tcPr>
            <w:tcW w:w="638" w:type="dxa"/>
            <w:shd w:val="clear" w:color="auto" w:fill="FFFFFF"/>
            <w:vAlign w:val="center"/>
          </w:tcPr>
          <w:p>
            <w:pPr>
              <w:pStyle w:val="14"/>
              <w:jc w:val="center"/>
              <w:rPr>
                <w:rFonts w:eastAsia="宋体"/>
              </w:rPr>
            </w:pPr>
          </w:p>
        </w:tc>
        <w:tc>
          <w:tcPr>
            <w:tcW w:w="638" w:type="dxa"/>
            <w:shd w:val="clear" w:color="auto" w:fill="FFFFFF"/>
            <w:vAlign w:val="center"/>
          </w:tcPr>
          <w:p>
            <w:pPr>
              <w:pStyle w:val="14"/>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043" w:type="dxa"/>
            <w:shd w:val="clear" w:color="auto" w:fill="auto"/>
            <w:tcMar>
              <w:left w:w="57" w:type="dxa"/>
              <w:right w:w="57" w:type="dxa"/>
            </w:tcMar>
            <w:vAlign w:val="center"/>
          </w:tcPr>
          <w:p>
            <w:pPr>
              <w:pStyle w:val="14"/>
              <w:jc w:val="center"/>
              <w:rPr>
                <w:rFonts w:eastAsia="宋体"/>
              </w:rPr>
            </w:pPr>
            <w:r>
              <w:rPr>
                <w:rFonts w:hint="eastAsia" w:eastAsia="宋体"/>
              </w:rPr>
              <w:t>测    验</w:t>
            </w:r>
          </w:p>
        </w:tc>
        <w:tc>
          <w:tcPr>
            <w:tcW w:w="715" w:type="dxa"/>
            <w:shd w:val="clear" w:color="auto" w:fill="auto"/>
            <w:vAlign w:val="center"/>
          </w:tcPr>
          <w:p>
            <w:pPr>
              <w:pStyle w:val="14"/>
              <w:jc w:val="center"/>
              <w:rPr>
                <w:rFonts w:eastAsia="宋体"/>
              </w:rPr>
            </w:pPr>
            <w:r>
              <w:rPr>
                <w:rFonts w:hint="eastAsia" w:eastAsia="宋体"/>
              </w:rPr>
              <w:t>10%</w:t>
            </w:r>
          </w:p>
        </w:tc>
        <w:tc>
          <w:tcPr>
            <w:tcW w:w="4820" w:type="dxa"/>
            <w:gridSpan w:val="2"/>
            <w:shd w:val="clear" w:color="auto" w:fill="auto"/>
            <w:vAlign w:val="center"/>
          </w:tcPr>
          <w:p>
            <w:pPr>
              <w:pStyle w:val="14"/>
              <w:rPr>
                <w:rFonts w:eastAsia="宋体"/>
                <w:szCs w:val="21"/>
              </w:rPr>
            </w:pPr>
            <w:r>
              <w:rPr>
                <w:rFonts w:hint="eastAsia" w:eastAsia="宋体"/>
                <w:color w:val="000000"/>
                <w:szCs w:val="21"/>
              </w:rPr>
              <w:t>网络课堂测验，考察学生对教学内容的掌握情况，以课堂测试的形式进行。</w:t>
            </w:r>
          </w:p>
        </w:tc>
        <w:tc>
          <w:tcPr>
            <w:tcW w:w="638" w:type="dxa"/>
            <w:shd w:val="clear" w:color="auto" w:fill="FFFFFF"/>
            <w:vAlign w:val="center"/>
          </w:tcPr>
          <w:p>
            <w:pPr>
              <w:jc w:val="center"/>
              <w:rPr>
                <w:color w:val="000000"/>
                <w:szCs w:val="21"/>
              </w:rPr>
            </w:pPr>
            <w:r>
              <w:rPr>
                <w:rFonts w:hint="eastAsia"/>
                <w:color w:val="000000"/>
                <w:szCs w:val="21"/>
              </w:rPr>
              <w:t>5%</w:t>
            </w:r>
          </w:p>
        </w:tc>
        <w:tc>
          <w:tcPr>
            <w:tcW w:w="638" w:type="dxa"/>
            <w:shd w:val="clear" w:color="auto" w:fill="FFFFFF"/>
            <w:vAlign w:val="center"/>
          </w:tcPr>
          <w:p>
            <w:pPr>
              <w:jc w:val="center"/>
              <w:rPr>
                <w:color w:val="000000"/>
                <w:szCs w:val="21"/>
              </w:rPr>
            </w:pPr>
            <w:r>
              <w:rPr>
                <w:rFonts w:hint="eastAsia"/>
                <w:color w:val="000000"/>
                <w:szCs w:val="21"/>
              </w:rPr>
              <w:t>5%</w:t>
            </w:r>
          </w:p>
        </w:tc>
        <w:tc>
          <w:tcPr>
            <w:tcW w:w="638" w:type="dxa"/>
            <w:shd w:val="clear" w:color="auto" w:fill="FFFFFF"/>
            <w:vAlign w:val="center"/>
          </w:tcPr>
          <w:p>
            <w:pPr>
              <w:pStyle w:val="14"/>
              <w:jc w:val="center"/>
              <w:rPr>
                <w:rFonts w:eastAsia="宋体"/>
                <w:color w:val="000000"/>
                <w:szCs w:val="21"/>
              </w:rPr>
            </w:pPr>
          </w:p>
        </w:tc>
        <w:tc>
          <w:tcPr>
            <w:tcW w:w="638" w:type="dxa"/>
            <w:shd w:val="clear" w:color="auto" w:fill="FFFFFF"/>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043" w:type="dxa"/>
            <w:vMerge w:val="restart"/>
            <w:shd w:val="clear" w:color="auto" w:fill="auto"/>
            <w:tcMar>
              <w:left w:w="57" w:type="dxa"/>
              <w:right w:w="57" w:type="dxa"/>
            </w:tcMar>
            <w:vAlign w:val="center"/>
          </w:tcPr>
          <w:p>
            <w:pPr>
              <w:pStyle w:val="14"/>
              <w:jc w:val="center"/>
              <w:rPr>
                <w:rFonts w:eastAsia="宋体"/>
              </w:rPr>
            </w:pPr>
            <w:r>
              <w:rPr>
                <w:rFonts w:eastAsia="宋体"/>
              </w:rPr>
              <w:t>期末</w:t>
            </w:r>
            <w:r>
              <w:rPr>
                <w:rFonts w:hint="eastAsia" w:eastAsia="宋体"/>
              </w:rPr>
              <w:t>试卷</w:t>
            </w:r>
          </w:p>
        </w:tc>
        <w:tc>
          <w:tcPr>
            <w:tcW w:w="715" w:type="dxa"/>
            <w:vMerge w:val="restart"/>
            <w:shd w:val="clear" w:color="auto" w:fill="auto"/>
            <w:vAlign w:val="center"/>
          </w:tcPr>
          <w:p>
            <w:pPr>
              <w:pStyle w:val="14"/>
              <w:jc w:val="center"/>
              <w:rPr>
                <w:rFonts w:eastAsia="宋体"/>
              </w:rPr>
            </w:pPr>
            <w:r>
              <w:rPr>
                <w:rFonts w:eastAsia="宋体"/>
              </w:rPr>
              <w:t>5</w:t>
            </w:r>
            <w:r>
              <w:rPr>
                <w:rFonts w:hint="eastAsia" w:eastAsia="宋体"/>
              </w:rPr>
              <w:t>0</w:t>
            </w:r>
            <w:r>
              <w:rPr>
                <w:rFonts w:eastAsia="宋体"/>
              </w:rPr>
              <w:t>%</w:t>
            </w:r>
            <w:r>
              <w:rPr>
                <w:rFonts w:hint="eastAsia" w:eastAsia="宋体"/>
              </w:rPr>
              <w:t xml:space="preserve"> </w:t>
            </w:r>
          </w:p>
        </w:tc>
        <w:tc>
          <w:tcPr>
            <w:tcW w:w="1560" w:type="dxa"/>
            <w:tcBorders>
              <w:left w:val="single" w:color="auto" w:sz="4" w:space="0"/>
            </w:tcBorders>
            <w:shd w:val="clear" w:color="auto" w:fill="auto"/>
            <w:vAlign w:val="center"/>
          </w:tcPr>
          <w:p>
            <w:pPr>
              <w:pStyle w:val="14"/>
              <w:jc w:val="center"/>
              <w:rPr>
                <w:rFonts w:eastAsia="宋体"/>
                <w:color w:val="000000"/>
                <w:szCs w:val="21"/>
              </w:rPr>
            </w:pPr>
            <w:r>
              <w:rPr>
                <w:rFonts w:hint="eastAsia" w:eastAsia="宋体"/>
                <w:color w:val="000000"/>
                <w:szCs w:val="21"/>
              </w:rPr>
              <w:t>题型</w:t>
            </w:r>
          </w:p>
        </w:tc>
        <w:tc>
          <w:tcPr>
            <w:tcW w:w="3260" w:type="dxa"/>
            <w:tcBorders>
              <w:left w:val="single" w:color="auto" w:sz="4" w:space="0"/>
            </w:tcBorders>
            <w:shd w:val="clear" w:color="auto" w:fill="auto"/>
            <w:vAlign w:val="center"/>
          </w:tcPr>
          <w:p>
            <w:pPr>
              <w:widowControl/>
              <w:jc w:val="center"/>
            </w:pPr>
            <w:r>
              <w:rPr>
                <w:rFonts w:hint="eastAsia"/>
                <w:color w:val="000000"/>
                <w:szCs w:val="21"/>
              </w:rPr>
              <w:t>考核内容及相应试题</w:t>
            </w:r>
          </w:p>
        </w:tc>
        <w:tc>
          <w:tcPr>
            <w:tcW w:w="2552" w:type="dxa"/>
            <w:gridSpan w:val="4"/>
            <w:tcBorders>
              <w:tl2br w:val="single" w:color="auto" w:sz="4" w:space="0"/>
            </w:tcBorders>
            <w:shd w:val="clear" w:color="auto" w:fill="FFFFFF"/>
          </w:tcPr>
          <w:p>
            <w:pPr>
              <w:pStyle w:val="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tcMar>
              <w:left w:w="57" w:type="dxa"/>
              <w:right w:w="57" w:type="dxa"/>
            </w:tcMar>
            <w:vAlign w:val="center"/>
          </w:tcPr>
          <w:p>
            <w:pPr>
              <w:pStyle w:val="14"/>
              <w:jc w:val="center"/>
              <w:rPr>
                <w:rFonts w:eastAsia="宋体"/>
              </w:rPr>
            </w:pPr>
          </w:p>
        </w:tc>
        <w:tc>
          <w:tcPr>
            <w:tcW w:w="715" w:type="dxa"/>
            <w:vMerge w:val="continue"/>
            <w:shd w:val="clear" w:color="auto" w:fill="auto"/>
            <w:vAlign w:val="center"/>
          </w:tcPr>
          <w:p>
            <w:pPr>
              <w:pStyle w:val="14"/>
              <w:jc w:val="center"/>
              <w:rPr>
                <w:rFonts w:eastAsia="宋体"/>
              </w:rPr>
            </w:pPr>
          </w:p>
        </w:tc>
        <w:tc>
          <w:tcPr>
            <w:tcW w:w="1560" w:type="dxa"/>
            <w:tcBorders>
              <w:left w:val="single" w:color="auto" w:sz="4" w:space="0"/>
            </w:tcBorders>
            <w:shd w:val="clear" w:color="auto" w:fill="auto"/>
            <w:vAlign w:val="center"/>
          </w:tcPr>
          <w:p>
            <w:pPr>
              <w:pStyle w:val="14"/>
              <w:jc w:val="center"/>
              <w:rPr>
                <w:rFonts w:eastAsia="宋体"/>
                <w:color w:val="000000"/>
                <w:szCs w:val="21"/>
              </w:rPr>
            </w:pPr>
            <w:r>
              <w:rPr>
                <w:rFonts w:hint="eastAsia" w:eastAsia="宋体"/>
                <w:color w:val="000000"/>
                <w:szCs w:val="21"/>
              </w:rPr>
              <w:t>选择题</w:t>
            </w:r>
          </w:p>
        </w:tc>
        <w:tc>
          <w:tcPr>
            <w:tcW w:w="3260" w:type="dxa"/>
            <w:tcBorders>
              <w:left w:val="single" w:color="auto" w:sz="4" w:space="0"/>
            </w:tcBorders>
            <w:shd w:val="clear" w:color="auto" w:fill="auto"/>
            <w:vAlign w:val="center"/>
          </w:tcPr>
          <w:p>
            <w:pPr>
              <w:pStyle w:val="14"/>
              <w:rPr>
                <w:rFonts w:eastAsia="宋体"/>
                <w:color w:val="000000"/>
                <w:szCs w:val="21"/>
              </w:rPr>
            </w:pPr>
            <w:r>
              <w:rPr>
                <w:rFonts w:hint="eastAsia" w:eastAsia="宋体"/>
                <w:color w:val="000000"/>
                <w:szCs w:val="21"/>
              </w:rPr>
              <w:t>主要考核仪器分析方法的原理和使用范围、仪器构造等</w:t>
            </w:r>
          </w:p>
        </w:tc>
        <w:tc>
          <w:tcPr>
            <w:tcW w:w="638" w:type="dxa"/>
            <w:shd w:val="clear" w:color="auto" w:fill="FFFFFF"/>
            <w:vAlign w:val="center"/>
          </w:tcPr>
          <w:p>
            <w:pPr>
              <w:widowControl/>
              <w:jc w:val="center"/>
            </w:pPr>
            <w:r>
              <w:rPr>
                <w:rFonts w:hint="eastAsia"/>
              </w:rPr>
              <w:t>4%</w:t>
            </w:r>
          </w:p>
        </w:tc>
        <w:tc>
          <w:tcPr>
            <w:tcW w:w="638" w:type="dxa"/>
            <w:shd w:val="clear" w:color="auto" w:fill="FFFFFF"/>
            <w:vAlign w:val="center"/>
          </w:tcPr>
          <w:p>
            <w:pPr>
              <w:widowControl/>
              <w:jc w:val="center"/>
            </w:pPr>
            <w:r>
              <w:rPr>
                <w:rFonts w:hint="eastAsia"/>
              </w:rPr>
              <w:t>4%</w:t>
            </w:r>
          </w:p>
        </w:tc>
        <w:tc>
          <w:tcPr>
            <w:tcW w:w="638" w:type="dxa"/>
            <w:shd w:val="clear" w:color="auto" w:fill="FFFFFF"/>
            <w:vAlign w:val="center"/>
          </w:tcPr>
          <w:p>
            <w:pPr>
              <w:widowControl/>
              <w:jc w:val="center"/>
            </w:pPr>
          </w:p>
        </w:tc>
        <w:tc>
          <w:tcPr>
            <w:tcW w:w="638" w:type="dxa"/>
            <w:shd w:val="clear" w:color="auto" w:fill="FFFFFF"/>
            <w:vAlign w:val="center"/>
          </w:tcPr>
          <w:p>
            <w:pPr>
              <w:widowControl/>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tcMar>
              <w:left w:w="57" w:type="dxa"/>
              <w:right w:w="57" w:type="dxa"/>
            </w:tcMar>
            <w:vAlign w:val="center"/>
          </w:tcPr>
          <w:p>
            <w:pPr>
              <w:pStyle w:val="14"/>
              <w:jc w:val="center"/>
              <w:rPr>
                <w:rFonts w:eastAsia="宋体"/>
              </w:rPr>
            </w:pPr>
          </w:p>
        </w:tc>
        <w:tc>
          <w:tcPr>
            <w:tcW w:w="715" w:type="dxa"/>
            <w:vMerge w:val="continue"/>
            <w:shd w:val="clear" w:color="auto" w:fill="auto"/>
            <w:vAlign w:val="center"/>
          </w:tcPr>
          <w:p>
            <w:pPr>
              <w:pStyle w:val="14"/>
              <w:jc w:val="center"/>
              <w:rPr>
                <w:rFonts w:eastAsia="宋体"/>
              </w:rPr>
            </w:pPr>
          </w:p>
        </w:tc>
        <w:tc>
          <w:tcPr>
            <w:tcW w:w="1560" w:type="dxa"/>
            <w:tcBorders>
              <w:left w:val="single" w:color="auto" w:sz="4" w:space="0"/>
            </w:tcBorders>
            <w:shd w:val="clear" w:color="auto" w:fill="auto"/>
            <w:vAlign w:val="center"/>
          </w:tcPr>
          <w:p>
            <w:pPr>
              <w:pStyle w:val="14"/>
              <w:jc w:val="center"/>
              <w:rPr>
                <w:rFonts w:eastAsia="宋体"/>
                <w:color w:val="000000"/>
                <w:szCs w:val="21"/>
              </w:rPr>
            </w:pPr>
            <w:r>
              <w:rPr>
                <w:rFonts w:hint="eastAsia" w:eastAsia="宋体"/>
                <w:color w:val="000000"/>
                <w:szCs w:val="21"/>
              </w:rPr>
              <w:t>判断</w:t>
            </w:r>
            <w:r>
              <w:rPr>
                <w:rFonts w:eastAsia="宋体"/>
                <w:color w:val="000000"/>
                <w:szCs w:val="21"/>
              </w:rPr>
              <w:t>题</w:t>
            </w:r>
          </w:p>
        </w:tc>
        <w:tc>
          <w:tcPr>
            <w:tcW w:w="3260" w:type="dxa"/>
            <w:tcBorders>
              <w:left w:val="single" w:color="auto" w:sz="4" w:space="0"/>
            </w:tcBorders>
            <w:shd w:val="clear" w:color="auto" w:fill="auto"/>
            <w:vAlign w:val="center"/>
          </w:tcPr>
          <w:p>
            <w:pPr>
              <w:pStyle w:val="14"/>
              <w:rPr>
                <w:rFonts w:eastAsia="宋体"/>
                <w:color w:val="000000"/>
                <w:szCs w:val="21"/>
              </w:rPr>
            </w:pPr>
            <w:r>
              <w:rPr>
                <w:rFonts w:hint="eastAsia" w:eastAsia="宋体"/>
                <w:color w:val="000000"/>
                <w:szCs w:val="21"/>
              </w:rPr>
              <w:t>主要考核仪器分析方法的原理和使用范围、仪器构造等</w:t>
            </w:r>
          </w:p>
        </w:tc>
        <w:tc>
          <w:tcPr>
            <w:tcW w:w="638" w:type="dxa"/>
            <w:shd w:val="clear" w:color="auto" w:fill="FFFFFF"/>
            <w:vAlign w:val="center"/>
          </w:tcPr>
          <w:p>
            <w:pPr>
              <w:widowControl/>
              <w:jc w:val="center"/>
            </w:pPr>
            <w:r>
              <w:rPr>
                <w:rFonts w:hint="eastAsia"/>
              </w:rPr>
              <w:t>4%</w:t>
            </w:r>
          </w:p>
        </w:tc>
        <w:tc>
          <w:tcPr>
            <w:tcW w:w="638" w:type="dxa"/>
            <w:shd w:val="clear" w:color="auto" w:fill="FFFFFF"/>
            <w:vAlign w:val="center"/>
          </w:tcPr>
          <w:p>
            <w:pPr>
              <w:widowControl/>
              <w:jc w:val="center"/>
            </w:pPr>
            <w:r>
              <w:rPr>
                <w:rFonts w:hint="eastAsia"/>
              </w:rPr>
              <w:t>4%</w:t>
            </w:r>
          </w:p>
        </w:tc>
        <w:tc>
          <w:tcPr>
            <w:tcW w:w="638" w:type="dxa"/>
            <w:shd w:val="clear" w:color="auto" w:fill="FFFFFF"/>
            <w:vAlign w:val="center"/>
          </w:tcPr>
          <w:p>
            <w:pPr>
              <w:widowControl/>
              <w:jc w:val="center"/>
            </w:pPr>
          </w:p>
        </w:tc>
        <w:tc>
          <w:tcPr>
            <w:tcW w:w="638" w:type="dxa"/>
            <w:shd w:val="clear" w:color="auto" w:fill="FFFFFF"/>
            <w:vAlign w:val="center"/>
          </w:tcPr>
          <w:p>
            <w:pPr>
              <w:widowControl/>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tcMar>
              <w:left w:w="57" w:type="dxa"/>
              <w:right w:w="57" w:type="dxa"/>
            </w:tcMar>
            <w:vAlign w:val="center"/>
          </w:tcPr>
          <w:p>
            <w:pPr>
              <w:pStyle w:val="14"/>
              <w:jc w:val="center"/>
              <w:rPr>
                <w:rFonts w:eastAsia="宋体"/>
              </w:rPr>
            </w:pPr>
          </w:p>
        </w:tc>
        <w:tc>
          <w:tcPr>
            <w:tcW w:w="715" w:type="dxa"/>
            <w:vMerge w:val="continue"/>
            <w:shd w:val="clear" w:color="auto" w:fill="auto"/>
            <w:vAlign w:val="center"/>
          </w:tcPr>
          <w:p>
            <w:pPr>
              <w:pStyle w:val="14"/>
              <w:jc w:val="center"/>
              <w:rPr>
                <w:rFonts w:eastAsia="宋体"/>
              </w:rPr>
            </w:pPr>
          </w:p>
        </w:tc>
        <w:tc>
          <w:tcPr>
            <w:tcW w:w="1560" w:type="dxa"/>
            <w:tcBorders>
              <w:left w:val="single" w:color="auto" w:sz="4" w:space="0"/>
            </w:tcBorders>
            <w:shd w:val="clear" w:color="auto" w:fill="auto"/>
            <w:vAlign w:val="center"/>
          </w:tcPr>
          <w:p>
            <w:pPr>
              <w:pStyle w:val="14"/>
              <w:jc w:val="center"/>
              <w:rPr>
                <w:rFonts w:eastAsia="宋体"/>
                <w:color w:val="000000"/>
                <w:szCs w:val="21"/>
              </w:rPr>
            </w:pPr>
            <w:r>
              <w:rPr>
                <w:rFonts w:hint="eastAsia" w:eastAsia="宋体"/>
                <w:color w:val="000000"/>
                <w:szCs w:val="21"/>
              </w:rPr>
              <w:t>简答题</w:t>
            </w:r>
          </w:p>
        </w:tc>
        <w:tc>
          <w:tcPr>
            <w:tcW w:w="3260" w:type="dxa"/>
            <w:tcBorders>
              <w:left w:val="single" w:color="auto" w:sz="4" w:space="0"/>
            </w:tcBorders>
            <w:shd w:val="clear" w:color="auto" w:fill="auto"/>
            <w:vAlign w:val="center"/>
          </w:tcPr>
          <w:p>
            <w:pPr>
              <w:pStyle w:val="14"/>
              <w:rPr>
                <w:rFonts w:eastAsia="宋体"/>
                <w:color w:val="000000"/>
                <w:szCs w:val="21"/>
              </w:rPr>
            </w:pPr>
            <w:r>
              <w:rPr>
                <w:rFonts w:hint="eastAsia" w:eastAsia="宋体"/>
                <w:color w:val="000000"/>
                <w:szCs w:val="21"/>
              </w:rPr>
              <w:t>主要考核仪器方法选择、实验方案设计、数据分析等。</w:t>
            </w:r>
          </w:p>
        </w:tc>
        <w:tc>
          <w:tcPr>
            <w:tcW w:w="638" w:type="dxa"/>
            <w:shd w:val="clear" w:color="auto" w:fill="FFFFFF"/>
            <w:vAlign w:val="center"/>
          </w:tcPr>
          <w:p>
            <w:pPr>
              <w:pStyle w:val="14"/>
              <w:jc w:val="center"/>
              <w:rPr>
                <w:rFonts w:eastAsia="宋体"/>
                <w:color w:val="000000"/>
                <w:szCs w:val="21"/>
              </w:rPr>
            </w:pPr>
            <w:r>
              <w:rPr>
                <w:rFonts w:hint="eastAsia" w:eastAsia="宋体"/>
                <w:color w:val="000000"/>
                <w:szCs w:val="21"/>
              </w:rPr>
              <w:t>8%</w:t>
            </w:r>
          </w:p>
        </w:tc>
        <w:tc>
          <w:tcPr>
            <w:tcW w:w="638" w:type="dxa"/>
            <w:shd w:val="clear" w:color="auto" w:fill="FFFFFF"/>
            <w:vAlign w:val="center"/>
          </w:tcPr>
          <w:p>
            <w:pPr>
              <w:pStyle w:val="14"/>
              <w:jc w:val="center"/>
              <w:rPr>
                <w:rFonts w:eastAsia="宋体"/>
                <w:color w:val="000000"/>
                <w:szCs w:val="21"/>
              </w:rPr>
            </w:pPr>
            <w:r>
              <w:rPr>
                <w:rFonts w:hint="eastAsia" w:eastAsia="宋体"/>
                <w:color w:val="000000"/>
                <w:szCs w:val="21"/>
              </w:rPr>
              <w:t>8%</w:t>
            </w:r>
          </w:p>
        </w:tc>
        <w:tc>
          <w:tcPr>
            <w:tcW w:w="638" w:type="dxa"/>
            <w:shd w:val="clear" w:color="auto" w:fill="FFFFFF"/>
            <w:vAlign w:val="center"/>
          </w:tcPr>
          <w:p>
            <w:pPr>
              <w:pStyle w:val="14"/>
              <w:jc w:val="center"/>
              <w:rPr>
                <w:rFonts w:eastAsia="宋体"/>
                <w:color w:val="000000"/>
                <w:szCs w:val="21"/>
              </w:rPr>
            </w:pPr>
          </w:p>
        </w:tc>
        <w:tc>
          <w:tcPr>
            <w:tcW w:w="638" w:type="dxa"/>
            <w:shd w:val="clear" w:color="auto" w:fill="FFFFFF"/>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tcMar>
              <w:left w:w="57" w:type="dxa"/>
              <w:right w:w="57" w:type="dxa"/>
            </w:tcMar>
            <w:vAlign w:val="center"/>
          </w:tcPr>
          <w:p>
            <w:pPr>
              <w:pStyle w:val="14"/>
              <w:jc w:val="center"/>
              <w:rPr>
                <w:rFonts w:eastAsia="宋体"/>
              </w:rPr>
            </w:pPr>
          </w:p>
        </w:tc>
        <w:tc>
          <w:tcPr>
            <w:tcW w:w="715" w:type="dxa"/>
            <w:vMerge w:val="continue"/>
            <w:shd w:val="clear" w:color="auto" w:fill="auto"/>
            <w:vAlign w:val="center"/>
          </w:tcPr>
          <w:p>
            <w:pPr>
              <w:pStyle w:val="14"/>
              <w:jc w:val="center"/>
              <w:rPr>
                <w:rFonts w:eastAsia="宋体"/>
              </w:rPr>
            </w:pPr>
          </w:p>
        </w:tc>
        <w:tc>
          <w:tcPr>
            <w:tcW w:w="1560" w:type="dxa"/>
            <w:tcBorders>
              <w:left w:val="single" w:color="auto" w:sz="4" w:space="0"/>
            </w:tcBorders>
            <w:shd w:val="clear" w:color="auto" w:fill="auto"/>
            <w:vAlign w:val="center"/>
          </w:tcPr>
          <w:p>
            <w:pPr>
              <w:pStyle w:val="14"/>
              <w:jc w:val="center"/>
              <w:rPr>
                <w:rFonts w:eastAsia="宋体"/>
                <w:color w:val="000000"/>
                <w:szCs w:val="21"/>
              </w:rPr>
            </w:pPr>
            <w:r>
              <w:rPr>
                <w:rFonts w:hint="eastAsia" w:eastAsia="宋体"/>
                <w:color w:val="000000"/>
                <w:szCs w:val="21"/>
              </w:rPr>
              <w:t>计算</w:t>
            </w:r>
            <w:r>
              <w:rPr>
                <w:rFonts w:eastAsia="宋体"/>
                <w:color w:val="000000"/>
                <w:szCs w:val="21"/>
              </w:rPr>
              <w:t>题</w:t>
            </w:r>
          </w:p>
        </w:tc>
        <w:tc>
          <w:tcPr>
            <w:tcW w:w="3260" w:type="dxa"/>
            <w:tcBorders>
              <w:left w:val="single" w:color="auto" w:sz="4" w:space="0"/>
              <w:bottom w:val="single" w:color="auto" w:sz="4" w:space="0"/>
            </w:tcBorders>
            <w:shd w:val="clear" w:color="auto" w:fill="auto"/>
            <w:vAlign w:val="center"/>
          </w:tcPr>
          <w:p>
            <w:pPr>
              <w:pStyle w:val="14"/>
              <w:rPr>
                <w:rFonts w:eastAsia="宋体"/>
                <w:color w:val="000000"/>
                <w:szCs w:val="21"/>
              </w:rPr>
            </w:pPr>
            <w:r>
              <w:rPr>
                <w:rFonts w:hint="eastAsia" w:eastAsia="宋体"/>
                <w:color w:val="000000"/>
                <w:szCs w:val="21"/>
              </w:rPr>
              <w:t>主要考核定量定性方法，方法评价等。</w:t>
            </w:r>
          </w:p>
        </w:tc>
        <w:tc>
          <w:tcPr>
            <w:tcW w:w="638" w:type="dxa"/>
            <w:shd w:val="clear" w:color="auto" w:fill="FFFFFF"/>
            <w:vAlign w:val="center"/>
          </w:tcPr>
          <w:p>
            <w:pPr>
              <w:pStyle w:val="14"/>
              <w:jc w:val="center"/>
              <w:rPr>
                <w:rFonts w:eastAsia="宋体"/>
                <w:color w:val="000000"/>
                <w:szCs w:val="21"/>
              </w:rPr>
            </w:pPr>
            <w:r>
              <w:rPr>
                <w:rFonts w:hint="eastAsia" w:eastAsia="宋体"/>
                <w:color w:val="000000"/>
                <w:szCs w:val="21"/>
              </w:rPr>
              <w:t>4%</w:t>
            </w:r>
          </w:p>
        </w:tc>
        <w:tc>
          <w:tcPr>
            <w:tcW w:w="638" w:type="dxa"/>
            <w:shd w:val="clear" w:color="auto" w:fill="FFFFFF"/>
            <w:vAlign w:val="center"/>
          </w:tcPr>
          <w:p>
            <w:pPr>
              <w:pStyle w:val="14"/>
              <w:jc w:val="center"/>
              <w:rPr>
                <w:rFonts w:eastAsia="宋体"/>
                <w:color w:val="000000"/>
                <w:szCs w:val="21"/>
              </w:rPr>
            </w:pPr>
            <w:r>
              <w:rPr>
                <w:rFonts w:hint="eastAsia" w:eastAsia="宋体"/>
                <w:color w:val="000000"/>
                <w:szCs w:val="21"/>
              </w:rPr>
              <w:t>4%</w:t>
            </w:r>
          </w:p>
        </w:tc>
        <w:tc>
          <w:tcPr>
            <w:tcW w:w="638" w:type="dxa"/>
            <w:shd w:val="clear" w:color="auto" w:fill="FFFFFF"/>
            <w:vAlign w:val="center"/>
          </w:tcPr>
          <w:p>
            <w:pPr>
              <w:pStyle w:val="14"/>
              <w:jc w:val="center"/>
              <w:rPr>
                <w:rFonts w:eastAsia="宋体"/>
                <w:color w:val="000000"/>
                <w:szCs w:val="21"/>
              </w:rPr>
            </w:pPr>
          </w:p>
        </w:tc>
        <w:tc>
          <w:tcPr>
            <w:tcW w:w="638" w:type="dxa"/>
            <w:shd w:val="clear" w:color="auto" w:fill="FFFFFF"/>
            <w:vAlign w:val="center"/>
          </w:tcPr>
          <w:p>
            <w:pPr>
              <w:pStyle w:val="14"/>
              <w:jc w:val="center"/>
              <w:rPr>
                <w:rFonts w:eastAsia="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043" w:type="dxa"/>
            <w:shd w:val="clear" w:color="auto" w:fill="auto"/>
            <w:tcMar>
              <w:left w:w="57" w:type="dxa"/>
              <w:right w:w="57" w:type="dxa"/>
            </w:tcMar>
            <w:vAlign w:val="center"/>
          </w:tcPr>
          <w:p>
            <w:pPr>
              <w:pStyle w:val="14"/>
              <w:jc w:val="center"/>
              <w:rPr>
                <w:rFonts w:eastAsia="宋体"/>
              </w:rPr>
            </w:pPr>
            <w:r>
              <w:rPr>
                <w:rFonts w:hint="eastAsia" w:eastAsia="宋体"/>
              </w:rPr>
              <w:t>合    计</w:t>
            </w:r>
          </w:p>
        </w:tc>
        <w:tc>
          <w:tcPr>
            <w:tcW w:w="715" w:type="dxa"/>
            <w:shd w:val="clear" w:color="auto" w:fill="auto"/>
            <w:vAlign w:val="center"/>
          </w:tcPr>
          <w:p>
            <w:pPr>
              <w:pStyle w:val="14"/>
              <w:jc w:val="center"/>
              <w:rPr>
                <w:rFonts w:eastAsia="宋体"/>
              </w:rPr>
            </w:pPr>
            <w:r>
              <w:rPr>
                <w:rFonts w:hint="eastAsia" w:eastAsia="宋体"/>
              </w:rPr>
              <w:t>100%</w:t>
            </w:r>
          </w:p>
        </w:tc>
        <w:tc>
          <w:tcPr>
            <w:tcW w:w="4820" w:type="dxa"/>
            <w:gridSpan w:val="2"/>
            <w:tcBorders>
              <w:left w:val="single" w:color="auto" w:sz="4" w:space="0"/>
            </w:tcBorders>
            <w:shd w:val="clear" w:color="auto" w:fill="auto"/>
            <w:vAlign w:val="center"/>
          </w:tcPr>
          <w:p>
            <w:pPr>
              <w:pStyle w:val="14"/>
              <w:rPr>
                <w:rFonts w:eastAsia="宋体"/>
                <w:color w:val="000000"/>
                <w:szCs w:val="21"/>
              </w:rPr>
            </w:pPr>
          </w:p>
        </w:tc>
        <w:tc>
          <w:tcPr>
            <w:tcW w:w="638" w:type="dxa"/>
            <w:shd w:val="clear" w:color="auto" w:fill="FFFFFF"/>
            <w:vAlign w:val="center"/>
          </w:tcPr>
          <w:p>
            <w:pPr>
              <w:pStyle w:val="14"/>
              <w:jc w:val="center"/>
              <w:rPr>
                <w:rFonts w:eastAsia="宋体"/>
                <w:color w:val="000000"/>
                <w:szCs w:val="21"/>
              </w:rPr>
            </w:pPr>
            <w:r>
              <w:rPr>
                <w:rFonts w:hint="eastAsia" w:eastAsia="宋体"/>
                <w:color w:val="000000"/>
                <w:szCs w:val="21"/>
              </w:rPr>
              <w:t>50%</w:t>
            </w:r>
          </w:p>
        </w:tc>
        <w:tc>
          <w:tcPr>
            <w:tcW w:w="638" w:type="dxa"/>
            <w:shd w:val="clear" w:color="auto" w:fill="FFFFFF"/>
            <w:vAlign w:val="center"/>
          </w:tcPr>
          <w:p>
            <w:pPr>
              <w:pStyle w:val="14"/>
              <w:jc w:val="center"/>
              <w:rPr>
                <w:rFonts w:eastAsia="宋体"/>
                <w:color w:val="000000"/>
                <w:szCs w:val="21"/>
              </w:rPr>
            </w:pPr>
            <w:r>
              <w:rPr>
                <w:rFonts w:hint="eastAsia" w:eastAsia="宋体"/>
                <w:color w:val="000000"/>
                <w:szCs w:val="21"/>
              </w:rPr>
              <w:t>50%</w:t>
            </w:r>
          </w:p>
        </w:tc>
        <w:tc>
          <w:tcPr>
            <w:tcW w:w="638" w:type="dxa"/>
            <w:shd w:val="clear" w:color="auto" w:fill="FFFFFF"/>
            <w:vAlign w:val="center"/>
          </w:tcPr>
          <w:p>
            <w:pPr>
              <w:pStyle w:val="14"/>
              <w:jc w:val="center"/>
              <w:rPr>
                <w:rFonts w:eastAsia="宋体"/>
                <w:color w:val="000000"/>
                <w:szCs w:val="21"/>
              </w:rPr>
            </w:pPr>
          </w:p>
        </w:tc>
        <w:tc>
          <w:tcPr>
            <w:tcW w:w="638" w:type="dxa"/>
            <w:shd w:val="clear" w:color="auto" w:fill="FFFFFF"/>
            <w:vAlign w:val="center"/>
          </w:tcPr>
          <w:p>
            <w:pPr>
              <w:pStyle w:val="14"/>
              <w:jc w:val="center"/>
              <w:rPr>
                <w:rFonts w:eastAsia="宋体"/>
                <w:color w:val="000000"/>
                <w:szCs w:val="21"/>
              </w:rPr>
            </w:pPr>
          </w:p>
        </w:tc>
      </w:tr>
    </w:tbl>
    <w:p>
      <w:pPr>
        <w:spacing w:line="360" w:lineRule="auto"/>
        <w:rPr>
          <w:sz w:val="24"/>
          <w:szCs w:val="22"/>
        </w:rPr>
      </w:pPr>
      <w:r>
        <w:rPr>
          <w:rFonts w:hint="eastAsia"/>
          <w:sz w:val="24"/>
          <w:szCs w:val="22"/>
        </w:rPr>
        <w:t>备注：</w:t>
      </w:r>
      <w:r>
        <w:rPr>
          <w:sz w:val="24"/>
          <w:szCs w:val="22"/>
        </w:rPr>
        <w:t>课程目标达成度计算方法如下：</w:t>
      </w:r>
    </w:p>
    <w:p>
      <w:pPr>
        <w:spacing w:line="360" w:lineRule="auto"/>
        <w:jc w:val="center"/>
        <w:rPr>
          <w:sz w:val="24"/>
          <w:szCs w:val="22"/>
        </w:rPr>
      </w:pPr>
      <w:r>
        <w:rPr>
          <w:position w:val="-26"/>
          <w:sz w:val="24"/>
          <w:szCs w:val="22"/>
        </w:rPr>
        <w:object>
          <v:shape id="_x0000_i1034" o:spt="75" type="#_x0000_t75" style="height:32.4pt;width:336.8pt;" o:ole="t" filled="f" o:preferrelative="t" stroked="f" coordsize="21600,21600">
            <v:path/>
            <v:fill on="f" focussize="0,0"/>
            <v:stroke on="f" joinstyle="miter"/>
            <v:imagedata r:id="rId20" o:title=""/>
            <o:lock v:ext="edit" aspectratio="t"/>
            <w10:wrap type="none"/>
            <w10:anchorlock/>
          </v:shape>
          <o:OLEObject Type="Embed" ProgID="Equation.DSMT4" ShapeID="_x0000_i1034" DrawAspect="Content" ObjectID="_1468075738" r:id="rId37">
            <o:LockedField>false</o:LockedField>
          </o:OLEObject>
        </w:object>
      </w:r>
    </w:p>
    <w:p>
      <w:pPr>
        <w:spacing w:line="360" w:lineRule="auto"/>
        <w:rPr>
          <w:b/>
          <w:sz w:val="28"/>
          <w:szCs w:val="28"/>
        </w:rPr>
      </w:pPr>
      <w:r>
        <w:rPr>
          <w:b/>
          <w:sz w:val="28"/>
          <w:szCs w:val="28"/>
        </w:rPr>
        <w:t>六、</w:t>
      </w:r>
      <w:r>
        <w:rPr>
          <w:rFonts w:hint="eastAsia"/>
          <w:b/>
          <w:sz w:val="28"/>
          <w:szCs w:val="28"/>
        </w:rPr>
        <w:t>有关说明</w:t>
      </w:r>
    </w:p>
    <w:p>
      <w:pPr>
        <w:spacing w:line="360" w:lineRule="auto"/>
        <w:ind w:firstLine="482" w:firstLineChars="200"/>
        <w:rPr>
          <w:b/>
          <w:color w:val="000000"/>
          <w:sz w:val="24"/>
        </w:rPr>
      </w:pPr>
      <w:r>
        <w:rPr>
          <w:rFonts w:hint="eastAsia"/>
          <w:b/>
          <w:color w:val="000000"/>
          <w:sz w:val="24"/>
        </w:rPr>
        <w:t>（一）持续改进</w:t>
      </w:r>
    </w:p>
    <w:p>
      <w:pPr>
        <w:autoSpaceDE w:val="0"/>
        <w:autoSpaceDN w:val="0"/>
        <w:adjustRightInd w:val="0"/>
        <w:spacing w:line="360" w:lineRule="auto"/>
        <w:ind w:firstLine="480" w:firstLineChars="200"/>
        <w:jc w:val="left"/>
        <w:rPr>
          <w:kern w:val="0"/>
          <w:sz w:val="24"/>
          <w:szCs w:val="21"/>
        </w:rPr>
      </w:pPr>
      <w:r>
        <w:rPr>
          <w:rFonts w:hint="eastAsia"/>
          <w:kern w:val="0"/>
          <w:sz w:val="24"/>
          <w:szCs w:val="21"/>
        </w:rPr>
        <w:t>本课程根据课后作业、实验、考勤、期末考试等考核情况，以及学生、教学督导的反馈意见，及时对教学中不足之处进行改进，并在下一轮课程教学中改进提高。针对课程目标设计出课程考核的方式、内容和评分标准，确保课程内容与教学方式能有效实现课程目标，使得考核结果能够证明课程目标达成。</w:t>
      </w:r>
    </w:p>
    <w:p>
      <w:pPr>
        <w:spacing w:line="360" w:lineRule="auto"/>
        <w:ind w:firstLine="482" w:firstLineChars="200"/>
        <w:rPr>
          <w:b/>
          <w:color w:val="000000"/>
          <w:sz w:val="24"/>
        </w:rPr>
      </w:pPr>
      <w:r>
        <w:rPr>
          <w:rFonts w:hint="eastAsia"/>
          <w:b/>
          <w:color w:val="000000"/>
          <w:sz w:val="24"/>
        </w:rPr>
        <w:t>（二）</w:t>
      </w:r>
      <w:r>
        <w:rPr>
          <w:b/>
          <w:color w:val="000000"/>
          <w:sz w:val="24"/>
        </w:rPr>
        <w:t>参考书目及学习资料</w:t>
      </w:r>
    </w:p>
    <w:p>
      <w:pPr>
        <w:pStyle w:val="15"/>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hanging="420" w:firstLineChars="0"/>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仪器分析（第三版），陈浩，科学出版社，2018.9</w:t>
      </w:r>
    </w:p>
    <w:p>
      <w:pPr>
        <w:pStyle w:val="15"/>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hanging="420" w:firstLineChars="0"/>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现代仪器分析实验技术：上册，孙东平、李羽让、纪明中、唐卫华，科学出版社，2018.8</w:t>
      </w:r>
    </w:p>
    <w:p>
      <w:pPr>
        <w:pStyle w:val="15"/>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hanging="420" w:firstLineChars="0"/>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仪器分析（第5版），朱明华、胡坪，高等教育出版社，2019-03-01；</w:t>
      </w:r>
    </w:p>
    <w:p>
      <w:pPr>
        <w:pStyle w:val="15"/>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hanging="420" w:firstLineChars="0"/>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现代仪器分析，袁存光 等 编，化学工业出版社，2012-10-01；</w:t>
      </w:r>
    </w:p>
    <w:p>
      <w:pPr>
        <w:pStyle w:val="15"/>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hanging="420" w:firstLineChars="0"/>
        <w:textAlignment w:val="auto"/>
        <w:rPr>
          <w:rFonts w:hint="eastAsia" w:ascii="Times New Roman" w:hAnsi="Times New Roman" w:eastAsia="宋体" w:cs="Times New Roman"/>
          <w:kern w:val="0"/>
          <w:sz w:val="24"/>
          <w:szCs w:val="21"/>
          <w:lang w:val="en-US" w:eastAsia="zh-CN" w:bidi="ar-SA"/>
        </w:rPr>
      </w:pPr>
      <w:bookmarkStart w:id="234" w:name="_Hlk86232385"/>
      <w:r>
        <w:rPr>
          <w:rFonts w:hint="eastAsia" w:ascii="Times New Roman" w:hAnsi="Times New Roman" w:eastAsia="宋体" w:cs="Times New Roman"/>
          <w:kern w:val="0"/>
          <w:sz w:val="24"/>
          <w:szCs w:val="21"/>
          <w:lang w:val="en-US" w:eastAsia="zh-CN" w:bidi="ar-SA"/>
        </w:rPr>
        <w:t>材料结构表征及应用,吴刚 编，化学工业出版社，2019-08-01；</w:t>
      </w:r>
      <w:bookmarkEnd w:id="234"/>
    </w:p>
    <w:p>
      <w:pPr>
        <w:pStyle w:val="15"/>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hanging="420" w:firstLineChars="0"/>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现代仪器分析，屠一锋 等著，科学出版社，2011-06-01；</w:t>
      </w:r>
    </w:p>
    <w:p>
      <w:pPr>
        <w:pStyle w:val="15"/>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hanging="420" w:firstLineChars="0"/>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现代材料分析测试技术（第二版），管学茂，王庆良，王庆平，胡文全 编，中国矿业大学出版社，2018-04-01；</w:t>
      </w:r>
    </w:p>
    <w:p>
      <w:pPr>
        <w:pStyle w:val="15"/>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hanging="420" w:firstLineChars="0"/>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材料分析测试技术——材料X射线衍射与电子显微分析，周玉 武高辉编，哈尔滨工业大学出版社，2019-01-01；</w:t>
      </w:r>
    </w:p>
    <w:p>
      <w:pPr>
        <w:pStyle w:val="15"/>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hanging="420" w:firstLineChars="0"/>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现代材料分析测试方法，郭立伟，朱艳，戴鸿滨 著，北京大学出版社，2014-02-01</w:t>
      </w:r>
    </w:p>
    <w:p>
      <w:pPr>
        <w:spacing w:line="360" w:lineRule="auto"/>
        <w:ind w:firstLine="480" w:firstLineChars="200"/>
        <w:rPr>
          <w:sz w:val="24"/>
          <w:szCs w:val="22"/>
        </w:rPr>
      </w:pPr>
    </w:p>
    <w:p>
      <w:pPr>
        <w:spacing w:line="360" w:lineRule="auto"/>
        <w:ind w:firstLine="480" w:firstLineChars="200"/>
        <w:rPr>
          <w:sz w:val="24"/>
          <w:szCs w:val="22"/>
        </w:rPr>
      </w:pPr>
    </w:p>
    <w:p>
      <w:pPr>
        <w:autoSpaceDE w:val="0"/>
        <w:autoSpaceDN w:val="0"/>
        <w:adjustRightInd w:val="0"/>
        <w:spacing w:line="360" w:lineRule="auto"/>
        <w:ind w:right="105" w:rightChars="50"/>
        <w:jc w:val="right"/>
        <w:rPr>
          <w:kern w:val="0"/>
          <w:sz w:val="24"/>
          <w:szCs w:val="21"/>
        </w:rPr>
      </w:pPr>
      <w:r>
        <w:rPr>
          <w:kern w:val="0"/>
          <w:sz w:val="24"/>
          <w:szCs w:val="21"/>
        </w:rPr>
        <w:t>执笔人：</w:t>
      </w:r>
      <w:r>
        <w:rPr>
          <w:rFonts w:hint="eastAsia"/>
          <w:kern w:val="0"/>
          <w:sz w:val="24"/>
          <w:szCs w:val="21"/>
        </w:rPr>
        <w:t xml:space="preserve">张 </w:t>
      </w:r>
      <w:r>
        <w:rPr>
          <w:kern w:val="0"/>
          <w:sz w:val="24"/>
          <w:szCs w:val="21"/>
        </w:rPr>
        <w:t xml:space="preserve"> </w:t>
      </w:r>
      <w:r>
        <w:rPr>
          <w:rFonts w:hint="eastAsia"/>
          <w:kern w:val="0"/>
          <w:sz w:val="24"/>
          <w:szCs w:val="21"/>
        </w:rPr>
        <w:t>欢</w:t>
      </w:r>
    </w:p>
    <w:p>
      <w:pPr>
        <w:autoSpaceDE w:val="0"/>
        <w:autoSpaceDN w:val="0"/>
        <w:adjustRightInd w:val="0"/>
        <w:spacing w:line="360" w:lineRule="auto"/>
        <w:ind w:right="105" w:rightChars="50"/>
        <w:jc w:val="right"/>
        <w:rPr>
          <w:kern w:val="0"/>
          <w:sz w:val="24"/>
          <w:szCs w:val="21"/>
        </w:rPr>
      </w:pPr>
      <w:r>
        <w:rPr>
          <w:kern w:val="0"/>
          <w:sz w:val="24"/>
          <w:szCs w:val="21"/>
        </w:rPr>
        <w:t>审定人：</w:t>
      </w:r>
      <w:r>
        <w:rPr>
          <w:rFonts w:hint="eastAsia"/>
          <w:kern w:val="0"/>
          <w:sz w:val="24"/>
          <w:szCs w:val="21"/>
        </w:rPr>
        <w:t>魏雪姣</w:t>
      </w:r>
    </w:p>
    <w:p>
      <w:pPr>
        <w:autoSpaceDE w:val="0"/>
        <w:autoSpaceDN w:val="0"/>
        <w:adjustRightInd w:val="0"/>
        <w:spacing w:line="360" w:lineRule="auto"/>
        <w:ind w:right="105" w:rightChars="50"/>
        <w:jc w:val="right"/>
        <w:rPr>
          <w:kern w:val="0"/>
          <w:sz w:val="24"/>
          <w:szCs w:val="21"/>
        </w:rPr>
      </w:pPr>
      <w:r>
        <w:rPr>
          <w:rFonts w:hint="eastAsia"/>
          <w:kern w:val="0"/>
          <w:sz w:val="24"/>
          <w:szCs w:val="21"/>
        </w:rPr>
        <w:t>审批</w:t>
      </w:r>
      <w:r>
        <w:rPr>
          <w:kern w:val="0"/>
          <w:sz w:val="24"/>
          <w:szCs w:val="21"/>
        </w:rPr>
        <w:t>人：</w:t>
      </w:r>
      <w:r>
        <w:rPr>
          <w:rFonts w:hint="eastAsia"/>
          <w:kern w:val="0"/>
          <w:sz w:val="24"/>
          <w:szCs w:val="21"/>
        </w:rPr>
        <w:t>吴泽颖</w:t>
      </w:r>
    </w:p>
    <w:p>
      <w:pPr>
        <w:autoSpaceDE w:val="0"/>
        <w:autoSpaceDN w:val="0"/>
        <w:adjustRightInd w:val="0"/>
        <w:spacing w:line="360" w:lineRule="auto"/>
        <w:ind w:right="105" w:rightChars="50"/>
        <w:jc w:val="right"/>
      </w:pPr>
      <w:r>
        <w:rPr>
          <w:rFonts w:hint="eastAsia"/>
          <w:kern w:val="0"/>
          <w:sz w:val="24"/>
          <w:szCs w:val="21"/>
        </w:rPr>
        <w:t>批准时间：202</w:t>
      </w:r>
      <w:r>
        <w:rPr>
          <w:kern w:val="0"/>
          <w:sz w:val="24"/>
          <w:szCs w:val="21"/>
        </w:rPr>
        <w:t>1</w:t>
      </w:r>
      <w:r>
        <w:rPr>
          <w:rFonts w:hint="eastAsia"/>
          <w:kern w:val="0"/>
          <w:sz w:val="24"/>
          <w:szCs w:val="21"/>
        </w:rPr>
        <w:t>.</w:t>
      </w:r>
      <w:r>
        <w:rPr>
          <w:kern w:val="0"/>
          <w:sz w:val="24"/>
          <w:szCs w:val="21"/>
        </w:rPr>
        <w:t>10</w:t>
      </w:r>
      <w:r>
        <w:rPr>
          <w:rFonts w:hint="eastAsia"/>
          <w:kern w:val="0"/>
          <w:sz w:val="24"/>
          <w:szCs w:val="21"/>
        </w:rPr>
        <w:t>.</w:t>
      </w:r>
      <w:r>
        <w:rPr>
          <w:kern w:val="0"/>
          <w:sz w:val="24"/>
          <w:szCs w:val="21"/>
        </w:rPr>
        <w:t>30</w:t>
      </w:r>
    </w:p>
    <w:p/>
    <w:p>
      <w:pPr>
        <w:autoSpaceDE w:val="0"/>
        <w:autoSpaceDN w:val="0"/>
        <w:adjustRightInd w:val="0"/>
        <w:spacing w:line="360" w:lineRule="auto"/>
        <w:ind w:right="960"/>
        <w:jc w:val="center"/>
        <w:rPr>
          <w:rFonts w:hint="eastAsia" w:eastAsiaTheme="minorEastAsia"/>
          <w:kern w:val="0"/>
          <w:sz w:val="24"/>
          <w:szCs w:val="21"/>
          <w:lang w:val="en-US" w:eastAsia="zh-CN"/>
        </w:rPr>
      </w:pPr>
    </w:p>
    <w:p>
      <w:pPr>
        <w:autoSpaceDE w:val="0"/>
        <w:autoSpaceDN w:val="0"/>
        <w:adjustRightInd w:val="0"/>
        <w:spacing w:line="360" w:lineRule="auto"/>
        <w:ind w:right="960"/>
        <w:jc w:val="center"/>
        <w:rPr>
          <w:rFonts w:hint="eastAsia" w:eastAsiaTheme="minorEastAsia"/>
          <w:kern w:val="0"/>
          <w:sz w:val="24"/>
          <w:szCs w:val="21"/>
          <w:lang w:val="en-US" w:eastAsia="zh-CN"/>
        </w:rPr>
      </w:pPr>
    </w:p>
    <w:p>
      <w:pPr>
        <w:autoSpaceDE w:val="0"/>
        <w:autoSpaceDN w:val="0"/>
        <w:adjustRightInd w:val="0"/>
        <w:spacing w:line="360" w:lineRule="auto"/>
        <w:ind w:right="960"/>
        <w:jc w:val="center"/>
        <w:rPr>
          <w:rFonts w:hint="eastAsia" w:eastAsiaTheme="minorEastAsia"/>
          <w:kern w:val="0"/>
          <w:sz w:val="24"/>
          <w:szCs w:val="21"/>
          <w:lang w:val="en-US" w:eastAsia="zh-CN"/>
        </w:rPr>
      </w:pPr>
    </w:p>
    <w:p>
      <w:pPr>
        <w:autoSpaceDE w:val="0"/>
        <w:autoSpaceDN w:val="0"/>
        <w:adjustRightInd w:val="0"/>
        <w:spacing w:line="360" w:lineRule="auto"/>
        <w:ind w:right="960"/>
        <w:jc w:val="center"/>
        <w:rPr>
          <w:rFonts w:hint="eastAsia" w:eastAsiaTheme="minorEastAsia"/>
          <w:kern w:val="0"/>
          <w:sz w:val="24"/>
          <w:szCs w:val="21"/>
          <w:lang w:val="en-US" w:eastAsia="zh-CN"/>
        </w:rPr>
      </w:pPr>
    </w:p>
    <w:p>
      <w:pPr>
        <w:autoSpaceDE w:val="0"/>
        <w:autoSpaceDN w:val="0"/>
        <w:adjustRightInd w:val="0"/>
        <w:spacing w:line="360" w:lineRule="auto"/>
        <w:ind w:right="960"/>
        <w:jc w:val="center"/>
        <w:rPr>
          <w:rFonts w:hint="eastAsia" w:eastAsiaTheme="minorEastAsia"/>
          <w:kern w:val="0"/>
          <w:sz w:val="24"/>
          <w:szCs w:val="21"/>
          <w:lang w:val="en-US" w:eastAsia="zh-CN"/>
        </w:rPr>
      </w:pPr>
    </w:p>
    <w:p>
      <w:pPr>
        <w:autoSpaceDE w:val="0"/>
        <w:autoSpaceDN w:val="0"/>
        <w:adjustRightInd w:val="0"/>
        <w:spacing w:line="360" w:lineRule="auto"/>
        <w:ind w:right="960"/>
        <w:jc w:val="center"/>
        <w:rPr>
          <w:rFonts w:hint="eastAsia" w:eastAsiaTheme="minorEastAsia"/>
          <w:kern w:val="0"/>
          <w:sz w:val="24"/>
          <w:szCs w:val="21"/>
          <w:lang w:val="en-US" w:eastAsia="zh-CN"/>
        </w:rPr>
      </w:pPr>
    </w:p>
    <w:p>
      <w:pPr>
        <w:autoSpaceDE w:val="0"/>
        <w:autoSpaceDN w:val="0"/>
        <w:adjustRightInd w:val="0"/>
        <w:spacing w:line="360" w:lineRule="auto"/>
        <w:ind w:right="960"/>
        <w:jc w:val="center"/>
        <w:rPr>
          <w:rFonts w:hint="eastAsia" w:eastAsiaTheme="minorEastAsia"/>
          <w:kern w:val="0"/>
          <w:sz w:val="24"/>
          <w:szCs w:val="21"/>
          <w:lang w:val="en-US" w:eastAsia="zh-CN"/>
        </w:rPr>
      </w:pPr>
    </w:p>
    <w:p>
      <w:pPr>
        <w:autoSpaceDE w:val="0"/>
        <w:autoSpaceDN w:val="0"/>
        <w:adjustRightInd w:val="0"/>
        <w:spacing w:line="360" w:lineRule="auto"/>
        <w:ind w:right="960"/>
        <w:jc w:val="center"/>
        <w:rPr>
          <w:rFonts w:hint="eastAsia" w:eastAsiaTheme="minorEastAsia"/>
          <w:kern w:val="0"/>
          <w:sz w:val="24"/>
          <w:szCs w:val="21"/>
          <w:lang w:val="en-US" w:eastAsia="zh-CN"/>
        </w:rPr>
      </w:pPr>
    </w:p>
    <w:p>
      <w:pPr>
        <w:autoSpaceDE w:val="0"/>
        <w:autoSpaceDN w:val="0"/>
        <w:adjustRightInd w:val="0"/>
        <w:spacing w:line="360" w:lineRule="auto"/>
        <w:ind w:right="960"/>
        <w:jc w:val="center"/>
        <w:rPr>
          <w:rFonts w:hint="eastAsia" w:eastAsiaTheme="minorEastAsia"/>
          <w:kern w:val="0"/>
          <w:sz w:val="24"/>
          <w:szCs w:val="21"/>
          <w:lang w:val="en-US" w:eastAsia="zh-CN"/>
        </w:rPr>
      </w:pPr>
    </w:p>
    <w:p>
      <w:pPr>
        <w:autoSpaceDE w:val="0"/>
        <w:autoSpaceDN w:val="0"/>
        <w:adjustRightInd w:val="0"/>
        <w:spacing w:line="360" w:lineRule="auto"/>
        <w:ind w:right="960"/>
        <w:jc w:val="center"/>
        <w:rPr>
          <w:rFonts w:hint="eastAsia" w:eastAsiaTheme="minorEastAsia"/>
          <w:kern w:val="0"/>
          <w:sz w:val="24"/>
          <w:szCs w:val="21"/>
          <w:lang w:val="en-US" w:eastAsia="zh-CN"/>
        </w:rPr>
      </w:pPr>
    </w:p>
    <w:p>
      <w:pPr>
        <w:autoSpaceDE w:val="0"/>
        <w:autoSpaceDN w:val="0"/>
        <w:adjustRightInd w:val="0"/>
        <w:spacing w:line="360" w:lineRule="auto"/>
        <w:ind w:right="960"/>
        <w:jc w:val="center"/>
        <w:rPr>
          <w:rFonts w:hint="eastAsia" w:eastAsiaTheme="minorEastAsia"/>
          <w:kern w:val="0"/>
          <w:sz w:val="24"/>
          <w:szCs w:val="21"/>
          <w:lang w:val="en-US" w:eastAsia="zh-CN"/>
        </w:rPr>
      </w:pPr>
    </w:p>
    <w:p>
      <w:pPr>
        <w:autoSpaceDE w:val="0"/>
        <w:autoSpaceDN w:val="0"/>
        <w:adjustRightInd w:val="0"/>
        <w:spacing w:line="360" w:lineRule="auto"/>
        <w:ind w:right="960"/>
        <w:jc w:val="center"/>
        <w:rPr>
          <w:rFonts w:hint="eastAsia" w:eastAsiaTheme="minorEastAsia"/>
          <w:kern w:val="0"/>
          <w:sz w:val="24"/>
          <w:szCs w:val="21"/>
          <w:lang w:val="en-US" w:eastAsia="zh-CN"/>
        </w:rPr>
      </w:pPr>
    </w:p>
    <w:p>
      <w:pPr>
        <w:spacing w:line="312" w:lineRule="auto"/>
        <w:jc w:val="center"/>
        <w:rPr>
          <w:rFonts w:hint="eastAsia"/>
          <w:b/>
          <w:bCs/>
          <w:sz w:val="30"/>
        </w:rPr>
      </w:pPr>
    </w:p>
    <w:p>
      <w:pPr>
        <w:pStyle w:val="3"/>
        <w:bidi w:val="0"/>
        <w:jc w:val="center"/>
      </w:pPr>
      <w:bookmarkStart w:id="235" w:name="_Toc28479"/>
      <w:bookmarkStart w:id="236" w:name="_Toc91"/>
      <w:r>
        <w:rPr>
          <w:rFonts w:hint="eastAsia"/>
        </w:rPr>
        <w:t>生物化学</w:t>
      </w:r>
      <w:r>
        <w:t>课程教学大纲</w:t>
      </w:r>
      <w:bookmarkEnd w:id="235"/>
      <w:bookmarkEnd w:id="236"/>
    </w:p>
    <w:p>
      <w:pPr>
        <w:spacing w:line="312" w:lineRule="auto"/>
        <w:jc w:val="center"/>
        <w:rPr>
          <w:rFonts w:ascii="Times New Roman" w:hAnsi="Times New Roman"/>
          <w:b/>
          <w:bCs/>
          <w:sz w:val="30"/>
        </w:rPr>
      </w:pPr>
      <w:r>
        <w:rPr>
          <w:rFonts w:ascii="Times New Roman" w:hAnsi="Times New Roman"/>
          <w:b/>
          <w:bCs/>
          <w:sz w:val="30"/>
        </w:rPr>
        <w:t>（</w:t>
      </w:r>
      <w:r>
        <w:rPr>
          <w:rFonts w:ascii="Times New Roman" w:hAnsi="Times New Roman"/>
          <w:bCs/>
          <w:sz w:val="30"/>
        </w:rPr>
        <w:t>biological chemistry</w:t>
      </w:r>
      <w:r>
        <w:rPr>
          <w:rFonts w:ascii="Times New Roman" w:hAnsi="Times New Roman"/>
          <w:b/>
          <w:bCs/>
          <w:sz w:val="30"/>
        </w:rPr>
        <w:t>）</w:t>
      </w:r>
    </w:p>
    <w:p>
      <w:pPr>
        <w:spacing w:line="360" w:lineRule="auto"/>
        <w:ind w:firstLine="551" w:firstLineChars="196"/>
        <w:rPr>
          <w:rFonts w:ascii="Times New Roman" w:hAnsi="Times New Roman"/>
          <w:b/>
          <w:sz w:val="28"/>
          <w:szCs w:val="28"/>
        </w:rPr>
      </w:pPr>
      <w:r>
        <w:rPr>
          <w:rFonts w:ascii="Times New Roman" w:hAnsi="Times New Roman"/>
          <w:b/>
          <w:sz w:val="28"/>
          <w:szCs w:val="28"/>
        </w:rPr>
        <w:t>一、课程概况</w:t>
      </w:r>
    </w:p>
    <w:p>
      <w:pPr>
        <w:spacing w:line="360" w:lineRule="auto"/>
        <w:ind w:firstLine="482" w:firstLineChars="200"/>
        <w:rPr>
          <w:rFonts w:ascii="Times New Roman" w:hAnsi="Times New Roman"/>
          <w:b/>
          <w:sz w:val="28"/>
          <w:szCs w:val="28"/>
        </w:rPr>
      </w:pPr>
      <w:r>
        <w:rPr>
          <w:rFonts w:ascii="Times New Roman" w:hAnsi="Times New Roman"/>
          <w:b/>
          <w:bCs/>
          <w:kern w:val="0"/>
          <w:sz w:val="24"/>
        </w:rPr>
        <w:t>课程代码</w:t>
      </w:r>
      <w:r>
        <w:rPr>
          <w:rFonts w:ascii="Times New Roman" w:hAnsi="Times New Roman"/>
          <w:b/>
          <w:kern w:val="0"/>
          <w:sz w:val="24"/>
        </w:rPr>
        <w:t>：</w:t>
      </w:r>
      <w:r>
        <w:rPr>
          <w:rFonts w:ascii="Times New Roman" w:hAnsi="Times New Roman"/>
          <w:kern w:val="0"/>
          <w:sz w:val="24"/>
        </w:rPr>
        <w:t>2501019</w:t>
      </w:r>
    </w:p>
    <w:p>
      <w:pPr>
        <w:spacing w:line="360" w:lineRule="auto"/>
        <w:ind w:firstLine="482" w:firstLineChars="200"/>
        <w:rPr>
          <w:rFonts w:ascii="Times New Roman" w:hAnsi="Times New Roman"/>
          <w:b/>
          <w:kern w:val="0"/>
          <w:sz w:val="24"/>
        </w:rPr>
      </w:pPr>
      <w:r>
        <w:rPr>
          <w:rFonts w:ascii="Times New Roman" w:hAnsi="Times New Roman"/>
          <w:b/>
          <w:bCs/>
          <w:kern w:val="0"/>
          <w:sz w:val="24"/>
        </w:rPr>
        <w:t>学    分</w:t>
      </w:r>
      <w:r>
        <w:rPr>
          <w:rFonts w:ascii="Times New Roman" w:hAnsi="Times New Roman"/>
          <w:b/>
          <w:kern w:val="0"/>
          <w:sz w:val="24"/>
        </w:rPr>
        <w:t>：</w:t>
      </w:r>
      <w:r>
        <w:rPr>
          <w:rFonts w:ascii="Times New Roman" w:hAnsi="Times New Roman"/>
          <w:kern w:val="0"/>
          <w:sz w:val="24"/>
        </w:rPr>
        <w:t>2</w:t>
      </w:r>
    </w:p>
    <w:p>
      <w:pPr>
        <w:spacing w:line="360" w:lineRule="auto"/>
        <w:ind w:firstLine="482" w:firstLineChars="200"/>
        <w:rPr>
          <w:rFonts w:ascii="Times New Roman" w:hAnsi="Times New Roman"/>
          <w:kern w:val="0"/>
          <w:sz w:val="24"/>
        </w:rPr>
      </w:pPr>
      <w:r>
        <w:rPr>
          <w:rFonts w:ascii="Times New Roman" w:hAnsi="Times New Roman"/>
          <w:b/>
          <w:bCs/>
          <w:kern w:val="0"/>
          <w:sz w:val="24"/>
        </w:rPr>
        <w:t>学    时</w:t>
      </w:r>
      <w:r>
        <w:rPr>
          <w:rFonts w:ascii="Times New Roman" w:hAnsi="Times New Roman"/>
          <w:b/>
          <w:kern w:val="0"/>
          <w:sz w:val="24"/>
        </w:rPr>
        <w:t>：</w:t>
      </w:r>
      <w:r>
        <w:rPr>
          <w:rFonts w:ascii="Times New Roman" w:hAnsi="Times New Roman"/>
          <w:kern w:val="0"/>
          <w:sz w:val="24"/>
        </w:rPr>
        <w:t>32（其中：讲授学时32）</w:t>
      </w:r>
    </w:p>
    <w:p>
      <w:pPr>
        <w:spacing w:line="360" w:lineRule="auto"/>
        <w:ind w:firstLine="482" w:firstLineChars="200"/>
        <w:rPr>
          <w:rFonts w:ascii="Times New Roman" w:hAnsi="Times New Roman"/>
          <w:b/>
          <w:bCs/>
          <w:kern w:val="0"/>
          <w:sz w:val="24"/>
        </w:rPr>
      </w:pPr>
      <w:r>
        <w:rPr>
          <w:rFonts w:ascii="Times New Roman" w:hAnsi="Times New Roman"/>
          <w:b/>
          <w:bCs/>
          <w:kern w:val="0"/>
          <w:sz w:val="24"/>
        </w:rPr>
        <w:t>先修课程</w:t>
      </w:r>
      <w:r>
        <w:rPr>
          <w:rFonts w:ascii="Times New Roman" w:hAnsi="Times New Roman"/>
          <w:b/>
          <w:kern w:val="0"/>
          <w:sz w:val="24"/>
        </w:rPr>
        <w:t>：</w:t>
      </w:r>
      <w:r>
        <w:rPr>
          <w:rFonts w:ascii="Times New Roman" w:hAnsi="Times New Roman"/>
          <w:kern w:val="0"/>
          <w:sz w:val="24"/>
        </w:rPr>
        <w:t>《无机化学》、《有机化学》</w:t>
      </w:r>
    </w:p>
    <w:p>
      <w:pPr>
        <w:spacing w:line="360" w:lineRule="auto"/>
        <w:ind w:firstLine="482" w:firstLineChars="200"/>
        <w:rPr>
          <w:rFonts w:ascii="Times New Roman" w:hAnsi="Times New Roman"/>
          <w:kern w:val="0"/>
          <w:sz w:val="24"/>
        </w:rPr>
      </w:pPr>
      <w:r>
        <w:rPr>
          <w:rFonts w:ascii="Times New Roman" w:hAnsi="Times New Roman"/>
          <w:b/>
          <w:bCs/>
          <w:kern w:val="0"/>
          <w:sz w:val="24"/>
        </w:rPr>
        <w:t>适用专业</w:t>
      </w:r>
      <w:r>
        <w:rPr>
          <w:rFonts w:ascii="Times New Roman" w:hAnsi="Times New Roman"/>
          <w:b/>
          <w:kern w:val="0"/>
          <w:sz w:val="24"/>
        </w:rPr>
        <w:t>：</w:t>
      </w:r>
      <w:r>
        <w:rPr>
          <w:rFonts w:ascii="Times New Roman" w:hAnsi="Times New Roman"/>
          <w:kern w:val="0"/>
          <w:sz w:val="24"/>
        </w:rPr>
        <w:t>化学工程与工艺专业、应用化学专业</w:t>
      </w:r>
    </w:p>
    <w:p>
      <w:pPr>
        <w:spacing w:line="360" w:lineRule="auto"/>
        <w:ind w:firstLine="482" w:firstLineChars="200"/>
        <w:rPr>
          <w:rFonts w:ascii="Times New Roman" w:hAnsi="Times New Roman"/>
          <w:kern w:val="0"/>
          <w:sz w:val="24"/>
        </w:rPr>
      </w:pPr>
      <w:r>
        <w:rPr>
          <w:rFonts w:ascii="Times New Roman" w:hAnsi="Times New Roman"/>
          <w:b/>
          <w:bCs/>
          <w:kern w:val="0"/>
          <w:sz w:val="24"/>
        </w:rPr>
        <w:t>建议教材</w:t>
      </w:r>
      <w:r>
        <w:rPr>
          <w:rFonts w:ascii="Times New Roman" w:hAnsi="Times New Roman"/>
          <w:b/>
          <w:kern w:val="0"/>
          <w:sz w:val="24"/>
        </w:rPr>
        <w:t>：</w:t>
      </w:r>
      <w:r>
        <w:rPr>
          <w:rFonts w:ascii="Times New Roman" w:hAnsi="Times New Roman"/>
          <w:kern w:val="0"/>
          <w:sz w:val="24"/>
        </w:rPr>
        <w:t>《</w:t>
      </w:r>
      <w:r>
        <w:rPr>
          <w:rFonts w:ascii="Times New Roman" w:hAnsi="Times New Roman"/>
          <w:bCs/>
          <w:kern w:val="0"/>
          <w:sz w:val="24"/>
        </w:rPr>
        <w:t>生物化学</w:t>
      </w:r>
      <w:r>
        <w:rPr>
          <w:rFonts w:ascii="Times New Roman" w:hAnsi="Times New Roman"/>
          <w:kern w:val="0"/>
          <w:sz w:val="24"/>
        </w:rPr>
        <w:t>》，吴梧桐，人民卫生出版社，2016年2月第六版</w:t>
      </w:r>
    </w:p>
    <w:p>
      <w:pPr>
        <w:spacing w:line="360" w:lineRule="auto"/>
        <w:ind w:firstLine="482" w:firstLineChars="200"/>
        <w:rPr>
          <w:rFonts w:ascii="Times New Roman" w:hAnsi="Times New Roman"/>
          <w:kern w:val="0"/>
          <w:sz w:val="24"/>
        </w:rPr>
      </w:pPr>
      <w:r>
        <w:rPr>
          <w:rFonts w:ascii="Times New Roman" w:hAnsi="Times New Roman"/>
          <w:b/>
          <w:bCs/>
          <w:kern w:val="0"/>
          <w:sz w:val="24"/>
        </w:rPr>
        <w:t>课程归口：</w:t>
      </w:r>
      <w:r>
        <w:rPr>
          <w:rFonts w:ascii="Times New Roman" w:hAnsi="Times New Roman"/>
          <w:bCs/>
          <w:kern w:val="0"/>
          <w:sz w:val="24"/>
        </w:rPr>
        <w:t>化工与材料</w:t>
      </w:r>
      <w:r>
        <w:rPr>
          <w:rFonts w:ascii="Times New Roman" w:hAnsi="Times New Roman"/>
          <w:kern w:val="0"/>
          <w:sz w:val="24"/>
        </w:rPr>
        <w:t>学院</w:t>
      </w:r>
    </w:p>
    <w:p>
      <w:pPr>
        <w:spacing w:line="360" w:lineRule="auto"/>
        <w:ind w:firstLine="482" w:firstLineChars="200"/>
        <w:rPr>
          <w:rFonts w:ascii="Times New Roman" w:hAnsi="Times New Roman"/>
          <w:b/>
          <w:bCs/>
          <w:sz w:val="24"/>
        </w:rPr>
      </w:pPr>
      <w:r>
        <w:rPr>
          <w:rFonts w:ascii="Times New Roman" w:hAnsi="Times New Roman"/>
          <w:b/>
          <w:bCs/>
          <w:sz w:val="24"/>
        </w:rPr>
        <w:t>课程团队：</w:t>
      </w:r>
      <w:r>
        <w:rPr>
          <w:rFonts w:ascii="Times New Roman" w:hAnsi="Times New Roman"/>
          <w:sz w:val="24"/>
        </w:rPr>
        <w:t>王晋方、乐传俊、吴泽颖、王文娟、丁琳琳、张震威等</w:t>
      </w:r>
    </w:p>
    <w:p>
      <w:pPr>
        <w:pStyle w:val="5"/>
        <w:spacing w:line="360" w:lineRule="auto"/>
        <w:ind w:firstLine="482" w:firstLineChars="200"/>
        <w:rPr>
          <w:rFonts w:hint="default" w:ascii="Times New Roman" w:hAnsi="Times New Roman"/>
          <w:bCs/>
          <w:color w:val="000000"/>
        </w:rPr>
      </w:pPr>
      <w:r>
        <w:rPr>
          <w:rFonts w:hint="default" w:ascii="Times New Roman" w:hAnsi="Times New Roman"/>
          <w:b/>
          <w:bCs/>
        </w:rPr>
        <w:t>课程的性质与任务：</w:t>
      </w:r>
      <w:r>
        <w:rPr>
          <w:rFonts w:hint="default" w:ascii="Times New Roman" w:hAnsi="Times New Roman"/>
          <w:bCs/>
          <w:color w:val="000000"/>
        </w:rPr>
        <w:t>生物化学是以化学的理论和方法为主要手段，研究生物体内基本物质的化学成分、分子结构及其生物功能之间的关系，以及在生命活动过程中的化学变化的规律的一门课程</w:t>
      </w:r>
      <w:r>
        <w:rPr>
          <w:rFonts w:hint="default" w:ascii="Times New Roman" w:hAnsi="Times New Roman"/>
          <w:color w:val="000000"/>
        </w:rPr>
        <w:t>，具有重要的理论和实践意义</w:t>
      </w:r>
      <w:r>
        <w:rPr>
          <w:rFonts w:hint="default" w:ascii="Times New Roman" w:hAnsi="Times New Roman"/>
          <w:bCs/>
          <w:color w:val="000000"/>
        </w:rPr>
        <w:t>。</w:t>
      </w:r>
    </w:p>
    <w:p>
      <w:pPr>
        <w:pStyle w:val="5"/>
        <w:spacing w:line="360" w:lineRule="auto"/>
        <w:ind w:firstLine="480" w:firstLineChars="200"/>
        <w:rPr>
          <w:rFonts w:hint="default" w:ascii="Times New Roman" w:hAnsi="Times New Roman"/>
        </w:rPr>
      </w:pPr>
      <w:r>
        <w:rPr>
          <w:rFonts w:hint="default" w:ascii="Times New Roman" w:hAnsi="Times New Roman"/>
          <w:bCs/>
          <w:color w:val="000000"/>
        </w:rPr>
        <w:t>本课程</w:t>
      </w:r>
      <w:r>
        <w:rPr>
          <w:rFonts w:hint="default" w:ascii="Times New Roman" w:hAnsi="Times New Roman"/>
          <w:color w:val="000000"/>
        </w:rPr>
        <w:t>要求学生掌握生物化学的基本理论、基本知识和基本技能。</w:t>
      </w:r>
      <w:r>
        <w:rPr>
          <w:rFonts w:hint="default" w:ascii="Times New Roman" w:hAnsi="Times New Roman"/>
          <w:bCs/>
          <w:color w:val="000000"/>
        </w:rPr>
        <w:t>主要讲授生物大分子（糖类、蛋白质、酶、核酸）的结构与功能，新陈代谢（糖、脂类、蛋白质，核酸等物质的代谢）等生物化学核心内容。本课程的学习</w:t>
      </w:r>
      <w:r>
        <w:rPr>
          <w:rFonts w:hint="default" w:ascii="Times New Roman" w:hAnsi="Times New Roman"/>
        </w:rPr>
        <w:t>为</w:t>
      </w:r>
      <w:r>
        <w:rPr>
          <w:rFonts w:hint="default" w:ascii="Times New Roman" w:hAnsi="Times New Roman"/>
          <w:bCs/>
          <w:color w:val="000000"/>
        </w:rPr>
        <w:t>学生</w:t>
      </w:r>
      <w:r>
        <w:rPr>
          <w:rFonts w:hint="default" w:ascii="Times New Roman" w:hAnsi="Times New Roman"/>
        </w:rPr>
        <w:t>今后从事生命科学方面的教学、科研及生产工作奠定基础，培养学生正确的人生观、价值观和世界观，使学生的辨证思维能力有一定程度的提高，培养学生严谨认真的科学态度，求真务实的行为习惯，锲而不舍的顽强意志，攻坚克难的无畏品质；培养学生归纳总结的逻辑思维，勤于思索的探究精神，提升学生高尚的为人民服务的职业修养。</w:t>
      </w:r>
    </w:p>
    <w:p>
      <w:pPr>
        <w:spacing w:line="360" w:lineRule="auto"/>
        <w:ind w:firstLine="562" w:firstLineChars="200"/>
        <w:rPr>
          <w:rFonts w:ascii="Times New Roman" w:hAnsi="Times New Roman"/>
          <w:b/>
          <w:sz w:val="28"/>
          <w:szCs w:val="28"/>
        </w:rPr>
      </w:pPr>
      <w:r>
        <w:rPr>
          <w:rFonts w:ascii="Times New Roman" w:hAnsi="Times New Roman"/>
          <w:b/>
          <w:sz w:val="28"/>
          <w:szCs w:val="28"/>
        </w:rPr>
        <w:t>二、课程目标</w:t>
      </w:r>
    </w:p>
    <w:p>
      <w:pPr>
        <w:spacing w:line="360" w:lineRule="auto"/>
        <w:ind w:firstLine="482"/>
        <w:jc w:val="left"/>
        <w:rPr>
          <w:rFonts w:ascii="Times New Roman" w:hAnsi="Times New Roman"/>
          <w:sz w:val="24"/>
        </w:rPr>
      </w:pPr>
      <w:r>
        <w:rPr>
          <w:rFonts w:ascii="Times New Roman" w:hAnsi="Times New Roman"/>
        </w:rPr>
        <w:t xml:space="preserve"> </w:t>
      </w:r>
      <w:r>
        <w:rPr>
          <w:rFonts w:ascii="Times New Roman" w:hAnsi="Times New Roman"/>
          <w:sz w:val="24"/>
        </w:rPr>
        <w:t>能够理解掌握生物化学中相关术语；了解相关生物化学与其他学科之间的联系；能够掌握三大营养物质代谢的过程，特点及其主要作用；能够掌握酶的主要特点和性质。</w:t>
      </w:r>
    </w:p>
    <w:p>
      <w:pPr>
        <w:spacing w:line="360" w:lineRule="auto"/>
        <w:ind w:firstLine="482"/>
        <w:jc w:val="left"/>
        <w:rPr>
          <w:rFonts w:ascii="Times New Roman" w:hAnsi="Times New Roman"/>
          <w:sz w:val="24"/>
        </w:rPr>
      </w:pPr>
      <w:r>
        <w:rPr>
          <w:rFonts w:ascii="Times New Roman" w:hAnsi="Times New Roman"/>
          <w:sz w:val="24"/>
        </w:rPr>
        <w:t>目标4. 掌握糖脂蛋白质这三类营养物质的基本结构特点和性质；能够了解生物氧化的过程和机制；能够掌握三大营养物质代谢的联系；掌握核酸的结构合作用及其在机体内的代谢过程。</w:t>
      </w:r>
    </w:p>
    <w:tbl>
      <w:tblPr>
        <w:tblStyle w:val="10"/>
        <w:tblW w:w="9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3118"/>
        <w:gridCol w:w="4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244" w:type="dxa"/>
            <w:noWrap/>
            <w:vAlign w:val="center"/>
          </w:tcPr>
          <w:p>
            <w:pPr>
              <w:widowControl/>
              <w:jc w:val="center"/>
              <w:rPr>
                <w:rFonts w:ascii="Times New Roman" w:hAnsi="Times New Roman"/>
                <w:b/>
                <w:bCs/>
                <w:kern w:val="0"/>
                <w:szCs w:val="21"/>
              </w:rPr>
            </w:pPr>
            <w:r>
              <w:rPr>
                <w:rFonts w:ascii="Times New Roman" w:hAnsi="Times New Roman"/>
                <w:b/>
                <w:bCs/>
                <w:kern w:val="0"/>
                <w:szCs w:val="21"/>
              </w:rPr>
              <w:t>序号</w:t>
            </w:r>
          </w:p>
        </w:tc>
        <w:tc>
          <w:tcPr>
            <w:tcW w:w="3118" w:type="dxa"/>
            <w:noWrap/>
            <w:vAlign w:val="center"/>
          </w:tcPr>
          <w:p>
            <w:pPr>
              <w:widowControl/>
              <w:jc w:val="center"/>
              <w:rPr>
                <w:rFonts w:ascii="Times New Roman" w:hAnsi="Times New Roman"/>
                <w:b/>
                <w:bCs/>
                <w:kern w:val="0"/>
                <w:szCs w:val="21"/>
              </w:rPr>
            </w:pPr>
            <w:r>
              <w:rPr>
                <w:rFonts w:ascii="Times New Roman" w:hAnsi="Times New Roman"/>
                <w:b/>
                <w:bCs/>
                <w:kern w:val="0"/>
                <w:szCs w:val="21"/>
              </w:rPr>
              <w:t>课程目标</w:t>
            </w:r>
          </w:p>
        </w:tc>
        <w:tc>
          <w:tcPr>
            <w:tcW w:w="4801" w:type="dxa"/>
            <w:noWrap/>
            <w:vAlign w:val="center"/>
          </w:tcPr>
          <w:p>
            <w:pPr>
              <w:widowControl/>
              <w:jc w:val="center"/>
              <w:rPr>
                <w:rFonts w:ascii="Times New Roman" w:hAnsi="Times New Roman"/>
                <w:b/>
                <w:bCs/>
                <w:kern w:val="0"/>
                <w:szCs w:val="21"/>
              </w:rPr>
            </w:pPr>
            <w:r>
              <w:rPr>
                <w:rFonts w:ascii="Times New Roman" w:hAnsi="Times New Roman"/>
                <w:b/>
                <w:bCs/>
                <w:kern w:val="0"/>
                <w:szCs w:val="21"/>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244" w:type="dxa"/>
            <w:noWrap/>
            <w:vAlign w:val="center"/>
          </w:tcPr>
          <w:p>
            <w:pPr>
              <w:widowControl/>
              <w:jc w:val="center"/>
              <w:rPr>
                <w:rFonts w:ascii="Times New Roman" w:hAnsi="Times New Roman"/>
                <w:kern w:val="0"/>
                <w:szCs w:val="21"/>
              </w:rPr>
            </w:pPr>
            <w:r>
              <w:rPr>
                <w:rFonts w:ascii="Times New Roman" w:hAnsi="Times New Roman"/>
                <w:kern w:val="0"/>
                <w:szCs w:val="21"/>
              </w:rPr>
              <w:t>1</w:t>
            </w:r>
          </w:p>
        </w:tc>
        <w:tc>
          <w:tcPr>
            <w:tcW w:w="3118" w:type="dxa"/>
            <w:noWrap/>
            <w:vAlign w:val="center"/>
          </w:tcPr>
          <w:p>
            <w:pPr>
              <w:rPr>
                <w:rFonts w:ascii="Times New Roman" w:hAnsi="Times New Roman"/>
                <w:kern w:val="0"/>
                <w:szCs w:val="21"/>
              </w:rPr>
            </w:pPr>
            <w:r>
              <w:rPr>
                <w:rFonts w:ascii="Times New Roman" w:hAnsi="Times New Roman"/>
                <w:b/>
                <w:kern w:val="0"/>
                <w:szCs w:val="21"/>
              </w:rPr>
              <w:t>目标1：</w:t>
            </w:r>
            <w:r>
              <w:rPr>
                <w:rFonts w:ascii="Times New Roman" w:hAnsi="Times New Roman"/>
                <w:bCs/>
                <w:kern w:val="0"/>
                <w:szCs w:val="21"/>
              </w:rPr>
              <w:t>能够理解掌握生物化学中相关术语；了解相关生物化学与其他学科之间的联系；能够掌握三大营养物质代谢的过程，特点及其主要作用；能够掌握酶的主要特点和性质。</w:t>
            </w:r>
          </w:p>
        </w:tc>
        <w:tc>
          <w:tcPr>
            <w:tcW w:w="4801" w:type="dxa"/>
            <w:noWrap/>
            <w:vAlign w:val="center"/>
          </w:tcPr>
          <w:p>
            <w:pPr>
              <w:widowControl/>
              <w:rPr>
                <w:rFonts w:ascii="Times New Roman" w:hAnsi="Times New Roman"/>
                <w:kern w:val="0"/>
                <w:szCs w:val="21"/>
              </w:rPr>
            </w:pPr>
            <w:r>
              <w:rPr>
                <w:rFonts w:ascii="Times New Roman" w:hAnsi="Times New Roman"/>
                <w:b/>
                <w:szCs w:val="21"/>
              </w:rPr>
              <w:t>毕业要求4</w:t>
            </w:r>
            <w:r>
              <w:rPr>
                <w:rFonts w:ascii="Times New Roman" w:hAnsi="Times New Roman"/>
                <w:color w:val="000000"/>
                <w:szCs w:val="22"/>
              </w:rPr>
              <w:t>研究：能够基于科学原理并采用科学方法对复杂工程问题进行研究，包括设计实验、分析与解释数据、并通过信息综合得到合理有效的结论。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244" w:type="dxa"/>
            <w:noWrap/>
            <w:vAlign w:val="center"/>
          </w:tcPr>
          <w:p>
            <w:pPr>
              <w:widowControl/>
              <w:jc w:val="center"/>
              <w:rPr>
                <w:rFonts w:ascii="Times New Roman" w:hAnsi="Times New Roman"/>
                <w:kern w:val="0"/>
                <w:szCs w:val="21"/>
              </w:rPr>
            </w:pPr>
            <w:r>
              <w:rPr>
                <w:rFonts w:ascii="Times New Roman" w:hAnsi="Times New Roman"/>
                <w:kern w:val="0"/>
                <w:szCs w:val="21"/>
              </w:rPr>
              <w:t>2</w:t>
            </w:r>
          </w:p>
        </w:tc>
        <w:tc>
          <w:tcPr>
            <w:tcW w:w="3118" w:type="dxa"/>
            <w:noWrap/>
            <w:vAlign w:val="center"/>
          </w:tcPr>
          <w:p>
            <w:pPr>
              <w:widowControl/>
              <w:rPr>
                <w:rFonts w:ascii="Times New Roman" w:hAnsi="Times New Roman"/>
                <w:kern w:val="0"/>
                <w:szCs w:val="21"/>
              </w:rPr>
            </w:pPr>
            <w:r>
              <w:rPr>
                <w:rFonts w:ascii="Times New Roman" w:hAnsi="Times New Roman"/>
                <w:b/>
                <w:kern w:val="0"/>
                <w:szCs w:val="21"/>
              </w:rPr>
              <w:t>目标2：</w:t>
            </w:r>
            <w:r>
              <w:rPr>
                <w:rFonts w:ascii="Times New Roman" w:hAnsi="Times New Roman"/>
                <w:bCs/>
                <w:kern w:val="0"/>
                <w:szCs w:val="21"/>
              </w:rPr>
              <w:t>掌握糖脂蛋白质这三类营养物质的基本结构特点和性质；能够了解生物氧化的过程和机制；能够掌握三大营养物质代谢的联系；掌握核酸的结构合作用及其在机体内的代谢过程。</w:t>
            </w:r>
          </w:p>
        </w:tc>
        <w:tc>
          <w:tcPr>
            <w:tcW w:w="4801" w:type="dxa"/>
            <w:noWrap/>
            <w:vAlign w:val="center"/>
          </w:tcPr>
          <w:p>
            <w:pPr>
              <w:widowControl/>
              <w:rPr>
                <w:rFonts w:ascii="Times New Roman" w:hAnsi="Times New Roman"/>
                <w:kern w:val="0"/>
                <w:szCs w:val="21"/>
              </w:rPr>
            </w:pPr>
            <w:r>
              <w:rPr>
                <w:rFonts w:ascii="Times New Roman" w:hAnsi="Times New Roman"/>
                <w:b/>
                <w:color w:val="000000"/>
                <w:kern w:val="0"/>
                <w:szCs w:val="21"/>
              </w:rPr>
              <w:t>毕业要求5</w:t>
            </w:r>
            <w:r>
              <w:rPr>
                <w:rFonts w:ascii="Times New Roman" w:hAnsi="Times New Roman"/>
                <w:color w:val="000000"/>
                <w:szCs w:val="22"/>
              </w:rPr>
              <w:t>能够针对复杂工程问题，开发、选择与使用恰当的技术、资源、现代工程工具和信息技术工具，包括对复杂工程问题的预测与模拟，并能够理解其局限性。</w:t>
            </w:r>
          </w:p>
        </w:tc>
      </w:tr>
    </w:tbl>
    <w:p>
      <w:pPr>
        <w:spacing w:line="360" w:lineRule="auto"/>
        <w:ind w:firstLine="482"/>
        <w:jc w:val="left"/>
        <w:rPr>
          <w:rFonts w:ascii="Times New Roman" w:hAnsi="Times New Roman"/>
          <w:sz w:val="24"/>
        </w:rPr>
      </w:pPr>
    </w:p>
    <w:p>
      <w:pPr>
        <w:spacing w:line="360" w:lineRule="auto"/>
        <w:ind w:firstLine="482"/>
        <w:jc w:val="left"/>
        <w:rPr>
          <w:rFonts w:ascii="Times New Roman" w:hAnsi="Times New Roman"/>
          <w:b/>
          <w:sz w:val="28"/>
          <w:szCs w:val="28"/>
        </w:rPr>
      </w:pPr>
      <w:r>
        <w:rPr>
          <w:rFonts w:ascii="Times New Roman" w:hAnsi="Times New Roman"/>
          <w:b/>
          <w:sz w:val="28"/>
          <w:szCs w:val="28"/>
        </w:rPr>
        <w:t>三、课程内容及要求</w:t>
      </w:r>
    </w:p>
    <w:tbl>
      <w:tblPr>
        <w:tblStyle w:val="10"/>
        <w:tblW w:w="9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2618"/>
        <w:gridCol w:w="1130"/>
        <w:gridCol w:w="2017"/>
        <w:gridCol w:w="741"/>
        <w:gridCol w:w="970"/>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4" w:type="dxa"/>
            <w:noWrap w:val="0"/>
            <w:vAlign w:val="center"/>
          </w:tcPr>
          <w:p>
            <w:pPr>
              <w:jc w:val="center"/>
              <w:rPr>
                <w:rFonts w:ascii="Times New Roman" w:hAnsi="Times New Roman"/>
                <w:b/>
                <w:bCs/>
                <w:szCs w:val="21"/>
              </w:rPr>
            </w:pPr>
            <w:r>
              <w:rPr>
                <w:rFonts w:ascii="Times New Roman" w:hAnsi="Times New Roman"/>
                <w:b/>
                <w:bCs/>
                <w:szCs w:val="21"/>
              </w:rPr>
              <w:t>序号</w:t>
            </w:r>
          </w:p>
        </w:tc>
        <w:tc>
          <w:tcPr>
            <w:tcW w:w="2618" w:type="dxa"/>
            <w:noWrap w:val="0"/>
            <w:vAlign w:val="center"/>
          </w:tcPr>
          <w:p>
            <w:pPr>
              <w:jc w:val="center"/>
              <w:rPr>
                <w:rFonts w:ascii="Times New Roman" w:hAnsi="Times New Roman"/>
                <w:b/>
                <w:bCs/>
                <w:szCs w:val="21"/>
              </w:rPr>
            </w:pPr>
            <w:r>
              <w:rPr>
                <w:rFonts w:ascii="Times New Roman" w:hAnsi="Times New Roman"/>
                <w:b/>
                <w:bCs/>
                <w:szCs w:val="21"/>
              </w:rPr>
              <w:t>教学内容</w:t>
            </w:r>
          </w:p>
        </w:tc>
        <w:tc>
          <w:tcPr>
            <w:tcW w:w="1130" w:type="dxa"/>
            <w:noWrap w:val="0"/>
            <w:vAlign w:val="center"/>
          </w:tcPr>
          <w:p>
            <w:pPr>
              <w:jc w:val="center"/>
              <w:rPr>
                <w:rFonts w:ascii="Times New Roman" w:hAnsi="Times New Roman"/>
                <w:b/>
                <w:bCs/>
                <w:szCs w:val="21"/>
              </w:rPr>
            </w:pPr>
            <w:r>
              <w:rPr>
                <w:rFonts w:ascii="Times New Roman" w:hAnsi="Times New Roman"/>
                <w:b/>
                <w:bCs/>
                <w:szCs w:val="21"/>
              </w:rPr>
              <w:t>思政元素</w:t>
            </w:r>
          </w:p>
        </w:tc>
        <w:tc>
          <w:tcPr>
            <w:tcW w:w="2017" w:type="dxa"/>
            <w:noWrap w:val="0"/>
            <w:vAlign w:val="center"/>
          </w:tcPr>
          <w:p>
            <w:pPr>
              <w:jc w:val="center"/>
              <w:rPr>
                <w:rFonts w:ascii="Times New Roman" w:hAnsi="Times New Roman"/>
                <w:b/>
                <w:bCs/>
                <w:szCs w:val="21"/>
              </w:rPr>
            </w:pPr>
            <w:r>
              <w:rPr>
                <w:rFonts w:ascii="Times New Roman" w:hAnsi="Times New Roman"/>
                <w:b/>
                <w:bCs/>
                <w:szCs w:val="21"/>
              </w:rPr>
              <w:t>预期学习成果</w:t>
            </w:r>
          </w:p>
          <w:p>
            <w:pPr>
              <w:jc w:val="center"/>
              <w:rPr>
                <w:rFonts w:ascii="Times New Roman" w:hAnsi="Times New Roman"/>
                <w:b/>
                <w:bCs/>
                <w:szCs w:val="21"/>
              </w:rPr>
            </w:pPr>
          </w:p>
        </w:tc>
        <w:tc>
          <w:tcPr>
            <w:tcW w:w="741" w:type="dxa"/>
            <w:noWrap w:val="0"/>
            <w:vAlign w:val="center"/>
          </w:tcPr>
          <w:p>
            <w:pPr>
              <w:jc w:val="center"/>
              <w:rPr>
                <w:rFonts w:ascii="Times New Roman" w:hAnsi="Times New Roman"/>
                <w:b/>
                <w:bCs/>
                <w:szCs w:val="21"/>
              </w:rPr>
            </w:pPr>
            <w:r>
              <w:rPr>
                <w:rFonts w:ascii="Times New Roman" w:hAnsi="Times New Roman"/>
                <w:b/>
                <w:bCs/>
                <w:szCs w:val="21"/>
              </w:rPr>
              <w:t>教学学时</w:t>
            </w:r>
          </w:p>
        </w:tc>
        <w:tc>
          <w:tcPr>
            <w:tcW w:w="970" w:type="dxa"/>
            <w:noWrap w:val="0"/>
            <w:vAlign w:val="center"/>
          </w:tcPr>
          <w:p>
            <w:pPr>
              <w:jc w:val="center"/>
              <w:rPr>
                <w:rFonts w:ascii="Times New Roman" w:hAnsi="Times New Roman"/>
                <w:b/>
                <w:bCs/>
                <w:szCs w:val="21"/>
              </w:rPr>
            </w:pPr>
            <w:r>
              <w:rPr>
                <w:rFonts w:ascii="Times New Roman" w:hAnsi="Times New Roman"/>
                <w:b/>
                <w:bCs/>
                <w:szCs w:val="21"/>
              </w:rPr>
              <w:t>教学方式</w:t>
            </w:r>
          </w:p>
        </w:tc>
        <w:tc>
          <w:tcPr>
            <w:tcW w:w="921" w:type="dxa"/>
            <w:noWrap w:val="0"/>
            <w:vAlign w:val="center"/>
          </w:tcPr>
          <w:p>
            <w:pPr>
              <w:jc w:val="center"/>
              <w:rPr>
                <w:rFonts w:ascii="Times New Roman" w:hAnsi="Times New Roman"/>
                <w:b/>
                <w:bCs/>
                <w:szCs w:val="21"/>
              </w:rPr>
            </w:pPr>
            <w:r>
              <w:rPr>
                <w:rFonts w:ascii="Times New Roman" w:hAnsi="Times New Roman"/>
                <w:b/>
                <w:bCs/>
                <w:szCs w:val="21"/>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6" w:hRule="atLeast"/>
          <w:jc w:val="center"/>
        </w:trPr>
        <w:tc>
          <w:tcPr>
            <w:tcW w:w="774" w:type="dxa"/>
            <w:noWrap w:val="0"/>
            <w:vAlign w:val="center"/>
          </w:tcPr>
          <w:p>
            <w:pPr>
              <w:jc w:val="center"/>
              <w:rPr>
                <w:rFonts w:ascii="Times New Roman" w:hAnsi="Times New Roman"/>
                <w:szCs w:val="21"/>
              </w:rPr>
            </w:pPr>
            <w:r>
              <w:rPr>
                <w:rFonts w:ascii="Times New Roman" w:hAnsi="Times New Roman"/>
                <w:szCs w:val="21"/>
              </w:rPr>
              <w:t>1</w:t>
            </w:r>
          </w:p>
        </w:tc>
        <w:tc>
          <w:tcPr>
            <w:tcW w:w="2618" w:type="dxa"/>
            <w:noWrap w:val="0"/>
            <w:vAlign w:val="center"/>
          </w:tcPr>
          <w:p>
            <w:pPr>
              <w:autoSpaceDE w:val="0"/>
              <w:autoSpaceDN w:val="0"/>
              <w:adjustRightInd w:val="0"/>
              <w:rPr>
                <w:rFonts w:ascii="Times New Roman" w:hAnsi="Times New Roman"/>
                <w:kern w:val="0"/>
                <w:szCs w:val="21"/>
              </w:rPr>
            </w:pPr>
            <w:r>
              <w:rPr>
                <w:rFonts w:ascii="Times New Roman" w:hAnsi="Times New Roman"/>
                <w:b/>
                <w:bCs/>
                <w:kern w:val="0"/>
                <w:szCs w:val="21"/>
              </w:rPr>
              <w:t>绪论：</w:t>
            </w:r>
            <w:r>
              <w:rPr>
                <w:rFonts w:ascii="Times New Roman" w:hAnsi="Times New Roman"/>
                <w:kern w:val="0"/>
                <w:szCs w:val="21"/>
              </w:rPr>
              <w:t>生物化学的定义；生物化学研究的对象、内容和方法；生化与各个基础学科的关系。</w:t>
            </w:r>
          </w:p>
          <w:p>
            <w:pPr>
              <w:autoSpaceDE w:val="0"/>
              <w:autoSpaceDN w:val="0"/>
              <w:adjustRightInd w:val="0"/>
              <w:rPr>
                <w:rFonts w:ascii="Times New Roman" w:hAnsi="Times New Roman"/>
                <w:kern w:val="0"/>
                <w:szCs w:val="21"/>
              </w:rPr>
            </w:pPr>
            <w:r>
              <w:rPr>
                <w:rFonts w:ascii="Times New Roman" w:hAnsi="Times New Roman"/>
                <w:b/>
                <w:bCs/>
                <w:kern w:val="0"/>
                <w:szCs w:val="21"/>
              </w:rPr>
              <w:t>重点和难点</w:t>
            </w:r>
            <w:r>
              <w:rPr>
                <w:rFonts w:ascii="Times New Roman" w:hAnsi="Times New Roman"/>
                <w:kern w:val="0"/>
                <w:szCs w:val="21"/>
              </w:rPr>
              <w:t>：生物化学定义；研究对象。</w:t>
            </w:r>
          </w:p>
        </w:tc>
        <w:tc>
          <w:tcPr>
            <w:tcW w:w="1130" w:type="dxa"/>
            <w:noWrap w:val="0"/>
            <w:vAlign w:val="center"/>
          </w:tcPr>
          <w:p>
            <w:pPr>
              <w:autoSpaceDE w:val="0"/>
              <w:autoSpaceDN w:val="0"/>
              <w:adjustRightInd w:val="0"/>
              <w:rPr>
                <w:rFonts w:ascii="Times New Roman" w:hAnsi="Times New Roman"/>
                <w:kern w:val="0"/>
                <w:szCs w:val="21"/>
              </w:rPr>
            </w:pPr>
            <w:r>
              <w:rPr>
                <w:rFonts w:ascii="Times New Roman" w:hAnsi="Times New Roman"/>
                <w:kern w:val="0"/>
                <w:szCs w:val="21"/>
              </w:rPr>
              <w:t>培养学生具有为人类生命健康事业奋斗的使命感。</w:t>
            </w:r>
          </w:p>
        </w:tc>
        <w:tc>
          <w:tcPr>
            <w:tcW w:w="2017" w:type="dxa"/>
            <w:noWrap w:val="0"/>
            <w:vAlign w:val="center"/>
          </w:tcPr>
          <w:p>
            <w:pPr>
              <w:autoSpaceDE w:val="0"/>
              <w:autoSpaceDN w:val="0"/>
              <w:adjustRightInd w:val="0"/>
              <w:rPr>
                <w:rFonts w:ascii="Times New Roman" w:hAnsi="Times New Roman"/>
                <w:kern w:val="0"/>
                <w:szCs w:val="21"/>
              </w:rPr>
            </w:pPr>
            <w:r>
              <w:rPr>
                <w:rFonts w:ascii="Times New Roman" w:hAnsi="Times New Roman"/>
                <w:kern w:val="0"/>
                <w:szCs w:val="21"/>
              </w:rPr>
              <w:t>能够了解了解生物化学定义；生物化学与各个学科之间的关系。</w:t>
            </w:r>
          </w:p>
          <w:p>
            <w:pPr>
              <w:spacing w:line="400" w:lineRule="exact"/>
              <w:rPr>
                <w:rFonts w:ascii="Times New Roman" w:hAnsi="Times New Roman"/>
                <w:kern w:val="0"/>
                <w:szCs w:val="21"/>
              </w:rPr>
            </w:pPr>
          </w:p>
        </w:tc>
        <w:tc>
          <w:tcPr>
            <w:tcW w:w="741" w:type="dxa"/>
            <w:noWrap w:val="0"/>
            <w:vAlign w:val="center"/>
          </w:tcPr>
          <w:p>
            <w:pPr>
              <w:spacing w:line="312" w:lineRule="auto"/>
              <w:jc w:val="center"/>
              <w:rPr>
                <w:rFonts w:ascii="Times New Roman" w:hAnsi="Times New Roman"/>
                <w:szCs w:val="21"/>
              </w:rPr>
            </w:pPr>
            <w:r>
              <w:rPr>
                <w:rFonts w:ascii="Times New Roman" w:hAnsi="Times New Roman"/>
                <w:szCs w:val="21"/>
              </w:rPr>
              <w:t>2（讲授）</w:t>
            </w:r>
          </w:p>
        </w:tc>
        <w:tc>
          <w:tcPr>
            <w:tcW w:w="970" w:type="dxa"/>
            <w:noWrap w:val="0"/>
            <w:vAlign w:val="center"/>
          </w:tcPr>
          <w:p>
            <w:pPr>
              <w:rPr>
                <w:rFonts w:ascii="Times New Roman" w:hAnsi="Times New Roman"/>
                <w:szCs w:val="21"/>
              </w:rPr>
            </w:pPr>
            <w:r>
              <w:rPr>
                <w:rFonts w:ascii="Times New Roman" w:hAnsi="Times New Roman"/>
                <w:szCs w:val="21"/>
              </w:rPr>
              <w:t>讲授/讨论/实例教学等</w:t>
            </w:r>
          </w:p>
        </w:tc>
        <w:tc>
          <w:tcPr>
            <w:tcW w:w="921" w:type="dxa"/>
            <w:noWrap w:val="0"/>
            <w:vAlign w:val="center"/>
          </w:tcPr>
          <w:p>
            <w:pPr>
              <w:jc w:val="center"/>
              <w:rPr>
                <w:rFonts w:ascii="Times New Roman" w:hAnsi="Times New Roman"/>
                <w:szCs w:val="21"/>
              </w:rPr>
            </w:pPr>
            <w:r>
              <w:rPr>
                <w:rFonts w:ascii="Times New Roman" w:hAnsi="Times New Roman"/>
                <w:b/>
                <w:kern w:val="0"/>
                <w:szCs w:val="21"/>
              </w:rPr>
              <w:t>目标12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4" w:type="dxa"/>
            <w:noWrap w:val="0"/>
            <w:vAlign w:val="center"/>
          </w:tcPr>
          <w:p>
            <w:pPr>
              <w:jc w:val="center"/>
              <w:rPr>
                <w:rFonts w:ascii="Times New Roman" w:hAnsi="Times New Roman"/>
                <w:szCs w:val="21"/>
              </w:rPr>
            </w:pPr>
            <w:r>
              <w:rPr>
                <w:rFonts w:ascii="Times New Roman" w:hAnsi="Times New Roman"/>
                <w:szCs w:val="21"/>
              </w:rPr>
              <w:t>2</w:t>
            </w:r>
          </w:p>
        </w:tc>
        <w:tc>
          <w:tcPr>
            <w:tcW w:w="2618" w:type="dxa"/>
            <w:noWrap w:val="0"/>
            <w:vAlign w:val="center"/>
          </w:tcPr>
          <w:p>
            <w:pPr>
              <w:rPr>
                <w:rFonts w:ascii="Times New Roman" w:hAnsi="Times New Roman"/>
                <w:kern w:val="0"/>
                <w:szCs w:val="21"/>
              </w:rPr>
            </w:pPr>
            <w:r>
              <w:rPr>
                <w:rFonts w:ascii="Times New Roman" w:hAnsi="Times New Roman"/>
                <w:b/>
                <w:sz w:val="24"/>
              </w:rPr>
              <w:t xml:space="preserve"> </w:t>
            </w:r>
            <w:r>
              <w:rPr>
                <w:rFonts w:ascii="Times New Roman" w:hAnsi="Times New Roman"/>
                <w:b/>
                <w:kern w:val="0"/>
                <w:szCs w:val="21"/>
              </w:rPr>
              <w:t>糖类：</w:t>
            </w:r>
            <w:r>
              <w:rPr>
                <w:rFonts w:ascii="Times New Roman" w:hAnsi="Times New Roman"/>
                <w:bCs/>
                <w:kern w:val="0"/>
                <w:szCs w:val="21"/>
              </w:rPr>
              <w:t>单糖；二糖、寡糖和多糖；糖复合物：糖蛋白、蛋白聚糖和糖脂；糖链信息；寡糖和多糖的应用；糖链结构分析方法。</w:t>
            </w:r>
            <w:r>
              <w:rPr>
                <w:rFonts w:ascii="Times New Roman" w:hAnsi="Times New Roman"/>
                <w:b/>
                <w:bCs/>
                <w:kern w:val="0"/>
                <w:szCs w:val="21"/>
              </w:rPr>
              <w:t>重点和难点：</w:t>
            </w:r>
            <w:r>
              <w:rPr>
                <w:rFonts w:ascii="Times New Roman" w:hAnsi="Times New Roman"/>
                <w:bCs/>
                <w:kern w:val="0"/>
                <w:szCs w:val="21"/>
              </w:rPr>
              <w:t>寡糖和多糖的应用；糖链结构分析方法。</w:t>
            </w:r>
          </w:p>
        </w:tc>
        <w:tc>
          <w:tcPr>
            <w:tcW w:w="1130" w:type="dxa"/>
            <w:noWrap w:val="0"/>
            <w:vAlign w:val="center"/>
          </w:tcPr>
          <w:p>
            <w:pPr>
              <w:rPr>
                <w:rFonts w:ascii="Times New Roman" w:hAnsi="Times New Roman"/>
                <w:szCs w:val="21"/>
              </w:rPr>
            </w:pPr>
            <w:r>
              <w:rPr>
                <w:rFonts w:ascii="Times New Roman" w:hAnsi="Times New Roman"/>
                <w:szCs w:val="21"/>
              </w:rPr>
              <w:t>了解糖的分类及糖链分析方法，培养学生具备职业道德和敬业精神。</w:t>
            </w:r>
          </w:p>
        </w:tc>
        <w:tc>
          <w:tcPr>
            <w:tcW w:w="2017" w:type="dxa"/>
            <w:noWrap w:val="0"/>
            <w:vAlign w:val="center"/>
          </w:tcPr>
          <w:p>
            <w:pPr>
              <w:rPr>
                <w:rFonts w:ascii="Times New Roman" w:hAnsi="Times New Roman"/>
                <w:szCs w:val="21"/>
              </w:rPr>
            </w:pPr>
            <w:r>
              <w:rPr>
                <w:rFonts w:ascii="Times New Roman" w:hAnsi="Times New Roman"/>
                <w:bCs/>
                <w:kern w:val="0"/>
                <w:szCs w:val="21"/>
              </w:rPr>
              <w:t>掌握糖的结构及其特点；了解糖链结构分析方法。</w:t>
            </w:r>
          </w:p>
        </w:tc>
        <w:tc>
          <w:tcPr>
            <w:tcW w:w="741" w:type="dxa"/>
            <w:noWrap w:val="0"/>
            <w:vAlign w:val="center"/>
          </w:tcPr>
          <w:p>
            <w:pPr>
              <w:spacing w:line="312" w:lineRule="auto"/>
              <w:jc w:val="center"/>
              <w:rPr>
                <w:rFonts w:ascii="Times New Roman" w:hAnsi="Times New Roman"/>
                <w:szCs w:val="21"/>
              </w:rPr>
            </w:pPr>
            <w:r>
              <w:rPr>
                <w:rFonts w:ascii="Times New Roman" w:hAnsi="Times New Roman"/>
                <w:szCs w:val="21"/>
              </w:rPr>
              <w:t>2（讲授）</w:t>
            </w:r>
          </w:p>
        </w:tc>
        <w:tc>
          <w:tcPr>
            <w:tcW w:w="970" w:type="dxa"/>
            <w:noWrap w:val="0"/>
            <w:vAlign w:val="center"/>
          </w:tcPr>
          <w:p>
            <w:pPr>
              <w:rPr>
                <w:rFonts w:ascii="Times New Roman" w:hAnsi="Times New Roman"/>
                <w:szCs w:val="21"/>
              </w:rPr>
            </w:pPr>
            <w:r>
              <w:rPr>
                <w:rFonts w:ascii="Times New Roman" w:hAnsi="Times New Roman"/>
                <w:szCs w:val="21"/>
              </w:rPr>
              <w:t>讲授/讨论/实例教学等</w:t>
            </w:r>
          </w:p>
        </w:tc>
        <w:tc>
          <w:tcPr>
            <w:tcW w:w="921" w:type="dxa"/>
            <w:noWrap w:val="0"/>
            <w:vAlign w:val="center"/>
          </w:tcPr>
          <w:p>
            <w:pPr>
              <w:jc w:val="center"/>
              <w:rPr>
                <w:rFonts w:ascii="Times New Roman" w:hAnsi="Times New Roman"/>
                <w:kern w:val="0"/>
                <w:szCs w:val="21"/>
              </w:rPr>
            </w:pPr>
            <w:r>
              <w:rPr>
                <w:rFonts w:ascii="Times New Roman" w:hAnsi="Times New Roman"/>
                <w:b/>
                <w:kern w:val="0"/>
                <w:szCs w:val="21"/>
              </w:rPr>
              <w:t>目标1</w:t>
            </w:r>
          </w:p>
          <w:p>
            <w:pPr>
              <w:jc w:val="center"/>
              <w:rPr>
                <w:rFonts w:ascii="Times New Roman" w:hAnsi="Times New Roman"/>
                <w:szCs w:val="21"/>
              </w:rPr>
            </w:pPr>
            <w:r>
              <w:rPr>
                <w:rFonts w:ascii="Times New Roman" w:hAnsi="Times New Roman"/>
                <w:b/>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4" w:type="dxa"/>
            <w:noWrap w:val="0"/>
            <w:vAlign w:val="center"/>
          </w:tcPr>
          <w:p>
            <w:pPr>
              <w:jc w:val="center"/>
              <w:rPr>
                <w:rFonts w:ascii="Times New Roman" w:hAnsi="Times New Roman"/>
                <w:szCs w:val="21"/>
              </w:rPr>
            </w:pPr>
            <w:r>
              <w:rPr>
                <w:rFonts w:ascii="Times New Roman" w:hAnsi="Times New Roman"/>
                <w:szCs w:val="21"/>
              </w:rPr>
              <w:t>3</w:t>
            </w:r>
          </w:p>
        </w:tc>
        <w:tc>
          <w:tcPr>
            <w:tcW w:w="2618" w:type="dxa"/>
            <w:noWrap w:val="0"/>
            <w:vAlign w:val="center"/>
          </w:tcPr>
          <w:p>
            <w:pPr>
              <w:rPr>
                <w:rFonts w:ascii="Times New Roman" w:hAnsi="Times New Roman"/>
                <w:b/>
                <w:kern w:val="0"/>
                <w:szCs w:val="21"/>
              </w:rPr>
            </w:pPr>
            <w:r>
              <w:rPr>
                <w:rFonts w:ascii="Times New Roman" w:hAnsi="Times New Roman"/>
                <w:b/>
                <w:kern w:val="0"/>
                <w:szCs w:val="21"/>
              </w:rPr>
              <w:t>蛋白质的结构与功能：</w:t>
            </w:r>
            <w:r>
              <w:rPr>
                <w:rFonts w:ascii="Times New Roman" w:hAnsi="Times New Roman"/>
                <w:bCs/>
                <w:kern w:val="0"/>
                <w:szCs w:val="21"/>
              </w:rPr>
              <w:t>蛋白质的重要作用；氨基酸和多肽；蛋白质的分子构象；蛋白质的结构与功能；蛋白质的性质及纯化。</w:t>
            </w:r>
          </w:p>
          <w:p>
            <w:pPr>
              <w:rPr>
                <w:rFonts w:ascii="Times New Roman" w:hAnsi="Times New Roman"/>
                <w:kern w:val="0"/>
                <w:szCs w:val="21"/>
              </w:rPr>
            </w:pPr>
            <w:r>
              <w:rPr>
                <w:rFonts w:ascii="Times New Roman" w:hAnsi="Times New Roman"/>
                <w:b/>
                <w:kern w:val="0"/>
                <w:szCs w:val="21"/>
              </w:rPr>
              <w:t>重点和难点：</w:t>
            </w:r>
            <w:r>
              <w:rPr>
                <w:rFonts w:ascii="Times New Roman" w:hAnsi="Times New Roman"/>
                <w:bCs/>
              </w:rPr>
              <w:t>氨基酸的结构、酸碱性质；多肽的结构、蛋白质一级结构测定的方法；蛋白质结构的有关概念，稳定蛋白质空间结构的作用力。</w:t>
            </w:r>
          </w:p>
        </w:tc>
        <w:tc>
          <w:tcPr>
            <w:tcW w:w="1130" w:type="dxa"/>
            <w:noWrap w:val="0"/>
            <w:vAlign w:val="center"/>
          </w:tcPr>
          <w:p>
            <w:pPr>
              <w:rPr>
                <w:rFonts w:ascii="Times New Roman" w:hAnsi="Times New Roman"/>
                <w:szCs w:val="21"/>
              </w:rPr>
            </w:pPr>
            <w:r>
              <w:rPr>
                <w:rFonts w:ascii="Times New Roman" w:hAnsi="Times New Roman"/>
                <w:szCs w:val="21"/>
              </w:rPr>
              <w:t>了解蛋白质的基本组成单位及其结构，培养学生具备职业道德和敬业精神。</w:t>
            </w:r>
          </w:p>
        </w:tc>
        <w:tc>
          <w:tcPr>
            <w:tcW w:w="2017" w:type="dxa"/>
            <w:noWrap w:val="0"/>
            <w:vAlign w:val="center"/>
          </w:tcPr>
          <w:p>
            <w:pPr>
              <w:ind w:firstLine="420" w:firstLineChars="200"/>
              <w:rPr>
                <w:rFonts w:ascii="Times New Roman" w:hAnsi="Times New Roman"/>
                <w:szCs w:val="21"/>
              </w:rPr>
            </w:pPr>
            <w:r>
              <w:rPr>
                <w:rFonts w:ascii="Times New Roman" w:hAnsi="Times New Roman"/>
                <w:szCs w:val="21"/>
              </w:rPr>
              <w:t>掌握氨基酸的结构、酸碱性质；多肽的结构、蛋白质一级结构测定的方法；蛋白质结构的有关概念，稳定蛋白质空间结构的作用力；了解蛋白质结构与功能的关系。</w:t>
            </w:r>
          </w:p>
          <w:p>
            <w:pPr>
              <w:ind w:firstLine="420" w:firstLineChars="200"/>
              <w:rPr>
                <w:rFonts w:ascii="Times New Roman" w:hAnsi="Times New Roman"/>
                <w:szCs w:val="21"/>
              </w:rPr>
            </w:pPr>
          </w:p>
        </w:tc>
        <w:tc>
          <w:tcPr>
            <w:tcW w:w="741" w:type="dxa"/>
            <w:noWrap w:val="0"/>
            <w:vAlign w:val="center"/>
          </w:tcPr>
          <w:p>
            <w:pPr>
              <w:spacing w:line="312" w:lineRule="auto"/>
              <w:jc w:val="center"/>
              <w:rPr>
                <w:rFonts w:ascii="Times New Roman" w:hAnsi="Times New Roman"/>
                <w:szCs w:val="21"/>
              </w:rPr>
            </w:pPr>
            <w:r>
              <w:rPr>
                <w:rFonts w:ascii="Times New Roman" w:hAnsi="Times New Roman"/>
                <w:szCs w:val="21"/>
              </w:rPr>
              <w:t>4（讲授）、</w:t>
            </w:r>
          </w:p>
        </w:tc>
        <w:tc>
          <w:tcPr>
            <w:tcW w:w="970" w:type="dxa"/>
            <w:noWrap w:val="0"/>
            <w:vAlign w:val="center"/>
          </w:tcPr>
          <w:p>
            <w:pPr>
              <w:rPr>
                <w:rFonts w:ascii="Times New Roman" w:hAnsi="Times New Roman"/>
                <w:szCs w:val="21"/>
              </w:rPr>
            </w:pPr>
            <w:r>
              <w:rPr>
                <w:rFonts w:ascii="Times New Roman" w:hAnsi="Times New Roman"/>
                <w:szCs w:val="21"/>
              </w:rPr>
              <w:t>讲授/实验/讨论/等</w:t>
            </w:r>
          </w:p>
        </w:tc>
        <w:tc>
          <w:tcPr>
            <w:tcW w:w="921" w:type="dxa"/>
            <w:noWrap w:val="0"/>
            <w:vAlign w:val="center"/>
          </w:tcPr>
          <w:p>
            <w:pPr>
              <w:jc w:val="center"/>
              <w:rPr>
                <w:rFonts w:ascii="Times New Roman" w:hAnsi="Times New Roman"/>
                <w:kern w:val="0"/>
                <w:szCs w:val="21"/>
              </w:rPr>
            </w:pPr>
            <w:r>
              <w:rPr>
                <w:rFonts w:ascii="Times New Roman" w:hAnsi="Times New Roman"/>
                <w:b/>
                <w:kern w:val="0"/>
                <w:szCs w:val="21"/>
              </w:rPr>
              <w:t>目标1</w:t>
            </w:r>
          </w:p>
          <w:p>
            <w:pPr>
              <w:jc w:val="center"/>
              <w:rPr>
                <w:rFonts w:ascii="Times New Roman" w:hAnsi="Times New Roman"/>
                <w:szCs w:val="21"/>
              </w:rPr>
            </w:pPr>
            <w:r>
              <w:rPr>
                <w:rFonts w:ascii="Times New Roman" w:hAnsi="Times New Roman"/>
                <w:b/>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4" w:type="dxa"/>
            <w:noWrap w:val="0"/>
            <w:vAlign w:val="center"/>
          </w:tcPr>
          <w:p>
            <w:pPr>
              <w:jc w:val="center"/>
              <w:rPr>
                <w:rFonts w:ascii="Times New Roman" w:hAnsi="Times New Roman"/>
                <w:szCs w:val="21"/>
              </w:rPr>
            </w:pPr>
            <w:r>
              <w:rPr>
                <w:rFonts w:ascii="Times New Roman" w:hAnsi="Times New Roman"/>
                <w:szCs w:val="21"/>
              </w:rPr>
              <w:t>4</w:t>
            </w:r>
          </w:p>
        </w:tc>
        <w:tc>
          <w:tcPr>
            <w:tcW w:w="2618" w:type="dxa"/>
            <w:noWrap w:val="0"/>
            <w:vAlign w:val="center"/>
          </w:tcPr>
          <w:p>
            <w:pPr>
              <w:rPr>
                <w:rFonts w:ascii="Times New Roman" w:hAnsi="Times New Roman"/>
                <w:kern w:val="0"/>
                <w:szCs w:val="21"/>
              </w:rPr>
            </w:pPr>
            <w:r>
              <w:rPr>
                <w:rFonts w:ascii="Times New Roman" w:hAnsi="Times New Roman"/>
                <w:b/>
                <w:szCs w:val="21"/>
              </w:rPr>
              <w:t>酶</w:t>
            </w:r>
            <w:r>
              <w:rPr>
                <w:rFonts w:ascii="Times New Roman" w:hAnsi="Times New Roman"/>
                <w:bCs/>
                <w:szCs w:val="21"/>
              </w:rPr>
              <w:t>：</w:t>
            </w:r>
            <w:r>
              <w:rPr>
                <w:rFonts w:ascii="Times New Roman" w:hAnsi="Times New Roman"/>
                <w:bCs/>
                <w:kern w:val="0"/>
                <w:szCs w:val="21"/>
              </w:rPr>
              <w:t>酶的概念、命名及分类；酶的化学本质；酶的结构及功能的关系；酶促反应的速度和影响因素；酶的调节；酶的分离提纯及活力测定</w:t>
            </w:r>
            <w:r>
              <w:rPr>
                <w:rFonts w:ascii="Times New Roman" w:hAnsi="Times New Roman"/>
                <w:kern w:val="0"/>
                <w:szCs w:val="21"/>
              </w:rPr>
              <w:t> 。</w:t>
            </w:r>
          </w:p>
          <w:p>
            <w:pPr>
              <w:rPr>
                <w:rFonts w:ascii="Times New Roman" w:hAnsi="Times New Roman"/>
                <w:kern w:val="0"/>
                <w:szCs w:val="21"/>
              </w:rPr>
            </w:pPr>
            <w:r>
              <w:rPr>
                <w:rFonts w:ascii="Times New Roman" w:hAnsi="Times New Roman"/>
                <w:b/>
                <w:kern w:val="0"/>
                <w:szCs w:val="21"/>
              </w:rPr>
              <w:t>重点和难点：</w:t>
            </w:r>
            <w:r>
              <w:rPr>
                <w:rFonts w:ascii="Times New Roman" w:hAnsi="Times New Roman"/>
                <w:bCs/>
                <w:kern w:val="0"/>
                <w:szCs w:val="21"/>
              </w:rPr>
              <w:t>酶的结构及功能的关系；酶的活性调节。</w:t>
            </w:r>
          </w:p>
        </w:tc>
        <w:tc>
          <w:tcPr>
            <w:tcW w:w="1130" w:type="dxa"/>
            <w:noWrap w:val="0"/>
            <w:vAlign w:val="center"/>
          </w:tcPr>
          <w:p>
            <w:pPr>
              <w:autoSpaceDE w:val="0"/>
              <w:autoSpaceDN w:val="0"/>
              <w:adjustRightInd w:val="0"/>
              <w:rPr>
                <w:rFonts w:ascii="Times New Roman" w:hAnsi="Times New Roman"/>
                <w:szCs w:val="21"/>
              </w:rPr>
            </w:pPr>
            <w:r>
              <w:rPr>
                <w:rFonts w:ascii="Times New Roman" w:hAnsi="Times New Roman"/>
                <w:szCs w:val="21"/>
              </w:rPr>
              <w:t>掌握酶的作用，培养学生具备职业道德和敬业精神。</w:t>
            </w:r>
          </w:p>
        </w:tc>
        <w:tc>
          <w:tcPr>
            <w:tcW w:w="2017" w:type="dxa"/>
            <w:noWrap w:val="0"/>
            <w:vAlign w:val="center"/>
          </w:tcPr>
          <w:p>
            <w:pPr>
              <w:autoSpaceDE w:val="0"/>
              <w:autoSpaceDN w:val="0"/>
              <w:adjustRightInd w:val="0"/>
              <w:rPr>
                <w:rFonts w:ascii="Times New Roman" w:hAnsi="Times New Roman"/>
                <w:kern w:val="0"/>
                <w:szCs w:val="21"/>
              </w:rPr>
            </w:pPr>
            <w:r>
              <w:rPr>
                <w:rFonts w:ascii="Times New Roman" w:hAnsi="Times New Roman"/>
                <w:kern w:val="0"/>
                <w:szCs w:val="21"/>
              </w:rPr>
              <w:t>掌握酶的化学本， 酶的结构及功能的关系；了解酶的调节，酶的分离提纯及活力测定。</w:t>
            </w:r>
          </w:p>
          <w:p>
            <w:pPr>
              <w:autoSpaceDE w:val="0"/>
              <w:autoSpaceDN w:val="0"/>
              <w:adjustRightInd w:val="0"/>
              <w:rPr>
                <w:rFonts w:ascii="Times New Roman" w:hAnsi="Times New Roman"/>
                <w:kern w:val="0"/>
                <w:szCs w:val="21"/>
              </w:rPr>
            </w:pPr>
          </w:p>
          <w:p>
            <w:pPr>
              <w:autoSpaceDE w:val="0"/>
              <w:autoSpaceDN w:val="0"/>
              <w:adjustRightInd w:val="0"/>
              <w:rPr>
                <w:rFonts w:ascii="Times New Roman" w:hAnsi="Times New Roman"/>
                <w:szCs w:val="21"/>
              </w:rPr>
            </w:pPr>
          </w:p>
        </w:tc>
        <w:tc>
          <w:tcPr>
            <w:tcW w:w="741" w:type="dxa"/>
            <w:noWrap w:val="0"/>
            <w:vAlign w:val="center"/>
          </w:tcPr>
          <w:p>
            <w:pPr>
              <w:spacing w:line="312" w:lineRule="auto"/>
              <w:jc w:val="center"/>
              <w:rPr>
                <w:rFonts w:ascii="Times New Roman" w:hAnsi="Times New Roman"/>
                <w:szCs w:val="21"/>
              </w:rPr>
            </w:pPr>
            <w:r>
              <w:rPr>
                <w:rFonts w:ascii="Times New Roman" w:hAnsi="Times New Roman"/>
                <w:szCs w:val="21"/>
              </w:rPr>
              <w:t>4（讲授）、</w:t>
            </w:r>
          </w:p>
        </w:tc>
        <w:tc>
          <w:tcPr>
            <w:tcW w:w="970" w:type="dxa"/>
            <w:noWrap w:val="0"/>
            <w:vAlign w:val="center"/>
          </w:tcPr>
          <w:p>
            <w:pPr>
              <w:rPr>
                <w:rFonts w:ascii="Times New Roman" w:hAnsi="Times New Roman"/>
                <w:szCs w:val="21"/>
              </w:rPr>
            </w:pPr>
            <w:r>
              <w:rPr>
                <w:rFonts w:ascii="Times New Roman" w:hAnsi="Times New Roman"/>
                <w:szCs w:val="21"/>
              </w:rPr>
              <w:t>讲授/实验/讨论/等</w:t>
            </w:r>
          </w:p>
        </w:tc>
        <w:tc>
          <w:tcPr>
            <w:tcW w:w="921" w:type="dxa"/>
            <w:noWrap w:val="0"/>
            <w:vAlign w:val="center"/>
          </w:tcPr>
          <w:p>
            <w:pPr>
              <w:jc w:val="center"/>
              <w:rPr>
                <w:rFonts w:ascii="Times New Roman" w:hAnsi="Times New Roman"/>
                <w:kern w:val="0"/>
                <w:szCs w:val="21"/>
              </w:rPr>
            </w:pPr>
            <w:r>
              <w:rPr>
                <w:rFonts w:ascii="Times New Roman" w:hAnsi="Times New Roman"/>
                <w:b/>
                <w:kern w:val="0"/>
                <w:szCs w:val="21"/>
              </w:rPr>
              <w:t>目标1</w:t>
            </w:r>
          </w:p>
          <w:p>
            <w:pPr>
              <w:jc w:val="center"/>
              <w:rPr>
                <w:rFonts w:ascii="Times New Roman" w:hAnsi="Times New Roman"/>
                <w:szCs w:val="21"/>
              </w:rPr>
            </w:pPr>
            <w:r>
              <w:rPr>
                <w:rFonts w:ascii="Times New Roman" w:hAnsi="Times New Roman"/>
                <w:b/>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4" w:type="dxa"/>
            <w:noWrap w:val="0"/>
            <w:vAlign w:val="center"/>
          </w:tcPr>
          <w:p>
            <w:pPr>
              <w:jc w:val="center"/>
              <w:rPr>
                <w:rFonts w:ascii="Times New Roman" w:hAnsi="Times New Roman"/>
                <w:szCs w:val="21"/>
              </w:rPr>
            </w:pPr>
            <w:r>
              <w:rPr>
                <w:rFonts w:ascii="Times New Roman" w:hAnsi="Times New Roman"/>
                <w:szCs w:val="21"/>
              </w:rPr>
              <w:t>5</w:t>
            </w:r>
          </w:p>
        </w:tc>
        <w:tc>
          <w:tcPr>
            <w:tcW w:w="2618" w:type="dxa"/>
            <w:noWrap w:val="0"/>
            <w:vAlign w:val="center"/>
          </w:tcPr>
          <w:p>
            <w:pPr>
              <w:rPr>
                <w:rFonts w:ascii="Times New Roman" w:hAnsi="Times New Roman"/>
                <w:b/>
                <w:kern w:val="0"/>
                <w:szCs w:val="21"/>
              </w:rPr>
            </w:pPr>
            <w:r>
              <w:rPr>
                <w:rFonts w:ascii="Times New Roman" w:hAnsi="Times New Roman"/>
                <w:b/>
              </w:rPr>
              <w:t>核酸的化学：</w:t>
            </w:r>
            <w:r>
              <w:rPr>
                <w:rFonts w:ascii="Times New Roman" w:hAnsi="Times New Roman"/>
                <w:bCs/>
              </w:rPr>
              <w:t>核酸的概念和重要性；核酸的分子结构；</w:t>
            </w:r>
            <w:r>
              <w:rPr>
                <w:rFonts w:ascii="Times New Roman" w:hAnsi="Times New Roman"/>
              </w:rPr>
              <w:t>核</w:t>
            </w:r>
            <w:r>
              <w:rPr>
                <w:rFonts w:ascii="Times New Roman" w:hAnsi="Times New Roman"/>
                <w:bCs/>
              </w:rPr>
              <w:t>酸的物理化学性质</w:t>
            </w:r>
            <w:r>
              <w:rPr>
                <w:rFonts w:ascii="Times New Roman" w:hAnsi="Times New Roman"/>
                <w:bCs/>
                <w:kern w:val="0"/>
                <w:szCs w:val="21"/>
              </w:rPr>
              <w:t>。</w:t>
            </w:r>
          </w:p>
          <w:p>
            <w:pPr>
              <w:rPr>
                <w:rFonts w:ascii="Times New Roman" w:hAnsi="Times New Roman"/>
                <w:kern w:val="0"/>
                <w:szCs w:val="21"/>
              </w:rPr>
            </w:pPr>
            <w:r>
              <w:rPr>
                <w:rFonts w:ascii="Times New Roman" w:hAnsi="Times New Roman"/>
                <w:b/>
                <w:kern w:val="0"/>
                <w:szCs w:val="21"/>
              </w:rPr>
              <w:t>重点和难点：</w:t>
            </w:r>
            <w:r>
              <w:rPr>
                <w:rFonts w:ascii="Times New Roman" w:hAnsi="Times New Roman"/>
                <w:bCs/>
                <w:kern w:val="0"/>
                <w:szCs w:val="21"/>
              </w:rPr>
              <w:t>核酸的分子结构；核酸的性质。</w:t>
            </w:r>
          </w:p>
        </w:tc>
        <w:tc>
          <w:tcPr>
            <w:tcW w:w="1130" w:type="dxa"/>
            <w:noWrap w:val="0"/>
            <w:vAlign w:val="center"/>
          </w:tcPr>
          <w:p>
            <w:pPr>
              <w:rPr>
                <w:rFonts w:ascii="Times New Roman" w:hAnsi="Times New Roman"/>
                <w:szCs w:val="21"/>
              </w:rPr>
            </w:pPr>
            <w:r>
              <w:rPr>
                <w:rFonts w:ascii="Times New Roman" w:hAnsi="Times New Roman"/>
                <w:szCs w:val="21"/>
              </w:rPr>
              <w:t>掌握核酸相关的结构与性质用，培养学生具备职业道德和敬业精神。</w:t>
            </w:r>
          </w:p>
        </w:tc>
        <w:tc>
          <w:tcPr>
            <w:tcW w:w="2017" w:type="dxa"/>
            <w:noWrap w:val="0"/>
            <w:vAlign w:val="center"/>
          </w:tcPr>
          <w:p>
            <w:pPr>
              <w:rPr>
                <w:rFonts w:ascii="Times New Roman" w:hAnsi="Times New Roman"/>
                <w:szCs w:val="21"/>
              </w:rPr>
            </w:pPr>
            <w:r>
              <w:rPr>
                <w:rFonts w:ascii="Times New Roman" w:hAnsi="Times New Roman"/>
              </w:rPr>
              <w:t>掌握核苷酸及核酸的结构；核酸的化学结构、性质及生物学功能。</w:t>
            </w:r>
          </w:p>
        </w:tc>
        <w:tc>
          <w:tcPr>
            <w:tcW w:w="741" w:type="dxa"/>
            <w:noWrap w:val="0"/>
            <w:vAlign w:val="center"/>
          </w:tcPr>
          <w:p>
            <w:pPr>
              <w:spacing w:line="312" w:lineRule="auto"/>
              <w:jc w:val="center"/>
              <w:rPr>
                <w:rFonts w:ascii="Times New Roman" w:hAnsi="Times New Roman"/>
                <w:szCs w:val="21"/>
              </w:rPr>
            </w:pPr>
            <w:r>
              <w:rPr>
                <w:rFonts w:ascii="Times New Roman" w:hAnsi="Times New Roman"/>
                <w:szCs w:val="21"/>
              </w:rPr>
              <w:t>2（讲授）、</w:t>
            </w:r>
          </w:p>
        </w:tc>
        <w:tc>
          <w:tcPr>
            <w:tcW w:w="970" w:type="dxa"/>
            <w:noWrap w:val="0"/>
            <w:vAlign w:val="center"/>
          </w:tcPr>
          <w:p>
            <w:pPr>
              <w:rPr>
                <w:rFonts w:ascii="Times New Roman" w:hAnsi="Times New Roman"/>
                <w:szCs w:val="21"/>
              </w:rPr>
            </w:pPr>
            <w:r>
              <w:rPr>
                <w:rFonts w:ascii="Times New Roman" w:hAnsi="Times New Roman"/>
                <w:szCs w:val="21"/>
              </w:rPr>
              <w:t>讲授/实验/讨论/等</w:t>
            </w:r>
          </w:p>
        </w:tc>
        <w:tc>
          <w:tcPr>
            <w:tcW w:w="921" w:type="dxa"/>
            <w:noWrap w:val="0"/>
            <w:vAlign w:val="center"/>
          </w:tcPr>
          <w:p>
            <w:pPr>
              <w:jc w:val="center"/>
              <w:rPr>
                <w:rFonts w:ascii="Times New Roman" w:hAnsi="Times New Roman"/>
                <w:kern w:val="0"/>
                <w:szCs w:val="21"/>
              </w:rPr>
            </w:pPr>
            <w:r>
              <w:rPr>
                <w:rFonts w:ascii="Times New Roman" w:hAnsi="Times New Roman"/>
                <w:b/>
                <w:kern w:val="0"/>
                <w:szCs w:val="21"/>
              </w:rPr>
              <w:t>目标1</w:t>
            </w:r>
          </w:p>
          <w:p>
            <w:pPr>
              <w:jc w:val="center"/>
              <w:rPr>
                <w:rFonts w:ascii="Times New Roman" w:hAnsi="Times New Roman"/>
                <w:szCs w:val="21"/>
              </w:rPr>
            </w:pPr>
            <w:r>
              <w:rPr>
                <w:rFonts w:ascii="Times New Roman" w:hAnsi="Times New Roman"/>
                <w:b/>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1" w:hRule="atLeast"/>
          <w:jc w:val="center"/>
        </w:trPr>
        <w:tc>
          <w:tcPr>
            <w:tcW w:w="774" w:type="dxa"/>
            <w:noWrap w:val="0"/>
            <w:vAlign w:val="center"/>
          </w:tcPr>
          <w:p>
            <w:pPr>
              <w:jc w:val="center"/>
              <w:rPr>
                <w:rFonts w:ascii="Times New Roman" w:hAnsi="Times New Roman"/>
                <w:szCs w:val="21"/>
              </w:rPr>
            </w:pPr>
            <w:r>
              <w:rPr>
                <w:rFonts w:ascii="Times New Roman" w:hAnsi="Times New Roman"/>
                <w:szCs w:val="21"/>
              </w:rPr>
              <w:t>6</w:t>
            </w:r>
          </w:p>
        </w:tc>
        <w:tc>
          <w:tcPr>
            <w:tcW w:w="2618" w:type="dxa"/>
            <w:noWrap w:val="0"/>
            <w:vAlign w:val="center"/>
          </w:tcPr>
          <w:p>
            <w:pPr>
              <w:pStyle w:val="5"/>
              <w:ind w:firstLine="120" w:firstLineChars="50"/>
              <w:rPr>
                <w:rFonts w:hint="default" w:ascii="Times New Roman" w:hAnsi="Times New Roman"/>
                <w:szCs w:val="21"/>
              </w:rPr>
            </w:pPr>
            <w:r>
              <w:rPr>
                <w:rFonts w:hint="default" w:ascii="Times New Roman" w:hAnsi="Times New Roman"/>
                <w:b/>
              </w:rPr>
              <w:t xml:space="preserve"> </w:t>
            </w:r>
            <w:r>
              <w:rPr>
                <w:rFonts w:hint="default" w:ascii="Times New Roman" w:hAnsi="Times New Roman"/>
                <w:b/>
                <w:sz w:val="21"/>
                <w:szCs w:val="21"/>
              </w:rPr>
              <w:t>生物氧化：</w:t>
            </w:r>
            <w:r>
              <w:rPr>
                <w:rFonts w:hint="default" w:ascii="Times New Roman" w:hAnsi="Times New Roman"/>
                <w:bCs/>
                <w:sz w:val="21"/>
                <w:szCs w:val="21"/>
              </w:rPr>
              <w:t>新陈代谢总论；生物氧化。</w:t>
            </w:r>
            <w:r>
              <w:rPr>
                <w:rFonts w:hint="default" w:ascii="Times New Roman" w:hAnsi="Times New Roman"/>
                <w:b/>
                <w:sz w:val="21"/>
                <w:szCs w:val="21"/>
              </w:rPr>
              <w:t>重点和难点</w:t>
            </w:r>
            <w:r>
              <w:rPr>
                <w:rFonts w:hint="default" w:ascii="Times New Roman" w:hAnsi="Times New Roman"/>
                <w:b/>
                <w:szCs w:val="21"/>
              </w:rPr>
              <w:t>：</w:t>
            </w:r>
            <w:r>
              <w:rPr>
                <w:rFonts w:hint="default" w:ascii="Times New Roman" w:hAnsi="Times New Roman"/>
                <w:bCs/>
                <w:sz w:val="21"/>
                <w:szCs w:val="21"/>
              </w:rPr>
              <w:t>生物氧化呼吸链；呼吸链的调节。</w:t>
            </w:r>
          </w:p>
        </w:tc>
        <w:tc>
          <w:tcPr>
            <w:tcW w:w="1130" w:type="dxa"/>
            <w:noWrap w:val="0"/>
            <w:vAlign w:val="center"/>
          </w:tcPr>
          <w:p>
            <w:pPr>
              <w:rPr>
                <w:rFonts w:ascii="Times New Roman" w:hAnsi="Times New Roman"/>
                <w:kern w:val="0"/>
                <w:szCs w:val="21"/>
              </w:rPr>
            </w:pPr>
            <w:r>
              <w:rPr>
                <w:rFonts w:ascii="Times New Roman" w:hAnsi="Times New Roman"/>
                <w:szCs w:val="21"/>
              </w:rPr>
              <w:t>了解新陈代谢过程，培养学生热爱生命，培养良好的生活习惯。</w:t>
            </w:r>
          </w:p>
        </w:tc>
        <w:tc>
          <w:tcPr>
            <w:tcW w:w="2017" w:type="dxa"/>
            <w:noWrap w:val="0"/>
            <w:vAlign w:val="center"/>
          </w:tcPr>
          <w:p>
            <w:pPr>
              <w:tabs>
                <w:tab w:val="left" w:pos="4000"/>
              </w:tabs>
              <w:ind w:firstLine="420" w:firstLineChars="200"/>
              <w:rPr>
                <w:rFonts w:ascii="Times New Roman" w:hAnsi="Times New Roman"/>
                <w:kern w:val="0"/>
                <w:szCs w:val="21"/>
              </w:rPr>
            </w:pPr>
            <w:r>
              <w:rPr>
                <w:rFonts w:ascii="Times New Roman" w:hAnsi="Times New Roman"/>
                <w:kern w:val="0"/>
                <w:szCs w:val="21"/>
              </w:rPr>
              <w:t>了解氧化还原电势；掌握电子传递和氧化磷酸化作用。</w:t>
            </w:r>
          </w:p>
          <w:p>
            <w:pPr>
              <w:tabs>
                <w:tab w:val="left" w:pos="4000"/>
              </w:tabs>
              <w:ind w:firstLine="420" w:firstLineChars="200"/>
              <w:rPr>
                <w:rFonts w:ascii="Times New Roman" w:hAnsi="Times New Roman"/>
                <w:kern w:val="0"/>
                <w:szCs w:val="21"/>
              </w:rPr>
            </w:pPr>
          </w:p>
        </w:tc>
        <w:tc>
          <w:tcPr>
            <w:tcW w:w="741" w:type="dxa"/>
            <w:noWrap w:val="0"/>
            <w:vAlign w:val="center"/>
          </w:tcPr>
          <w:p>
            <w:pPr>
              <w:spacing w:line="312" w:lineRule="auto"/>
              <w:jc w:val="center"/>
              <w:rPr>
                <w:rFonts w:ascii="Times New Roman" w:hAnsi="Times New Roman"/>
                <w:szCs w:val="21"/>
              </w:rPr>
            </w:pPr>
            <w:r>
              <w:rPr>
                <w:rFonts w:ascii="Times New Roman" w:hAnsi="Times New Roman"/>
                <w:szCs w:val="21"/>
              </w:rPr>
              <w:t>4（讲授）、</w:t>
            </w:r>
          </w:p>
        </w:tc>
        <w:tc>
          <w:tcPr>
            <w:tcW w:w="970" w:type="dxa"/>
            <w:noWrap w:val="0"/>
            <w:vAlign w:val="center"/>
          </w:tcPr>
          <w:p>
            <w:pPr>
              <w:rPr>
                <w:rFonts w:ascii="Times New Roman" w:hAnsi="Times New Roman"/>
                <w:szCs w:val="21"/>
              </w:rPr>
            </w:pPr>
            <w:r>
              <w:rPr>
                <w:rFonts w:ascii="Times New Roman" w:hAnsi="Times New Roman"/>
                <w:szCs w:val="21"/>
              </w:rPr>
              <w:t>讲授/实验/讨论/等</w:t>
            </w:r>
          </w:p>
        </w:tc>
        <w:tc>
          <w:tcPr>
            <w:tcW w:w="921" w:type="dxa"/>
            <w:noWrap w:val="0"/>
            <w:vAlign w:val="center"/>
          </w:tcPr>
          <w:p>
            <w:pPr>
              <w:jc w:val="center"/>
              <w:rPr>
                <w:rFonts w:ascii="Times New Roman" w:hAnsi="Times New Roman"/>
                <w:kern w:val="0"/>
                <w:szCs w:val="21"/>
              </w:rPr>
            </w:pPr>
            <w:r>
              <w:rPr>
                <w:rFonts w:ascii="Times New Roman" w:hAnsi="Times New Roman"/>
                <w:b/>
                <w:kern w:val="0"/>
                <w:szCs w:val="21"/>
              </w:rPr>
              <w:t>目标1</w:t>
            </w:r>
          </w:p>
          <w:p>
            <w:pPr>
              <w:jc w:val="center"/>
              <w:rPr>
                <w:rFonts w:ascii="Times New Roman" w:hAnsi="Times New Roman"/>
                <w:szCs w:val="21"/>
              </w:rPr>
            </w:pPr>
            <w:r>
              <w:rPr>
                <w:rFonts w:ascii="Times New Roman" w:hAnsi="Times New Roman"/>
                <w:b/>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4" w:type="dxa"/>
            <w:noWrap w:val="0"/>
            <w:vAlign w:val="center"/>
          </w:tcPr>
          <w:p>
            <w:pPr>
              <w:jc w:val="center"/>
              <w:rPr>
                <w:rFonts w:ascii="Times New Roman" w:hAnsi="Times New Roman"/>
                <w:szCs w:val="21"/>
              </w:rPr>
            </w:pPr>
            <w:r>
              <w:rPr>
                <w:rFonts w:ascii="Times New Roman" w:hAnsi="Times New Roman"/>
                <w:szCs w:val="21"/>
              </w:rPr>
              <w:t>7</w:t>
            </w:r>
          </w:p>
        </w:tc>
        <w:tc>
          <w:tcPr>
            <w:tcW w:w="2618" w:type="dxa"/>
            <w:noWrap w:val="0"/>
            <w:vAlign w:val="center"/>
          </w:tcPr>
          <w:p>
            <w:pPr>
              <w:rPr>
                <w:rFonts w:ascii="Times New Roman" w:hAnsi="Times New Roman"/>
                <w:bCs/>
                <w:kern w:val="0"/>
                <w:szCs w:val="21"/>
              </w:rPr>
            </w:pPr>
            <w:r>
              <w:rPr>
                <w:rFonts w:ascii="Times New Roman" w:hAnsi="Times New Roman"/>
                <w:b/>
                <w:szCs w:val="21"/>
              </w:rPr>
              <w:t>糖代谢：</w:t>
            </w:r>
            <w:r>
              <w:rPr>
                <w:rFonts w:ascii="Times New Roman" w:hAnsi="Times New Roman"/>
                <w:bCs/>
                <w:szCs w:val="21"/>
              </w:rPr>
              <w:t>糖的消化、吸收、运输、贮存；糖的分解代谢；糖的合成代谢；利用代谢调节生产发酵产品</w:t>
            </w:r>
            <w:r>
              <w:rPr>
                <w:rFonts w:ascii="Times New Roman" w:hAnsi="Times New Roman"/>
                <w:szCs w:val="21"/>
              </w:rPr>
              <w:t>。</w:t>
            </w:r>
          </w:p>
          <w:p>
            <w:pPr>
              <w:pStyle w:val="5"/>
              <w:ind w:firstLine="0"/>
              <w:rPr>
                <w:rFonts w:hint="default" w:ascii="Times New Roman" w:hAnsi="Times New Roman"/>
                <w:szCs w:val="21"/>
              </w:rPr>
            </w:pPr>
            <w:r>
              <w:rPr>
                <w:rFonts w:hint="default" w:ascii="Times New Roman" w:hAnsi="Times New Roman"/>
                <w:b/>
                <w:sz w:val="21"/>
                <w:szCs w:val="21"/>
              </w:rPr>
              <w:t>重点和难点：</w:t>
            </w:r>
            <w:r>
              <w:rPr>
                <w:rFonts w:hint="default" w:ascii="Times New Roman" w:hAnsi="Times New Roman"/>
                <w:bCs/>
                <w:sz w:val="21"/>
                <w:szCs w:val="21"/>
              </w:rPr>
              <w:t>糖分解代谢的途径；丙酮酸的脱氢和脱羧过程及柠檬酸循环过程。</w:t>
            </w:r>
          </w:p>
        </w:tc>
        <w:tc>
          <w:tcPr>
            <w:tcW w:w="1130" w:type="dxa"/>
            <w:noWrap w:val="0"/>
            <w:vAlign w:val="center"/>
          </w:tcPr>
          <w:p>
            <w:pPr>
              <w:rPr>
                <w:rFonts w:ascii="Times New Roman" w:hAnsi="Times New Roman"/>
                <w:kern w:val="0"/>
                <w:szCs w:val="21"/>
              </w:rPr>
            </w:pPr>
            <w:r>
              <w:rPr>
                <w:rFonts w:ascii="Times New Roman" w:hAnsi="Times New Roman"/>
                <w:szCs w:val="21"/>
              </w:rPr>
              <w:t>了解糖代谢的重要性，培养学生具备职业道德和敬业精神。</w:t>
            </w:r>
          </w:p>
        </w:tc>
        <w:tc>
          <w:tcPr>
            <w:tcW w:w="2017" w:type="dxa"/>
            <w:noWrap w:val="0"/>
            <w:vAlign w:val="center"/>
          </w:tcPr>
          <w:p>
            <w:pPr>
              <w:pStyle w:val="5"/>
              <w:rPr>
                <w:rFonts w:hint="default" w:ascii="Times New Roman" w:hAnsi="Times New Roman"/>
                <w:szCs w:val="21"/>
              </w:rPr>
            </w:pPr>
            <w:r>
              <w:rPr>
                <w:rFonts w:hint="default" w:ascii="Times New Roman" w:hAnsi="Times New Roman"/>
                <w:bCs/>
                <w:sz w:val="21"/>
                <w:szCs w:val="21"/>
              </w:rPr>
              <w:t>掌握糖分解代谢的途径和相关概念、糖原合成及分解的途径；糖代谢与其他生物大分子代谢之间的关系，物质代谢与能量代谢之间的关系；糖酵解作用的反应机制及能量转变；丙酮酸的脱氢和脱羧过程及柠檬酸循环过程。</w:t>
            </w:r>
          </w:p>
        </w:tc>
        <w:tc>
          <w:tcPr>
            <w:tcW w:w="741" w:type="dxa"/>
            <w:noWrap w:val="0"/>
            <w:vAlign w:val="center"/>
          </w:tcPr>
          <w:p>
            <w:pPr>
              <w:spacing w:line="312" w:lineRule="auto"/>
              <w:jc w:val="center"/>
              <w:rPr>
                <w:rFonts w:ascii="Times New Roman" w:hAnsi="Times New Roman"/>
                <w:szCs w:val="21"/>
              </w:rPr>
            </w:pPr>
            <w:r>
              <w:rPr>
                <w:rFonts w:ascii="Times New Roman" w:hAnsi="Times New Roman"/>
                <w:szCs w:val="21"/>
              </w:rPr>
              <w:t>6（讲授）</w:t>
            </w:r>
          </w:p>
        </w:tc>
        <w:tc>
          <w:tcPr>
            <w:tcW w:w="970" w:type="dxa"/>
            <w:noWrap w:val="0"/>
            <w:vAlign w:val="center"/>
          </w:tcPr>
          <w:p>
            <w:pPr>
              <w:rPr>
                <w:rFonts w:ascii="Times New Roman" w:hAnsi="Times New Roman"/>
                <w:szCs w:val="21"/>
              </w:rPr>
            </w:pPr>
            <w:r>
              <w:rPr>
                <w:rFonts w:ascii="Times New Roman" w:hAnsi="Times New Roman"/>
                <w:szCs w:val="21"/>
              </w:rPr>
              <w:t>讲授/实验/讨论/等</w:t>
            </w:r>
          </w:p>
        </w:tc>
        <w:tc>
          <w:tcPr>
            <w:tcW w:w="921" w:type="dxa"/>
            <w:noWrap w:val="0"/>
            <w:vAlign w:val="center"/>
          </w:tcPr>
          <w:p>
            <w:pPr>
              <w:jc w:val="center"/>
              <w:rPr>
                <w:rFonts w:ascii="Times New Roman" w:hAnsi="Times New Roman"/>
                <w:kern w:val="0"/>
                <w:szCs w:val="21"/>
              </w:rPr>
            </w:pPr>
            <w:r>
              <w:rPr>
                <w:rFonts w:ascii="Times New Roman" w:hAnsi="Times New Roman"/>
                <w:b/>
                <w:kern w:val="0"/>
                <w:szCs w:val="21"/>
              </w:rPr>
              <w:t>目标1</w:t>
            </w:r>
          </w:p>
          <w:p>
            <w:pPr>
              <w:jc w:val="center"/>
              <w:rPr>
                <w:rFonts w:ascii="Times New Roman" w:hAnsi="Times New Roman"/>
                <w:szCs w:val="21"/>
              </w:rPr>
            </w:pPr>
            <w:r>
              <w:rPr>
                <w:rFonts w:ascii="Times New Roman" w:hAnsi="Times New Roman"/>
                <w:b/>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4" w:type="dxa"/>
            <w:noWrap w:val="0"/>
            <w:vAlign w:val="center"/>
          </w:tcPr>
          <w:p>
            <w:pPr>
              <w:jc w:val="center"/>
              <w:rPr>
                <w:rFonts w:ascii="Times New Roman" w:hAnsi="Times New Roman"/>
                <w:szCs w:val="21"/>
              </w:rPr>
            </w:pPr>
            <w:r>
              <w:rPr>
                <w:rFonts w:ascii="Times New Roman" w:hAnsi="Times New Roman"/>
                <w:szCs w:val="21"/>
              </w:rPr>
              <w:t>8</w:t>
            </w:r>
          </w:p>
        </w:tc>
        <w:tc>
          <w:tcPr>
            <w:tcW w:w="2618" w:type="dxa"/>
            <w:noWrap w:val="0"/>
            <w:vAlign w:val="center"/>
          </w:tcPr>
          <w:p>
            <w:pPr>
              <w:pStyle w:val="5"/>
              <w:ind w:firstLine="105" w:firstLineChars="50"/>
              <w:rPr>
                <w:rFonts w:hint="default" w:ascii="Times New Roman" w:hAnsi="Times New Roman"/>
                <w:sz w:val="21"/>
                <w:szCs w:val="21"/>
              </w:rPr>
            </w:pPr>
            <w:r>
              <w:rPr>
                <w:rFonts w:hint="default" w:ascii="Times New Roman" w:hAnsi="Times New Roman"/>
                <w:b/>
                <w:sz w:val="21"/>
                <w:szCs w:val="21"/>
              </w:rPr>
              <w:t>脂类代谢：</w:t>
            </w:r>
            <w:r>
              <w:rPr>
                <w:rFonts w:hint="default" w:ascii="Times New Roman" w:hAnsi="Times New Roman"/>
                <w:sz w:val="21"/>
                <w:szCs w:val="21"/>
              </w:rPr>
              <w:t>脂类的消化、吸收、转运和储存；脂肪的分解代谢；脂肪酸及脂肪的合成代谢；磷脂的代谢；胆固醇代谢。</w:t>
            </w:r>
          </w:p>
          <w:p>
            <w:pPr>
              <w:pStyle w:val="5"/>
              <w:ind w:firstLine="105" w:firstLineChars="50"/>
              <w:rPr>
                <w:rFonts w:hint="default" w:ascii="Times New Roman" w:hAnsi="Times New Roman"/>
                <w:b/>
                <w:szCs w:val="21"/>
              </w:rPr>
            </w:pPr>
            <w:r>
              <w:rPr>
                <w:rFonts w:hint="default" w:ascii="Times New Roman" w:hAnsi="Times New Roman"/>
                <w:b/>
                <w:sz w:val="21"/>
                <w:szCs w:val="21"/>
              </w:rPr>
              <w:t>重点和难点：</w:t>
            </w:r>
            <w:r>
              <w:rPr>
                <w:rFonts w:hint="default" w:ascii="Times New Roman" w:hAnsi="Times New Roman"/>
                <w:bCs/>
                <w:sz w:val="21"/>
                <w:szCs w:val="21"/>
              </w:rPr>
              <w:t>胆固醇代谢过程；</w:t>
            </w:r>
            <w:r>
              <w:rPr>
                <w:rFonts w:hint="default" w:ascii="Times New Roman" w:hAnsi="Times New Roman"/>
                <w:sz w:val="21"/>
                <w:szCs w:val="21"/>
              </w:rPr>
              <w:t>脂肪酸及脂肪的合成代谢。</w:t>
            </w:r>
          </w:p>
        </w:tc>
        <w:tc>
          <w:tcPr>
            <w:tcW w:w="1130" w:type="dxa"/>
            <w:noWrap w:val="0"/>
            <w:vAlign w:val="center"/>
          </w:tcPr>
          <w:p>
            <w:pPr>
              <w:autoSpaceDE w:val="0"/>
              <w:autoSpaceDN w:val="0"/>
              <w:adjustRightInd w:val="0"/>
              <w:rPr>
                <w:rFonts w:ascii="Times New Roman" w:hAnsi="Times New Roman"/>
                <w:szCs w:val="21"/>
              </w:rPr>
            </w:pPr>
            <w:r>
              <w:rPr>
                <w:rFonts w:ascii="Times New Roman" w:hAnsi="Times New Roman"/>
                <w:szCs w:val="21"/>
              </w:rPr>
              <w:t>掌握脂代谢的应用，培养学生具备职业道德和敬业精神。</w:t>
            </w:r>
          </w:p>
        </w:tc>
        <w:tc>
          <w:tcPr>
            <w:tcW w:w="2017" w:type="dxa"/>
            <w:noWrap w:val="0"/>
            <w:vAlign w:val="center"/>
          </w:tcPr>
          <w:p>
            <w:pPr>
              <w:rPr>
                <w:rFonts w:ascii="Times New Roman" w:hAnsi="Times New Roman"/>
                <w:kern w:val="0"/>
                <w:szCs w:val="21"/>
              </w:rPr>
            </w:pPr>
            <w:r>
              <w:rPr>
                <w:rFonts w:ascii="Times New Roman" w:hAnsi="Times New Roman"/>
                <w:kern w:val="0"/>
                <w:szCs w:val="21"/>
              </w:rPr>
              <w:t>了解脂质的消化作用；掌握脂肪酸的氧化分解,合成及酮体的生成。</w:t>
            </w:r>
          </w:p>
        </w:tc>
        <w:tc>
          <w:tcPr>
            <w:tcW w:w="741" w:type="dxa"/>
            <w:noWrap w:val="0"/>
            <w:vAlign w:val="center"/>
          </w:tcPr>
          <w:p>
            <w:pPr>
              <w:spacing w:line="312" w:lineRule="auto"/>
              <w:jc w:val="center"/>
              <w:rPr>
                <w:rFonts w:ascii="Times New Roman" w:hAnsi="Times New Roman"/>
                <w:szCs w:val="21"/>
              </w:rPr>
            </w:pPr>
            <w:r>
              <w:rPr>
                <w:rFonts w:ascii="Times New Roman" w:hAnsi="Times New Roman"/>
                <w:szCs w:val="21"/>
              </w:rPr>
              <w:t>4（讲授）</w:t>
            </w:r>
          </w:p>
        </w:tc>
        <w:tc>
          <w:tcPr>
            <w:tcW w:w="970" w:type="dxa"/>
            <w:noWrap w:val="0"/>
            <w:vAlign w:val="center"/>
          </w:tcPr>
          <w:p>
            <w:pPr>
              <w:rPr>
                <w:rFonts w:ascii="Times New Roman" w:hAnsi="Times New Roman"/>
                <w:szCs w:val="21"/>
              </w:rPr>
            </w:pPr>
            <w:r>
              <w:rPr>
                <w:rFonts w:ascii="Times New Roman" w:hAnsi="Times New Roman"/>
                <w:szCs w:val="21"/>
              </w:rPr>
              <w:t>讲授/实验/讨论/等</w:t>
            </w:r>
          </w:p>
        </w:tc>
        <w:tc>
          <w:tcPr>
            <w:tcW w:w="921" w:type="dxa"/>
            <w:noWrap w:val="0"/>
            <w:vAlign w:val="center"/>
          </w:tcPr>
          <w:p>
            <w:pPr>
              <w:jc w:val="center"/>
              <w:rPr>
                <w:rFonts w:ascii="Times New Roman" w:hAnsi="Times New Roman"/>
                <w:kern w:val="0"/>
                <w:szCs w:val="21"/>
              </w:rPr>
            </w:pPr>
            <w:r>
              <w:rPr>
                <w:rFonts w:ascii="Times New Roman" w:hAnsi="Times New Roman"/>
                <w:b/>
                <w:kern w:val="0"/>
                <w:szCs w:val="21"/>
              </w:rPr>
              <w:t>目标1</w:t>
            </w:r>
          </w:p>
          <w:p>
            <w:pPr>
              <w:jc w:val="center"/>
              <w:rPr>
                <w:rFonts w:ascii="Times New Roman" w:hAnsi="Times New Roman"/>
                <w:b/>
                <w:kern w:val="0"/>
                <w:szCs w:val="21"/>
              </w:rPr>
            </w:pPr>
            <w:r>
              <w:rPr>
                <w:rFonts w:ascii="Times New Roman" w:hAnsi="Times New Roman"/>
                <w:b/>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4" w:type="dxa"/>
            <w:noWrap w:val="0"/>
            <w:vAlign w:val="center"/>
          </w:tcPr>
          <w:p>
            <w:pPr>
              <w:jc w:val="center"/>
              <w:rPr>
                <w:rFonts w:ascii="Times New Roman" w:hAnsi="Times New Roman"/>
                <w:szCs w:val="21"/>
              </w:rPr>
            </w:pPr>
            <w:r>
              <w:rPr>
                <w:rFonts w:ascii="Times New Roman" w:hAnsi="Times New Roman"/>
                <w:szCs w:val="21"/>
              </w:rPr>
              <w:t>9</w:t>
            </w:r>
          </w:p>
        </w:tc>
        <w:tc>
          <w:tcPr>
            <w:tcW w:w="2618" w:type="dxa"/>
            <w:noWrap w:val="0"/>
            <w:vAlign w:val="center"/>
          </w:tcPr>
          <w:p>
            <w:pPr>
              <w:rPr>
                <w:rFonts w:ascii="Times New Roman" w:hAnsi="Times New Roman"/>
                <w:bCs/>
                <w:kern w:val="0"/>
                <w:szCs w:val="21"/>
              </w:rPr>
            </w:pPr>
          </w:p>
          <w:p>
            <w:pPr>
              <w:rPr>
                <w:rFonts w:ascii="Times New Roman" w:hAnsi="Times New Roman"/>
                <w:kern w:val="0"/>
                <w:szCs w:val="21"/>
              </w:rPr>
            </w:pPr>
            <w:r>
              <w:rPr>
                <w:rFonts w:ascii="Times New Roman" w:hAnsi="Times New Roman"/>
                <w:b/>
                <w:szCs w:val="21"/>
              </w:rPr>
              <w:t>蛋白质分解代谢：</w:t>
            </w:r>
            <w:r>
              <w:rPr>
                <w:rFonts w:ascii="Times New Roman" w:hAnsi="Times New Roman"/>
                <w:bCs/>
                <w:szCs w:val="21"/>
              </w:rPr>
              <w:t>蛋白质的营养作用；</w:t>
            </w:r>
            <w:r>
              <w:rPr>
                <w:rFonts w:ascii="Times New Roman" w:hAnsi="Times New Roman"/>
                <w:szCs w:val="21"/>
              </w:rPr>
              <w:t>蛋白质的消化吸收；氨基酸的分解代谢；氨基酸脱氨、脱羧产物的进一步代谢；一碳单位与氨基酸代谢。</w:t>
            </w:r>
            <w:r>
              <w:rPr>
                <w:rFonts w:ascii="Times New Roman" w:hAnsi="Times New Roman"/>
                <w:b/>
                <w:kern w:val="0"/>
                <w:szCs w:val="21"/>
              </w:rPr>
              <w:t>重点和难点：</w:t>
            </w:r>
            <w:r>
              <w:rPr>
                <w:rFonts w:ascii="Times New Roman" w:hAnsi="Times New Roman"/>
                <w:szCs w:val="21"/>
              </w:rPr>
              <w:t>氨基酸的分解代谢；一碳单位与氨基酸代谢</w:t>
            </w:r>
            <w:r>
              <w:rPr>
                <w:rFonts w:ascii="Times New Roman" w:hAnsi="Times New Roman"/>
                <w:bCs/>
                <w:kern w:val="0"/>
                <w:szCs w:val="21"/>
              </w:rPr>
              <w:t>。</w:t>
            </w:r>
          </w:p>
        </w:tc>
        <w:tc>
          <w:tcPr>
            <w:tcW w:w="1130" w:type="dxa"/>
            <w:noWrap w:val="0"/>
            <w:vAlign w:val="center"/>
          </w:tcPr>
          <w:p>
            <w:pPr>
              <w:autoSpaceDE w:val="0"/>
              <w:autoSpaceDN w:val="0"/>
              <w:adjustRightInd w:val="0"/>
              <w:rPr>
                <w:rFonts w:ascii="Times New Roman" w:hAnsi="Times New Roman"/>
                <w:kern w:val="0"/>
                <w:szCs w:val="21"/>
              </w:rPr>
            </w:pPr>
            <w:r>
              <w:rPr>
                <w:rFonts w:ascii="Times New Roman" w:hAnsi="Times New Roman"/>
                <w:kern w:val="0"/>
                <w:szCs w:val="21"/>
              </w:rPr>
              <w:t>掌握蛋白脂代谢的相关内容，培养学生具备工匠精神。</w:t>
            </w:r>
          </w:p>
        </w:tc>
        <w:tc>
          <w:tcPr>
            <w:tcW w:w="2017" w:type="dxa"/>
            <w:noWrap w:val="0"/>
            <w:vAlign w:val="center"/>
          </w:tcPr>
          <w:p>
            <w:pPr>
              <w:autoSpaceDE w:val="0"/>
              <w:autoSpaceDN w:val="0"/>
              <w:adjustRightInd w:val="0"/>
              <w:rPr>
                <w:rFonts w:ascii="Times New Roman" w:hAnsi="Times New Roman"/>
                <w:kern w:val="0"/>
                <w:szCs w:val="21"/>
              </w:rPr>
            </w:pPr>
            <w:r>
              <w:rPr>
                <w:rFonts w:ascii="Times New Roman" w:hAnsi="Times New Roman"/>
                <w:szCs w:val="21"/>
              </w:rPr>
              <w:t>掌握氮平衡，必需氨基酸，氧化脱氨作用，转氨作用，联合脱氨作用，生糖或生酮氨基酸；了解氨基酸分解产物的代谢途径：氨基氮的排泄及尿素循环；一碳化合物与氨基酸代谢的关系。</w:t>
            </w:r>
          </w:p>
        </w:tc>
        <w:tc>
          <w:tcPr>
            <w:tcW w:w="741" w:type="dxa"/>
            <w:noWrap w:val="0"/>
            <w:vAlign w:val="center"/>
          </w:tcPr>
          <w:p>
            <w:pPr>
              <w:spacing w:line="312" w:lineRule="auto"/>
              <w:jc w:val="center"/>
              <w:rPr>
                <w:rFonts w:ascii="Times New Roman" w:hAnsi="Times New Roman"/>
                <w:szCs w:val="21"/>
              </w:rPr>
            </w:pPr>
            <w:r>
              <w:rPr>
                <w:rFonts w:ascii="Times New Roman" w:hAnsi="Times New Roman"/>
                <w:szCs w:val="21"/>
              </w:rPr>
              <w:t>2（讲授）</w:t>
            </w:r>
          </w:p>
        </w:tc>
        <w:tc>
          <w:tcPr>
            <w:tcW w:w="970" w:type="dxa"/>
            <w:noWrap w:val="0"/>
            <w:vAlign w:val="center"/>
          </w:tcPr>
          <w:p>
            <w:pPr>
              <w:rPr>
                <w:rFonts w:ascii="Times New Roman" w:hAnsi="Times New Roman"/>
                <w:szCs w:val="21"/>
              </w:rPr>
            </w:pPr>
            <w:r>
              <w:rPr>
                <w:rFonts w:ascii="Times New Roman" w:hAnsi="Times New Roman"/>
                <w:szCs w:val="21"/>
              </w:rPr>
              <w:t>讲授/实例/讨论/等</w:t>
            </w:r>
          </w:p>
        </w:tc>
        <w:tc>
          <w:tcPr>
            <w:tcW w:w="921" w:type="dxa"/>
            <w:noWrap w:val="0"/>
            <w:vAlign w:val="center"/>
          </w:tcPr>
          <w:p>
            <w:pPr>
              <w:jc w:val="center"/>
              <w:rPr>
                <w:rFonts w:ascii="Times New Roman" w:hAnsi="Times New Roman"/>
                <w:b/>
                <w:kern w:val="0"/>
                <w:szCs w:val="21"/>
              </w:rPr>
            </w:pPr>
            <w:r>
              <w:rPr>
                <w:rFonts w:ascii="Times New Roman" w:hAnsi="Times New Roman"/>
                <w:b/>
                <w:kern w:val="0"/>
                <w:szCs w:val="21"/>
              </w:rPr>
              <w:t>目标1</w:t>
            </w:r>
          </w:p>
          <w:p>
            <w:pPr>
              <w:jc w:val="center"/>
              <w:rPr>
                <w:rFonts w:ascii="Times New Roman" w:hAnsi="Times New Roman"/>
                <w:szCs w:val="21"/>
              </w:rPr>
            </w:pPr>
            <w:r>
              <w:rPr>
                <w:rFonts w:ascii="Times New Roman" w:hAnsi="Times New Roman"/>
                <w:b/>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4" w:type="dxa"/>
            <w:noWrap w:val="0"/>
            <w:vAlign w:val="center"/>
          </w:tcPr>
          <w:p>
            <w:pPr>
              <w:jc w:val="center"/>
              <w:rPr>
                <w:rFonts w:ascii="Times New Roman" w:hAnsi="Times New Roman"/>
                <w:szCs w:val="21"/>
              </w:rPr>
            </w:pPr>
            <w:r>
              <w:rPr>
                <w:rFonts w:ascii="Times New Roman" w:hAnsi="Times New Roman"/>
                <w:szCs w:val="21"/>
              </w:rPr>
              <w:t>10</w:t>
            </w:r>
          </w:p>
        </w:tc>
        <w:tc>
          <w:tcPr>
            <w:tcW w:w="2618" w:type="dxa"/>
            <w:noWrap w:val="0"/>
            <w:vAlign w:val="center"/>
          </w:tcPr>
          <w:p>
            <w:pPr>
              <w:pStyle w:val="5"/>
              <w:ind w:firstLine="105" w:firstLineChars="50"/>
              <w:rPr>
                <w:rFonts w:hint="default" w:ascii="Times New Roman" w:hAnsi="Times New Roman"/>
                <w:b/>
                <w:sz w:val="21"/>
                <w:szCs w:val="21"/>
              </w:rPr>
            </w:pPr>
            <w:r>
              <w:rPr>
                <w:rFonts w:hint="default" w:ascii="Times New Roman" w:hAnsi="Times New Roman"/>
                <w:b/>
                <w:sz w:val="21"/>
                <w:szCs w:val="21"/>
              </w:rPr>
              <w:t>核酸代谢与蛋白质的生物合成：</w:t>
            </w:r>
            <w:r>
              <w:rPr>
                <w:rFonts w:hint="default" w:ascii="Times New Roman" w:hAnsi="Times New Roman"/>
                <w:bCs/>
                <w:sz w:val="21"/>
                <w:szCs w:val="21"/>
              </w:rPr>
              <w:t>核酸的消化与吸收；核酸的分解代谢；核酸的合成代谢；蛋白质的生物合成。</w:t>
            </w:r>
          </w:p>
          <w:p>
            <w:pPr>
              <w:rPr>
                <w:rFonts w:ascii="Times New Roman" w:hAnsi="Times New Roman"/>
                <w:b/>
                <w:kern w:val="0"/>
                <w:szCs w:val="21"/>
              </w:rPr>
            </w:pPr>
            <w:r>
              <w:rPr>
                <w:rFonts w:ascii="Times New Roman" w:hAnsi="Times New Roman"/>
                <w:b/>
                <w:kern w:val="0"/>
                <w:szCs w:val="21"/>
              </w:rPr>
              <w:t>重点和难点：</w:t>
            </w:r>
            <w:r>
              <w:rPr>
                <w:rFonts w:ascii="Times New Roman" w:hAnsi="Times New Roman"/>
                <w:bCs/>
                <w:kern w:val="0"/>
                <w:szCs w:val="21"/>
              </w:rPr>
              <w:t>核酸的分解代谢和合成代谢；DNA、RNA的生物合成；蛋白质的生物合成过程。</w:t>
            </w:r>
          </w:p>
        </w:tc>
        <w:tc>
          <w:tcPr>
            <w:tcW w:w="1130" w:type="dxa"/>
            <w:noWrap w:val="0"/>
            <w:vAlign w:val="center"/>
          </w:tcPr>
          <w:p>
            <w:pPr>
              <w:autoSpaceDE w:val="0"/>
              <w:autoSpaceDN w:val="0"/>
              <w:adjustRightInd w:val="0"/>
              <w:rPr>
                <w:rFonts w:ascii="Times New Roman" w:hAnsi="Times New Roman"/>
                <w:kern w:val="0"/>
                <w:szCs w:val="21"/>
              </w:rPr>
            </w:pPr>
            <w:r>
              <w:rPr>
                <w:rFonts w:ascii="Times New Roman" w:hAnsi="Times New Roman"/>
                <w:kern w:val="0"/>
                <w:szCs w:val="21"/>
              </w:rPr>
              <w:t>掌握蛋核酸代谢的相关内容，培养学生具备</w:t>
            </w:r>
            <w:r>
              <w:rPr>
                <w:rFonts w:ascii="Times New Roman" w:hAnsi="Times New Roman"/>
                <w:szCs w:val="21"/>
              </w:rPr>
              <w:t>职业道德和敬业精神。</w:t>
            </w:r>
          </w:p>
        </w:tc>
        <w:tc>
          <w:tcPr>
            <w:tcW w:w="2017" w:type="dxa"/>
            <w:noWrap w:val="0"/>
            <w:vAlign w:val="center"/>
          </w:tcPr>
          <w:p>
            <w:pPr>
              <w:autoSpaceDE w:val="0"/>
              <w:autoSpaceDN w:val="0"/>
              <w:adjustRightInd w:val="0"/>
              <w:rPr>
                <w:rFonts w:ascii="Times New Roman" w:hAnsi="Times New Roman"/>
                <w:kern w:val="0"/>
                <w:szCs w:val="21"/>
              </w:rPr>
            </w:pPr>
            <w:r>
              <w:rPr>
                <w:rFonts w:ascii="Times New Roman" w:hAnsi="Times New Roman"/>
                <w:kern w:val="0"/>
                <w:szCs w:val="21"/>
              </w:rPr>
              <w:t>掌握核酸的分解代谢和合成代谢；DNA、RNA的生物合成；蛋白质的生物合成过程。</w:t>
            </w:r>
          </w:p>
          <w:p>
            <w:pPr>
              <w:autoSpaceDE w:val="0"/>
              <w:autoSpaceDN w:val="0"/>
              <w:adjustRightInd w:val="0"/>
              <w:rPr>
                <w:rFonts w:ascii="Times New Roman" w:hAnsi="Times New Roman"/>
                <w:kern w:val="0"/>
                <w:szCs w:val="21"/>
              </w:rPr>
            </w:pPr>
          </w:p>
        </w:tc>
        <w:tc>
          <w:tcPr>
            <w:tcW w:w="741" w:type="dxa"/>
            <w:noWrap w:val="0"/>
            <w:vAlign w:val="center"/>
          </w:tcPr>
          <w:p>
            <w:pPr>
              <w:spacing w:line="312" w:lineRule="auto"/>
              <w:jc w:val="center"/>
              <w:rPr>
                <w:rFonts w:ascii="Times New Roman" w:hAnsi="Times New Roman"/>
                <w:szCs w:val="21"/>
              </w:rPr>
            </w:pPr>
            <w:r>
              <w:rPr>
                <w:rFonts w:ascii="Times New Roman" w:hAnsi="Times New Roman"/>
                <w:szCs w:val="21"/>
              </w:rPr>
              <w:t>2（讲授）</w:t>
            </w:r>
          </w:p>
        </w:tc>
        <w:tc>
          <w:tcPr>
            <w:tcW w:w="970" w:type="dxa"/>
            <w:noWrap w:val="0"/>
            <w:vAlign w:val="center"/>
          </w:tcPr>
          <w:p>
            <w:pPr>
              <w:rPr>
                <w:rFonts w:ascii="Times New Roman" w:hAnsi="Times New Roman"/>
                <w:szCs w:val="21"/>
              </w:rPr>
            </w:pPr>
            <w:r>
              <w:rPr>
                <w:rFonts w:ascii="Times New Roman" w:hAnsi="Times New Roman"/>
                <w:szCs w:val="21"/>
              </w:rPr>
              <w:t>讲授/实例/讨论/等</w:t>
            </w:r>
          </w:p>
        </w:tc>
        <w:tc>
          <w:tcPr>
            <w:tcW w:w="921" w:type="dxa"/>
            <w:noWrap w:val="0"/>
            <w:vAlign w:val="center"/>
          </w:tcPr>
          <w:p>
            <w:pPr>
              <w:jc w:val="center"/>
              <w:rPr>
                <w:rFonts w:ascii="Times New Roman" w:hAnsi="Times New Roman"/>
                <w:b/>
                <w:kern w:val="0"/>
                <w:szCs w:val="21"/>
              </w:rPr>
            </w:pPr>
            <w:r>
              <w:rPr>
                <w:rFonts w:ascii="Times New Roman" w:hAnsi="Times New Roman"/>
                <w:b/>
                <w:kern w:val="0"/>
                <w:szCs w:val="21"/>
              </w:rPr>
              <w:t>目标1</w:t>
            </w:r>
          </w:p>
          <w:p>
            <w:pPr>
              <w:jc w:val="center"/>
              <w:rPr>
                <w:rFonts w:ascii="Times New Roman" w:hAnsi="Times New Roman"/>
                <w:b/>
                <w:kern w:val="0"/>
                <w:szCs w:val="21"/>
              </w:rPr>
            </w:pPr>
            <w:r>
              <w:rPr>
                <w:rFonts w:ascii="Times New Roman" w:hAnsi="Times New Roman"/>
                <w:b/>
                <w:kern w:val="0"/>
                <w:szCs w:val="21"/>
              </w:rPr>
              <w:t>目标2</w:t>
            </w:r>
          </w:p>
        </w:tc>
      </w:tr>
    </w:tbl>
    <w:p>
      <w:pPr>
        <w:pStyle w:val="5"/>
        <w:spacing w:line="360" w:lineRule="auto"/>
        <w:ind w:firstLine="361" w:firstLineChars="150"/>
        <w:rPr>
          <w:rFonts w:hint="default" w:ascii="Times New Roman" w:hAnsi="Times New Roman"/>
          <w:color w:val="000000"/>
        </w:rPr>
      </w:pPr>
      <w:r>
        <w:rPr>
          <w:rFonts w:hint="default" w:ascii="Times New Roman" w:hAnsi="Times New Roman"/>
          <w:b/>
        </w:rPr>
        <w:t xml:space="preserve"> </w:t>
      </w:r>
    </w:p>
    <w:p>
      <w:pPr>
        <w:spacing w:line="360" w:lineRule="auto"/>
        <w:ind w:firstLine="562" w:firstLineChars="200"/>
        <w:rPr>
          <w:rFonts w:ascii="Times New Roman" w:hAnsi="Times New Roman"/>
          <w:b/>
          <w:sz w:val="28"/>
          <w:szCs w:val="28"/>
        </w:rPr>
      </w:pPr>
      <w:r>
        <w:rPr>
          <w:rFonts w:ascii="Times New Roman" w:hAnsi="Times New Roman"/>
          <w:b/>
          <w:sz w:val="28"/>
          <w:szCs w:val="28"/>
        </w:rPr>
        <w:t>四、课程实施</w:t>
      </w:r>
    </w:p>
    <w:p>
      <w:pPr>
        <w:spacing w:line="360" w:lineRule="auto"/>
        <w:ind w:firstLine="482" w:firstLineChars="200"/>
        <w:rPr>
          <w:rFonts w:ascii="Times New Roman" w:hAnsi="Times New Roman"/>
          <w:b/>
          <w:sz w:val="24"/>
        </w:rPr>
      </w:pPr>
      <w:r>
        <w:rPr>
          <w:rFonts w:ascii="Times New Roman" w:hAnsi="Times New Roman"/>
          <w:b/>
          <w:sz w:val="24"/>
        </w:rPr>
        <w:t>（一）教学方法与教学手段</w:t>
      </w:r>
    </w:p>
    <w:p>
      <w:pPr>
        <w:spacing w:line="360" w:lineRule="auto"/>
        <w:ind w:firstLine="480" w:firstLineChars="200"/>
        <w:rPr>
          <w:rFonts w:ascii="Times New Roman" w:hAnsi="Times New Roman"/>
          <w:sz w:val="24"/>
        </w:rPr>
      </w:pPr>
      <w:r>
        <w:rPr>
          <w:rFonts w:ascii="Times New Roman" w:hAnsi="Times New Roman"/>
          <w:sz w:val="24"/>
        </w:rPr>
        <w:t>1.把握主线，引导学生掌握三大营养物质的结构及性质，培养学生能够以全局思维来思考化学问题，最终在药学研发中得到应用。</w:t>
      </w:r>
    </w:p>
    <w:p>
      <w:pPr>
        <w:spacing w:line="360" w:lineRule="auto"/>
        <w:ind w:firstLine="480" w:firstLineChars="200"/>
        <w:rPr>
          <w:rFonts w:ascii="Times New Roman" w:hAnsi="Times New Roman"/>
          <w:sz w:val="24"/>
        </w:rPr>
      </w:pPr>
      <w:r>
        <w:rPr>
          <w:rFonts w:ascii="Times New Roman" w:hAnsi="Times New Roman"/>
          <w:sz w:val="24"/>
        </w:rPr>
        <w:t>2.采用多媒体教学手段，配合例题的讲解及课堂讨论以及适当的思考题，保证讲课进度的同时，注意学生的掌握程度和课堂的气氛。</w:t>
      </w:r>
    </w:p>
    <w:p>
      <w:pPr>
        <w:spacing w:line="360" w:lineRule="auto"/>
        <w:ind w:firstLine="480" w:firstLineChars="200"/>
        <w:rPr>
          <w:rFonts w:ascii="Times New Roman" w:hAnsi="Times New Roman"/>
          <w:sz w:val="24"/>
        </w:rPr>
      </w:pPr>
      <w:r>
        <w:rPr>
          <w:rFonts w:ascii="Times New Roman" w:hAnsi="Times New Roman"/>
          <w:sz w:val="24"/>
        </w:rPr>
        <w:t>3.采用案例式教学，引入生活中常见的代谢相关疾病实际例子，让学生真正了解并掌握生物化学及其重要作用，从而具备相关知识和方法的实际应用能力。</w:t>
      </w:r>
    </w:p>
    <w:p>
      <w:pPr>
        <w:spacing w:line="360" w:lineRule="auto"/>
        <w:ind w:firstLine="482" w:firstLineChars="200"/>
        <w:rPr>
          <w:rFonts w:ascii="Times New Roman" w:hAnsi="Times New Roman"/>
          <w:b/>
          <w:sz w:val="24"/>
        </w:rPr>
      </w:pPr>
      <w:r>
        <w:rPr>
          <w:rFonts w:ascii="Times New Roman" w:hAnsi="Times New Roman"/>
          <w:b/>
          <w:sz w:val="24"/>
        </w:rPr>
        <w:t>（二）主要教学环节质量要求如表所示。</w:t>
      </w:r>
    </w:p>
    <w:tbl>
      <w:tblPr>
        <w:tblStyle w:val="10"/>
        <w:tblW w:w="9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2"/>
        <w:gridCol w:w="1701"/>
        <w:gridCol w:w="6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3" w:type="dxa"/>
            <w:gridSpan w:val="2"/>
            <w:tcBorders>
              <w:top w:val="single" w:color="auto" w:sz="8" w:space="0"/>
              <w:left w:val="single" w:color="auto" w:sz="8" w:space="0"/>
              <w:right w:val="single" w:color="auto" w:sz="8" w:space="0"/>
            </w:tcBorders>
            <w:noWrap w:val="0"/>
            <w:tcMar>
              <w:left w:w="28" w:type="dxa"/>
              <w:right w:w="28" w:type="dxa"/>
            </w:tcMar>
            <w:vAlign w:val="center"/>
          </w:tcPr>
          <w:p>
            <w:pPr>
              <w:spacing w:line="276" w:lineRule="auto"/>
              <w:jc w:val="center"/>
              <w:rPr>
                <w:rFonts w:ascii="Times New Roman" w:hAnsi="Times New Roman"/>
                <w:szCs w:val="21"/>
              </w:rPr>
            </w:pPr>
            <w:r>
              <w:rPr>
                <w:rFonts w:ascii="Times New Roman" w:hAnsi="Times New Roman"/>
                <w:bCs/>
                <w:szCs w:val="21"/>
              </w:rPr>
              <w:t>主要教学环节</w:t>
            </w:r>
          </w:p>
        </w:tc>
        <w:tc>
          <w:tcPr>
            <w:tcW w:w="6817" w:type="dxa"/>
            <w:tcBorders>
              <w:top w:val="single" w:color="auto" w:sz="8" w:space="0"/>
              <w:left w:val="single" w:color="auto" w:sz="8" w:space="0"/>
              <w:right w:val="single" w:color="auto" w:sz="8" w:space="0"/>
            </w:tcBorders>
            <w:noWrap w:val="0"/>
            <w:vAlign w:val="center"/>
          </w:tcPr>
          <w:p>
            <w:pPr>
              <w:spacing w:line="276" w:lineRule="auto"/>
              <w:jc w:val="center"/>
              <w:rPr>
                <w:rFonts w:ascii="Times New Roman" w:hAnsi="Times New Roman"/>
                <w:szCs w:val="21"/>
              </w:rPr>
            </w:pPr>
            <w:r>
              <w:rPr>
                <w:rFonts w:ascii="Times New Roman" w:hAnsi="Times New Roman"/>
                <w:bCs/>
                <w:szCs w:val="21"/>
              </w:rPr>
              <w:t>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6" w:hRule="atLeast"/>
          <w:jc w:val="center"/>
        </w:trPr>
        <w:tc>
          <w:tcPr>
            <w:tcW w:w="582" w:type="dxa"/>
            <w:tcBorders>
              <w:left w:val="single" w:color="auto" w:sz="8" w:space="0"/>
            </w:tcBorders>
            <w:noWrap w:val="0"/>
            <w:vAlign w:val="center"/>
          </w:tcPr>
          <w:p>
            <w:pPr>
              <w:spacing w:line="276" w:lineRule="auto"/>
              <w:jc w:val="center"/>
              <w:rPr>
                <w:rFonts w:ascii="Times New Roman" w:hAnsi="Times New Roman"/>
                <w:szCs w:val="21"/>
              </w:rPr>
            </w:pPr>
            <w:r>
              <w:rPr>
                <w:rFonts w:ascii="Times New Roman" w:hAnsi="Times New Roman"/>
                <w:szCs w:val="21"/>
              </w:rPr>
              <w:t>1</w:t>
            </w:r>
          </w:p>
        </w:tc>
        <w:tc>
          <w:tcPr>
            <w:tcW w:w="1701" w:type="dxa"/>
            <w:noWrap w:val="0"/>
            <w:tcMar>
              <w:left w:w="28" w:type="dxa"/>
              <w:right w:w="28" w:type="dxa"/>
            </w:tcMar>
            <w:vAlign w:val="center"/>
          </w:tcPr>
          <w:p>
            <w:pPr>
              <w:spacing w:line="276" w:lineRule="auto"/>
              <w:jc w:val="center"/>
              <w:rPr>
                <w:rFonts w:ascii="Times New Roman" w:hAnsi="Times New Roman"/>
                <w:szCs w:val="21"/>
              </w:rPr>
            </w:pPr>
            <w:r>
              <w:rPr>
                <w:rFonts w:ascii="Times New Roman" w:hAnsi="Times New Roman"/>
                <w:szCs w:val="21"/>
              </w:rPr>
              <w:t>备课</w:t>
            </w:r>
          </w:p>
        </w:tc>
        <w:tc>
          <w:tcPr>
            <w:tcW w:w="6817" w:type="dxa"/>
            <w:tcBorders>
              <w:right w:val="single" w:color="auto" w:sz="8" w:space="0"/>
            </w:tcBorders>
            <w:noWrap w:val="0"/>
            <w:vAlign w:val="center"/>
          </w:tcPr>
          <w:p>
            <w:pPr>
              <w:spacing w:line="276" w:lineRule="auto"/>
              <w:rPr>
                <w:rFonts w:ascii="Times New Roman" w:hAnsi="Times New Roman"/>
                <w:szCs w:val="21"/>
              </w:rPr>
            </w:pPr>
            <w:r>
              <w:rPr>
                <w:rFonts w:ascii="Times New Roman" w:hAnsi="Times New Roman"/>
                <w:szCs w:val="21"/>
              </w:rPr>
              <w:t>（1）掌握本课程教学大纲内容，严格按照教学大纲要求进行课程教学内容的组织。</w:t>
            </w:r>
          </w:p>
          <w:p>
            <w:pPr>
              <w:spacing w:line="276" w:lineRule="auto"/>
              <w:rPr>
                <w:rFonts w:ascii="Times New Roman" w:hAnsi="Times New Roman"/>
                <w:szCs w:val="21"/>
              </w:rPr>
            </w:pPr>
            <w:r>
              <w:rPr>
                <w:rFonts w:ascii="Times New Roman" w:hAnsi="Times New Roman"/>
                <w:szCs w:val="21"/>
              </w:rPr>
              <w:t>（2）熟悉教材各章节，借助专业书籍资料，并依据教学大纲编写授课计划，编写每次授课的教案。教案内容包括章节标题、教学目的、教法设计、课堂类型、时间分配、授课内容、课后作业、教学效果分析等方面。</w:t>
            </w:r>
          </w:p>
          <w:p>
            <w:pPr>
              <w:spacing w:line="276" w:lineRule="auto"/>
              <w:rPr>
                <w:rFonts w:ascii="Times New Roman" w:hAnsi="Times New Roman"/>
                <w:szCs w:val="21"/>
              </w:rPr>
            </w:pPr>
            <w:r>
              <w:rPr>
                <w:rFonts w:ascii="Times New Roman" w:hAnsi="Times New Roman"/>
                <w:szCs w:val="21"/>
              </w:rPr>
              <w:t>（3）根据各部分教学内容，构思授课思路、技巧，选择合适的教学方法。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tcBorders>
              <w:left w:val="single" w:color="auto" w:sz="8" w:space="0"/>
            </w:tcBorders>
            <w:noWrap w:val="0"/>
            <w:vAlign w:val="center"/>
          </w:tcPr>
          <w:p>
            <w:pPr>
              <w:spacing w:line="276" w:lineRule="auto"/>
              <w:jc w:val="center"/>
              <w:rPr>
                <w:rFonts w:ascii="Times New Roman" w:hAnsi="Times New Roman"/>
                <w:szCs w:val="21"/>
              </w:rPr>
            </w:pPr>
            <w:r>
              <w:rPr>
                <w:rFonts w:ascii="Times New Roman" w:hAnsi="Times New Roman"/>
                <w:szCs w:val="21"/>
              </w:rPr>
              <w:t>2</w:t>
            </w:r>
          </w:p>
        </w:tc>
        <w:tc>
          <w:tcPr>
            <w:tcW w:w="1701" w:type="dxa"/>
            <w:noWrap w:val="0"/>
            <w:tcMar>
              <w:left w:w="28" w:type="dxa"/>
              <w:right w:w="28" w:type="dxa"/>
            </w:tcMar>
            <w:vAlign w:val="center"/>
          </w:tcPr>
          <w:p>
            <w:pPr>
              <w:spacing w:line="276" w:lineRule="auto"/>
              <w:jc w:val="center"/>
              <w:rPr>
                <w:rFonts w:ascii="Times New Roman" w:hAnsi="Times New Roman"/>
                <w:szCs w:val="21"/>
              </w:rPr>
            </w:pPr>
            <w:r>
              <w:rPr>
                <w:rFonts w:ascii="Times New Roman" w:hAnsi="Times New Roman"/>
                <w:szCs w:val="21"/>
              </w:rPr>
              <w:t>讲授</w:t>
            </w:r>
          </w:p>
        </w:tc>
        <w:tc>
          <w:tcPr>
            <w:tcW w:w="6817" w:type="dxa"/>
            <w:tcBorders>
              <w:right w:val="single" w:color="auto" w:sz="8" w:space="0"/>
            </w:tcBorders>
            <w:noWrap w:val="0"/>
            <w:vAlign w:val="center"/>
          </w:tcPr>
          <w:p>
            <w:pPr>
              <w:spacing w:line="276" w:lineRule="auto"/>
              <w:rPr>
                <w:rFonts w:ascii="Times New Roman" w:hAnsi="Times New Roman"/>
                <w:szCs w:val="21"/>
              </w:rPr>
            </w:pPr>
            <w:r>
              <w:rPr>
                <w:rFonts w:ascii="Times New Roman" w:hAnsi="Times New Roman"/>
                <w:szCs w:val="21"/>
              </w:rPr>
              <w:t>（1）要点准确、推理正确、条理清晰、重点突出，能够理论联系实际，熟练地解答和讲解例题。</w:t>
            </w:r>
          </w:p>
          <w:p>
            <w:pPr>
              <w:spacing w:line="276" w:lineRule="auto"/>
              <w:rPr>
                <w:rFonts w:ascii="Times New Roman" w:hAnsi="Times New Roman"/>
                <w:szCs w:val="21"/>
              </w:rPr>
            </w:pPr>
            <w:r>
              <w:rPr>
                <w:rFonts w:ascii="Times New Roman" w:hAnsi="Times New Roman"/>
                <w:szCs w:val="21"/>
              </w:rPr>
              <w:t>（2）采用多种教学方式（如启发式教学、案例分析教学、讨论式教学、多媒体示范教学等），注重培养学生发现、分析和解决问题的能力。</w:t>
            </w:r>
          </w:p>
          <w:p>
            <w:pPr>
              <w:spacing w:line="276" w:lineRule="auto"/>
              <w:rPr>
                <w:rFonts w:ascii="Times New Roman" w:hAnsi="Times New Roman"/>
                <w:szCs w:val="21"/>
              </w:rPr>
            </w:pPr>
            <w:r>
              <w:rPr>
                <w:rFonts w:ascii="Times New Roman" w:hAnsi="Times New Roman"/>
                <w:szCs w:val="21"/>
              </w:rPr>
              <w:t>（3）能够采用现代信息技术辅助教学。</w:t>
            </w:r>
          </w:p>
          <w:p>
            <w:pPr>
              <w:spacing w:line="276" w:lineRule="auto"/>
              <w:rPr>
                <w:rFonts w:ascii="Times New Roman" w:hAnsi="Times New Roman"/>
                <w:szCs w:val="21"/>
              </w:rPr>
            </w:pPr>
            <w:r>
              <w:rPr>
                <w:rFonts w:ascii="Times New Roman" w:hAnsi="Times New Roman"/>
                <w:szCs w:val="21"/>
              </w:rPr>
              <w:t>（4）表达方式应能便于学生理解、接受，力求形象生动，使学生在掌握知识的过程中，保持较为浓厚的学习兴趣。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jc w:val="center"/>
        </w:trPr>
        <w:tc>
          <w:tcPr>
            <w:tcW w:w="582" w:type="dxa"/>
            <w:tcBorders>
              <w:left w:val="single" w:color="auto" w:sz="8" w:space="0"/>
            </w:tcBorders>
            <w:noWrap w:val="0"/>
            <w:vAlign w:val="center"/>
          </w:tcPr>
          <w:p>
            <w:pPr>
              <w:spacing w:line="276" w:lineRule="auto"/>
              <w:jc w:val="center"/>
              <w:rPr>
                <w:rFonts w:ascii="Times New Roman" w:hAnsi="Times New Roman"/>
                <w:szCs w:val="21"/>
              </w:rPr>
            </w:pPr>
            <w:r>
              <w:rPr>
                <w:rFonts w:ascii="Times New Roman" w:hAnsi="Times New Roman"/>
                <w:szCs w:val="21"/>
              </w:rPr>
              <w:t>3</w:t>
            </w:r>
          </w:p>
        </w:tc>
        <w:tc>
          <w:tcPr>
            <w:tcW w:w="1701" w:type="dxa"/>
            <w:noWrap w:val="0"/>
            <w:tcMar>
              <w:left w:w="28" w:type="dxa"/>
              <w:right w:w="28" w:type="dxa"/>
            </w:tcMar>
            <w:vAlign w:val="center"/>
          </w:tcPr>
          <w:p>
            <w:pPr>
              <w:spacing w:line="276" w:lineRule="auto"/>
              <w:jc w:val="center"/>
              <w:rPr>
                <w:rFonts w:ascii="Times New Roman" w:hAnsi="Times New Roman"/>
                <w:szCs w:val="21"/>
              </w:rPr>
            </w:pPr>
            <w:r>
              <w:rPr>
                <w:rFonts w:ascii="Times New Roman" w:hAnsi="Times New Roman"/>
                <w:szCs w:val="21"/>
              </w:rPr>
              <w:t>作业布置与批改</w:t>
            </w:r>
          </w:p>
        </w:tc>
        <w:tc>
          <w:tcPr>
            <w:tcW w:w="6817" w:type="dxa"/>
            <w:tcBorders>
              <w:right w:val="single" w:color="auto" w:sz="8" w:space="0"/>
            </w:tcBorders>
            <w:noWrap w:val="0"/>
            <w:vAlign w:val="center"/>
          </w:tcPr>
          <w:p>
            <w:pPr>
              <w:spacing w:line="276" w:lineRule="auto"/>
              <w:rPr>
                <w:rFonts w:ascii="Times New Roman" w:hAnsi="Times New Roman"/>
                <w:szCs w:val="21"/>
              </w:rPr>
            </w:pPr>
            <w:r>
              <w:rPr>
                <w:rFonts w:ascii="Times New Roman" w:hAnsi="Times New Roman"/>
                <w:szCs w:val="21"/>
              </w:rPr>
              <w:t>学生必须完成规定数量的作业，作业必须达到以下基本要求：</w:t>
            </w:r>
          </w:p>
          <w:p>
            <w:pPr>
              <w:spacing w:line="276" w:lineRule="auto"/>
              <w:rPr>
                <w:rFonts w:ascii="Times New Roman" w:hAnsi="Times New Roman"/>
                <w:szCs w:val="21"/>
              </w:rPr>
            </w:pPr>
            <w:r>
              <w:rPr>
                <w:rFonts w:ascii="Times New Roman" w:hAnsi="Times New Roman"/>
                <w:szCs w:val="21"/>
              </w:rPr>
              <w:t>（1）按时按量完成作业，不缺交，不抄袭。</w:t>
            </w:r>
          </w:p>
          <w:p>
            <w:pPr>
              <w:spacing w:line="276" w:lineRule="auto"/>
              <w:rPr>
                <w:rFonts w:ascii="Times New Roman" w:hAnsi="Times New Roman"/>
                <w:szCs w:val="21"/>
              </w:rPr>
            </w:pPr>
            <w:r>
              <w:rPr>
                <w:rFonts w:ascii="Times New Roman" w:hAnsi="Times New Roman"/>
                <w:szCs w:val="21"/>
              </w:rPr>
              <w:t>（2）书写规范、清晰。</w:t>
            </w:r>
          </w:p>
          <w:p>
            <w:pPr>
              <w:spacing w:line="276" w:lineRule="auto"/>
              <w:rPr>
                <w:rFonts w:ascii="Times New Roman" w:hAnsi="Times New Roman"/>
                <w:szCs w:val="21"/>
              </w:rPr>
            </w:pPr>
            <w:r>
              <w:rPr>
                <w:rFonts w:ascii="Times New Roman" w:hAnsi="Times New Roman"/>
                <w:szCs w:val="21"/>
              </w:rPr>
              <w:t>（3）解题方法和步骤正确。</w:t>
            </w:r>
          </w:p>
          <w:p>
            <w:pPr>
              <w:spacing w:line="276" w:lineRule="auto"/>
              <w:rPr>
                <w:rFonts w:ascii="Times New Roman" w:hAnsi="Times New Roman"/>
                <w:szCs w:val="21"/>
              </w:rPr>
            </w:pPr>
            <w:r>
              <w:rPr>
                <w:rFonts w:ascii="Times New Roman" w:hAnsi="Times New Roman"/>
                <w:szCs w:val="21"/>
              </w:rPr>
              <w:t>教师批改和讲评作业要求如下：</w:t>
            </w:r>
          </w:p>
          <w:p>
            <w:pPr>
              <w:spacing w:line="276" w:lineRule="auto"/>
              <w:rPr>
                <w:rFonts w:ascii="Times New Roman" w:hAnsi="Times New Roman"/>
                <w:szCs w:val="21"/>
              </w:rPr>
            </w:pPr>
            <w:r>
              <w:rPr>
                <w:rFonts w:ascii="Times New Roman" w:hAnsi="Times New Roman"/>
                <w:szCs w:val="21"/>
              </w:rPr>
              <w:t>（1）学生的作业要按时全部批改，并及时进行讲评。</w:t>
            </w:r>
          </w:p>
          <w:p>
            <w:pPr>
              <w:spacing w:line="276" w:lineRule="auto"/>
              <w:rPr>
                <w:rFonts w:ascii="Times New Roman" w:hAnsi="Times New Roman"/>
                <w:szCs w:val="21"/>
              </w:rPr>
            </w:pPr>
            <w:r>
              <w:rPr>
                <w:rFonts w:ascii="Times New Roman" w:hAnsi="Times New Roman"/>
                <w:szCs w:val="21"/>
              </w:rPr>
              <w:t>（2）教师批改和讲评作业要认真、细致，按百分制评定成绩并写明日期。</w:t>
            </w:r>
          </w:p>
          <w:p>
            <w:pPr>
              <w:spacing w:line="276" w:lineRule="auto"/>
              <w:rPr>
                <w:rFonts w:ascii="Times New Roman" w:hAnsi="Times New Roman"/>
                <w:szCs w:val="21"/>
              </w:rPr>
            </w:pPr>
            <w:r>
              <w:rPr>
                <w:rFonts w:ascii="Times New Roman" w:hAnsi="Times New Roman"/>
                <w:szCs w:val="21"/>
              </w:rPr>
              <w:t>（3）学生作业的平均成绩应作为本课程总评成绩中平时成绩的重要组成部分。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582" w:type="dxa"/>
            <w:tcBorders>
              <w:left w:val="single" w:color="auto" w:sz="8" w:space="0"/>
            </w:tcBorders>
            <w:noWrap w:val="0"/>
            <w:vAlign w:val="center"/>
          </w:tcPr>
          <w:p>
            <w:pPr>
              <w:spacing w:line="276" w:lineRule="auto"/>
              <w:jc w:val="center"/>
              <w:rPr>
                <w:rFonts w:ascii="Times New Roman" w:hAnsi="Times New Roman"/>
                <w:szCs w:val="21"/>
              </w:rPr>
            </w:pPr>
            <w:r>
              <w:rPr>
                <w:rFonts w:ascii="Times New Roman" w:hAnsi="Times New Roman"/>
                <w:szCs w:val="21"/>
              </w:rPr>
              <w:t>4</w:t>
            </w:r>
          </w:p>
        </w:tc>
        <w:tc>
          <w:tcPr>
            <w:tcW w:w="1701" w:type="dxa"/>
            <w:noWrap w:val="0"/>
            <w:tcMar>
              <w:left w:w="28" w:type="dxa"/>
              <w:right w:w="28" w:type="dxa"/>
            </w:tcMar>
            <w:vAlign w:val="center"/>
          </w:tcPr>
          <w:p>
            <w:pPr>
              <w:spacing w:line="276" w:lineRule="auto"/>
              <w:jc w:val="center"/>
              <w:rPr>
                <w:rFonts w:ascii="Times New Roman" w:hAnsi="Times New Roman"/>
                <w:szCs w:val="21"/>
              </w:rPr>
            </w:pPr>
            <w:r>
              <w:rPr>
                <w:rFonts w:ascii="Times New Roman" w:hAnsi="Times New Roman"/>
                <w:szCs w:val="21"/>
              </w:rPr>
              <w:t>课外答疑</w:t>
            </w:r>
          </w:p>
        </w:tc>
        <w:tc>
          <w:tcPr>
            <w:tcW w:w="6817" w:type="dxa"/>
            <w:tcBorders>
              <w:right w:val="single" w:color="auto" w:sz="8" w:space="0"/>
            </w:tcBorders>
            <w:noWrap w:val="0"/>
            <w:vAlign w:val="center"/>
          </w:tcPr>
          <w:p>
            <w:pPr>
              <w:spacing w:line="276" w:lineRule="auto"/>
              <w:rPr>
                <w:rFonts w:ascii="Times New Roman" w:hAnsi="Times New Roman"/>
                <w:szCs w:val="21"/>
              </w:rPr>
            </w:pPr>
            <w:r>
              <w:rPr>
                <w:rFonts w:ascii="Times New Roman" w:hAnsi="Times New Roman"/>
                <w:szCs w:val="21"/>
              </w:rPr>
              <w:t>为了解学生的学习情况，帮助学生更好地理解和消化所学知识、改进学习方法和思维方式，培养其独立思考问题的能力，任课教师需每周安排一定时间进行课外答疑与辅导。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582" w:type="dxa"/>
            <w:tcBorders>
              <w:left w:val="single" w:color="auto" w:sz="8" w:space="0"/>
            </w:tcBorders>
            <w:noWrap w:val="0"/>
            <w:vAlign w:val="center"/>
          </w:tcPr>
          <w:p>
            <w:pPr>
              <w:spacing w:line="276" w:lineRule="auto"/>
              <w:jc w:val="center"/>
              <w:rPr>
                <w:rFonts w:ascii="Times New Roman" w:hAnsi="Times New Roman"/>
                <w:szCs w:val="21"/>
              </w:rPr>
            </w:pPr>
            <w:r>
              <w:rPr>
                <w:rFonts w:ascii="Times New Roman" w:hAnsi="Times New Roman"/>
                <w:szCs w:val="21"/>
              </w:rPr>
              <w:t>5</w:t>
            </w:r>
          </w:p>
        </w:tc>
        <w:tc>
          <w:tcPr>
            <w:tcW w:w="1701" w:type="dxa"/>
            <w:noWrap w:val="0"/>
            <w:tcMar>
              <w:left w:w="28" w:type="dxa"/>
              <w:right w:w="28" w:type="dxa"/>
            </w:tcMar>
            <w:vAlign w:val="center"/>
          </w:tcPr>
          <w:p>
            <w:pPr>
              <w:spacing w:line="276" w:lineRule="auto"/>
              <w:jc w:val="center"/>
              <w:rPr>
                <w:rFonts w:ascii="Times New Roman" w:hAnsi="Times New Roman"/>
                <w:szCs w:val="21"/>
              </w:rPr>
            </w:pPr>
            <w:r>
              <w:rPr>
                <w:rFonts w:ascii="Times New Roman" w:hAnsi="Times New Roman"/>
                <w:szCs w:val="21"/>
              </w:rPr>
              <w:t>成绩考核</w:t>
            </w:r>
          </w:p>
        </w:tc>
        <w:tc>
          <w:tcPr>
            <w:tcW w:w="6817" w:type="dxa"/>
            <w:tcBorders>
              <w:right w:val="single" w:color="auto" w:sz="8" w:space="0"/>
            </w:tcBorders>
            <w:noWrap w:val="0"/>
            <w:vAlign w:val="center"/>
          </w:tcPr>
          <w:p>
            <w:pPr>
              <w:spacing w:line="276" w:lineRule="auto"/>
              <w:rPr>
                <w:rFonts w:ascii="Times New Roman" w:hAnsi="Times New Roman"/>
                <w:szCs w:val="21"/>
              </w:rPr>
            </w:pPr>
            <w:r>
              <w:rPr>
                <w:rFonts w:ascii="Times New Roman" w:hAnsi="Times New Roman"/>
                <w:szCs w:val="21"/>
              </w:rPr>
              <w:t>本课程考核的方式为闭卷笔试。考试采取教考分离，监考由学院统一安排。有下列情况之一者，总评成绩为不及格：</w:t>
            </w:r>
          </w:p>
          <w:p>
            <w:pPr>
              <w:spacing w:line="276" w:lineRule="auto"/>
              <w:rPr>
                <w:rFonts w:ascii="Times New Roman" w:hAnsi="Times New Roman"/>
                <w:szCs w:val="21"/>
              </w:rPr>
            </w:pPr>
            <w:r>
              <w:rPr>
                <w:rFonts w:ascii="Times New Roman" w:hAnsi="Times New Roman"/>
                <w:szCs w:val="21"/>
              </w:rPr>
              <w:t>（1）缺交作业次数达1/3以上者。</w:t>
            </w:r>
          </w:p>
          <w:p>
            <w:pPr>
              <w:spacing w:line="276" w:lineRule="auto"/>
              <w:rPr>
                <w:rFonts w:ascii="Times New Roman" w:hAnsi="Times New Roman"/>
                <w:szCs w:val="21"/>
              </w:rPr>
            </w:pPr>
            <w:r>
              <w:rPr>
                <w:rFonts w:ascii="Times New Roman" w:hAnsi="Times New Roman"/>
                <w:szCs w:val="21"/>
              </w:rPr>
              <w:t>（2）缺课次数达本学期总授课学时的1/3以上者。</w:t>
            </w:r>
          </w:p>
          <w:p>
            <w:pPr>
              <w:spacing w:line="276" w:lineRule="auto"/>
              <w:rPr>
                <w:rFonts w:ascii="Times New Roman" w:hAnsi="Times New Roman"/>
                <w:szCs w:val="21"/>
              </w:rPr>
            </w:pPr>
            <w:r>
              <w:rPr>
                <w:rFonts w:ascii="Times New Roman" w:hAnsi="Times New Roman"/>
                <w:szCs w:val="21"/>
              </w:rPr>
              <w:t>（3）课程目标小于0.6。</w:t>
            </w:r>
          </w:p>
        </w:tc>
      </w:tr>
    </w:tbl>
    <w:p>
      <w:pPr>
        <w:spacing w:line="360" w:lineRule="auto"/>
        <w:ind w:firstLine="562" w:firstLineChars="200"/>
        <w:rPr>
          <w:rFonts w:ascii="Times New Roman" w:hAnsi="Times New Roman"/>
          <w:b/>
          <w:sz w:val="28"/>
          <w:szCs w:val="28"/>
        </w:rPr>
      </w:pPr>
      <w:r>
        <w:rPr>
          <w:rFonts w:ascii="Times New Roman" w:hAnsi="Times New Roman"/>
          <w:b/>
          <w:sz w:val="28"/>
          <w:szCs w:val="28"/>
        </w:rPr>
        <w:t>五、课程考核</w:t>
      </w:r>
    </w:p>
    <w:p>
      <w:pPr>
        <w:spacing w:line="360" w:lineRule="auto"/>
        <w:ind w:firstLine="480" w:firstLineChars="200"/>
        <w:rPr>
          <w:rFonts w:ascii="Times New Roman" w:hAnsi="Times New Roman"/>
          <w:sz w:val="24"/>
        </w:rPr>
      </w:pPr>
      <w:r>
        <w:rPr>
          <w:rFonts w:ascii="Times New Roman" w:hAnsi="Times New Roman"/>
          <w:sz w:val="24"/>
        </w:rPr>
        <w:t>（一）课程考核包括期末考试、平时及作业考核，期末考试采用试卷考核方式。</w:t>
      </w:r>
    </w:p>
    <w:p>
      <w:pPr>
        <w:spacing w:line="360" w:lineRule="auto"/>
        <w:ind w:firstLine="480" w:firstLineChars="200"/>
        <w:rPr>
          <w:rFonts w:ascii="Times New Roman" w:hAnsi="Times New Roman"/>
          <w:sz w:val="24"/>
        </w:rPr>
      </w:pPr>
      <w:r>
        <w:rPr>
          <w:rFonts w:ascii="Times New Roman" w:hAnsi="Times New Roman"/>
          <w:sz w:val="24"/>
        </w:rPr>
        <w:t>（二）课程总评成绩=平时成绩×60% +期末考试成绩×40%。具体内容和比例如表所示。</w:t>
      </w:r>
    </w:p>
    <w:tbl>
      <w:tblPr>
        <w:tblStyle w:val="10"/>
        <w:tblpPr w:leftFromText="180" w:rightFromText="180" w:vertAnchor="text" w:horzAnchor="margin" w:tblpXSpec="center" w:tblpY="244"/>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2"/>
        <w:gridCol w:w="715"/>
        <w:gridCol w:w="1564"/>
        <w:gridCol w:w="5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43" w:type="dxa"/>
            <w:vMerge w:val="restart"/>
            <w:shd w:val="clear" w:color="auto" w:fill="FFFFFF"/>
            <w:noWrap w:val="0"/>
            <w:tcMar>
              <w:left w:w="57" w:type="dxa"/>
              <w:right w:w="57" w:type="dxa"/>
            </w:tcMar>
            <w:vAlign w:val="center"/>
          </w:tcPr>
          <w:p>
            <w:pPr>
              <w:pStyle w:val="14"/>
              <w:jc w:val="center"/>
              <w:rPr>
                <w:rFonts w:ascii="Times New Roman" w:hAnsi="Times New Roman" w:eastAsia="宋体"/>
              </w:rPr>
            </w:pPr>
            <w:r>
              <w:rPr>
                <w:rFonts w:ascii="Times New Roman" w:hAnsi="Times New Roman" w:eastAsia="宋体"/>
              </w:rPr>
              <w:t>考核环节</w:t>
            </w:r>
          </w:p>
        </w:tc>
        <w:tc>
          <w:tcPr>
            <w:tcW w:w="715" w:type="dxa"/>
            <w:vMerge w:val="restart"/>
            <w:shd w:val="clear" w:color="auto" w:fill="FFFFFF"/>
            <w:noWrap w:val="0"/>
            <w:vAlign w:val="center"/>
          </w:tcPr>
          <w:p>
            <w:pPr>
              <w:pStyle w:val="14"/>
              <w:jc w:val="center"/>
              <w:rPr>
                <w:rFonts w:ascii="Times New Roman" w:hAnsi="Times New Roman" w:eastAsia="宋体"/>
              </w:rPr>
            </w:pPr>
            <w:r>
              <w:rPr>
                <w:rFonts w:ascii="Times New Roman" w:hAnsi="Times New Roman" w:eastAsia="宋体"/>
              </w:rPr>
              <w:t>成绩比例</w:t>
            </w:r>
          </w:p>
        </w:tc>
        <w:tc>
          <w:tcPr>
            <w:tcW w:w="7006" w:type="dxa"/>
            <w:gridSpan w:val="2"/>
            <w:vMerge w:val="restart"/>
            <w:shd w:val="clear" w:color="auto" w:fill="FFFFFF"/>
            <w:noWrap w:val="0"/>
            <w:vAlign w:val="center"/>
          </w:tcPr>
          <w:p>
            <w:pPr>
              <w:pStyle w:val="14"/>
              <w:jc w:val="center"/>
              <w:rPr>
                <w:rFonts w:ascii="Times New Roman" w:hAnsi="Times New Roman" w:eastAsia="宋体"/>
              </w:rPr>
            </w:pPr>
            <w:r>
              <w:rPr>
                <w:rFonts w:ascii="Times New Roman" w:hAnsi="Times New Roman" w:eastAsia="宋体"/>
              </w:rPr>
              <w:t>考核内容与评价细则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43" w:type="dxa"/>
            <w:vMerge w:val="continue"/>
            <w:shd w:val="clear" w:color="auto" w:fill="FFFFFF"/>
            <w:noWrap w:val="0"/>
            <w:tcMar>
              <w:left w:w="57" w:type="dxa"/>
              <w:right w:w="57" w:type="dxa"/>
            </w:tcMar>
            <w:vAlign w:val="center"/>
          </w:tcPr>
          <w:p>
            <w:pPr>
              <w:pStyle w:val="14"/>
              <w:jc w:val="center"/>
              <w:rPr>
                <w:rFonts w:ascii="Times New Roman" w:hAnsi="Times New Roman" w:eastAsia="宋体"/>
              </w:rPr>
            </w:pPr>
          </w:p>
        </w:tc>
        <w:tc>
          <w:tcPr>
            <w:tcW w:w="715" w:type="dxa"/>
            <w:vMerge w:val="continue"/>
            <w:shd w:val="clear" w:color="auto" w:fill="FFFFFF"/>
            <w:noWrap w:val="0"/>
            <w:vAlign w:val="center"/>
          </w:tcPr>
          <w:p>
            <w:pPr>
              <w:pStyle w:val="14"/>
              <w:jc w:val="center"/>
              <w:rPr>
                <w:rFonts w:ascii="Times New Roman" w:hAnsi="Times New Roman" w:eastAsia="宋体"/>
              </w:rPr>
            </w:pPr>
          </w:p>
        </w:tc>
        <w:tc>
          <w:tcPr>
            <w:tcW w:w="7006" w:type="dxa"/>
            <w:gridSpan w:val="2"/>
            <w:vMerge w:val="continue"/>
            <w:shd w:val="clear" w:color="auto" w:fill="FFFFFF"/>
            <w:noWrap w:val="0"/>
            <w:vAlign w:val="center"/>
          </w:tcPr>
          <w:p>
            <w:pPr>
              <w:pStyle w:val="14"/>
              <w:jc w:val="center"/>
              <w:rPr>
                <w:rFonts w:ascii="Times New Roman" w:hAnsi="Times New Roman"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shd w:val="clear" w:color="auto" w:fill="FFFFFF"/>
            <w:noWrap w:val="0"/>
            <w:tcMar>
              <w:left w:w="57" w:type="dxa"/>
              <w:right w:w="57" w:type="dxa"/>
            </w:tcMar>
            <w:vAlign w:val="center"/>
          </w:tcPr>
          <w:p>
            <w:pPr>
              <w:pStyle w:val="14"/>
              <w:jc w:val="center"/>
              <w:rPr>
                <w:rFonts w:ascii="Times New Roman" w:hAnsi="Times New Roman" w:eastAsia="宋体"/>
              </w:rPr>
            </w:pPr>
            <w:r>
              <w:rPr>
                <w:rFonts w:ascii="Times New Roman" w:hAnsi="Times New Roman" w:eastAsia="宋体"/>
              </w:rPr>
              <w:t>平时表现</w:t>
            </w:r>
          </w:p>
        </w:tc>
        <w:tc>
          <w:tcPr>
            <w:tcW w:w="715" w:type="dxa"/>
            <w:shd w:val="clear" w:color="auto" w:fill="FFFFFF"/>
            <w:noWrap w:val="0"/>
            <w:vAlign w:val="center"/>
          </w:tcPr>
          <w:p>
            <w:pPr>
              <w:pStyle w:val="14"/>
              <w:jc w:val="center"/>
              <w:rPr>
                <w:rFonts w:ascii="Times New Roman" w:hAnsi="Times New Roman" w:eastAsia="宋体"/>
              </w:rPr>
            </w:pPr>
            <w:r>
              <w:rPr>
                <w:rFonts w:ascii="Times New Roman" w:hAnsi="Times New Roman" w:eastAsia="宋体"/>
              </w:rPr>
              <w:t>30%</w:t>
            </w:r>
          </w:p>
        </w:tc>
        <w:tc>
          <w:tcPr>
            <w:tcW w:w="7006" w:type="dxa"/>
            <w:gridSpan w:val="2"/>
            <w:shd w:val="clear" w:color="auto" w:fill="FFFFFF"/>
            <w:noWrap w:val="0"/>
            <w:vAlign w:val="center"/>
          </w:tcPr>
          <w:p>
            <w:pPr>
              <w:pStyle w:val="14"/>
              <w:rPr>
                <w:rFonts w:ascii="Times New Roman" w:hAnsi="Times New Roman" w:eastAsia="宋体"/>
              </w:rPr>
            </w:pPr>
            <w:r>
              <w:rPr>
                <w:rFonts w:ascii="Times New Roman" w:hAnsi="Times New Roman" w:eastAsia="宋体"/>
              </w:rPr>
              <w:t>课堂不定期点名，考核能否按时到勤，对于旷课、迟到和早退者适当扣分，根据平时课堂笔记、课堂回答问题等情况确定平时表现分数。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shd w:val="clear" w:color="auto" w:fill="FFFFFF"/>
            <w:noWrap w:val="0"/>
            <w:tcMar>
              <w:left w:w="57" w:type="dxa"/>
              <w:right w:w="57" w:type="dxa"/>
            </w:tcMar>
            <w:vAlign w:val="center"/>
          </w:tcPr>
          <w:p>
            <w:pPr>
              <w:pStyle w:val="14"/>
              <w:jc w:val="center"/>
              <w:rPr>
                <w:rFonts w:ascii="Times New Roman" w:hAnsi="Times New Roman" w:eastAsia="宋体"/>
              </w:rPr>
            </w:pPr>
            <w:r>
              <w:rPr>
                <w:rFonts w:ascii="Times New Roman" w:hAnsi="Times New Roman" w:eastAsia="宋体"/>
              </w:rPr>
              <w:t>作    业</w:t>
            </w:r>
          </w:p>
        </w:tc>
        <w:tc>
          <w:tcPr>
            <w:tcW w:w="715" w:type="dxa"/>
            <w:shd w:val="clear" w:color="auto" w:fill="FFFFFF"/>
            <w:noWrap w:val="0"/>
            <w:vAlign w:val="center"/>
          </w:tcPr>
          <w:p>
            <w:pPr>
              <w:pStyle w:val="14"/>
              <w:jc w:val="center"/>
              <w:rPr>
                <w:rFonts w:ascii="Times New Roman" w:hAnsi="Times New Roman" w:eastAsia="宋体"/>
              </w:rPr>
            </w:pPr>
            <w:r>
              <w:rPr>
                <w:rFonts w:ascii="Times New Roman" w:hAnsi="Times New Roman" w:eastAsia="宋体"/>
              </w:rPr>
              <w:t>30%</w:t>
            </w:r>
          </w:p>
        </w:tc>
        <w:tc>
          <w:tcPr>
            <w:tcW w:w="7006" w:type="dxa"/>
            <w:gridSpan w:val="2"/>
            <w:shd w:val="clear" w:color="auto" w:fill="FFFFFF"/>
            <w:noWrap w:val="0"/>
            <w:vAlign w:val="center"/>
          </w:tcPr>
          <w:p>
            <w:pPr>
              <w:pStyle w:val="14"/>
              <w:rPr>
                <w:rFonts w:ascii="Times New Roman" w:hAnsi="Times New Roman" w:eastAsia="宋体"/>
              </w:rPr>
            </w:pPr>
            <w:r>
              <w:rPr>
                <w:rFonts w:ascii="Times New Roman" w:hAnsi="Times New Roman" w:eastAsia="宋体"/>
                <w:szCs w:val="21"/>
              </w:rPr>
              <w:t>重点章节对应有思考题和习题，考核学生对每节课知识点的复习、理解和掌握度。对每次作业完成情况做记录并百分制打分。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 w:type="dxa"/>
            <w:vMerge w:val="restart"/>
            <w:noWrap w:val="0"/>
            <w:tcMar>
              <w:left w:w="57" w:type="dxa"/>
              <w:right w:w="57" w:type="dxa"/>
            </w:tcMar>
            <w:vAlign w:val="center"/>
          </w:tcPr>
          <w:p>
            <w:pPr>
              <w:pStyle w:val="14"/>
              <w:jc w:val="center"/>
              <w:rPr>
                <w:rFonts w:ascii="Times New Roman" w:hAnsi="Times New Roman" w:eastAsia="宋体"/>
              </w:rPr>
            </w:pPr>
            <w:r>
              <w:rPr>
                <w:rFonts w:ascii="Times New Roman" w:hAnsi="Times New Roman" w:eastAsia="宋体"/>
              </w:rPr>
              <w:t>期末试卷</w:t>
            </w:r>
          </w:p>
        </w:tc>
        <w:tc>
          <w:tcPr>
            <w:tcW w:w="715" w:type="dxa"/>
            <w:vMerge w:val="restart"/>
            <w:noWrap w:val="0"/>
            <w:vAlign w:val="center"/>
          </w:tcPr>
          <w:p>
            <w:pPr>
              <w:pStyle w:val="14"/>
              <w:jc w:val="center"/>
              <w:rPr>
                <w:rFonts w:ascii="Times New Roman" w:hAnsi="Times New Roman" w:eastAsia="宋体"/>
              </w:rPr>
            </w:pPr>
            <w:r>
              <w:rPr>
                <w:rFonts w:ascii="Times New Roman" w:hAnsi="Times New Roman" w:eastAsia="宋体"/>
              </w:rPr>
              <w:t xml:space="preserve"> </w:t>
            </w:r>
          </w:p>
          <w:p>
            <w:pPr>
              <w:pStyle w:val="14"/>
              <w:jc w:val="center"/>
              <w:rPr>
                <w:rFonts w:ascii="Times New Roman" w:hAnsi="Times New Roman" w:eastAsia="宋体"/>
              </w:rPr>
            </w:pPr>
            <w:r>
              <w:rPr>
                <w:rFonts w:ascii="Times New Roman" w:hAnsi="Times New Roman" w:eastAsia="宋体"/>
              </w:rPr>
              <w:t>40%</w:t>
            </w:r>
          </w:p>
        </w:tc>
        <w:tc>
          <w:tcPr>
            <w:tcW w:w="1565" w:type="dxa"/>
            <w:tcBorders>
              <w:left w:val="single" w:color="auto" w:sz="4" w:space="0"/>
            </w:tcBorders>
            <w:noWrap w:val="0"/>
            <w:vAlign w:val="center"/>
          </w:tcPr>
          <w:p>
            <w:pPr>
              <w:pStyle w:val="14"/>
              <w:jc w:val="center"/>
              <w:rPr>
                <w:rFonts w:ascii="Times New Roman" w:hAnsi="Times New Roman" w:eastAsia="宋体"/>
                <w:color w:val="000000"/>
                <w:szCs w:val="21"/>
              </w:rPr>
            </w:pPr>
            <w:r>
              <w:rPr>
                <w:rFonts w:ascii="Times New Roman" w:hAnsi="Times New Roman" w:eastAsia="宋体"/>
                <w:color w:val="000000"/>
                <w:szCs w:val="21"/>
              </w:rPr>
              <w:t>题型</w:t>
            </w:r>
          </w:p>
        </w:tc>
        <w:tc>
          <w:tcPr>
            <w:tcW w:w="5441" w:type="dxa"/>
            <w:tcBorders>
              <w:left w:val="single" w:color="auto" w:sz="4" w:space="0"/>
            </w:tcBorders>
            <w:noWrap w:val="0"/>
            <w:vAlign w:val="center"/>
          </w:tcPr>
          <w:p>
            <w:pPr>
              <w:pStyle w:val="14"/>
              <w:jc w:val="center"/>
              <w:rPr>
                <w:rFonts w:ascii="Times New Roman" w:hAnsi="Times New Roman" w:eastAsia="宋体"/>
                <w:color w:val="000000"/>
                <w:szCs w:val="21"/>
              </w:rPr>
            </w:pPr>
            <w:r>
              <w:rPr>
                <w:rFonts w:ascii="Times New Roman" w:hAnsi="Times New Roman" w:eastAsia="宋体"/>
                <w:szCs w:val="21"/>
              </w:rPr>
              <w:t>考核内容及相应试题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043" w:type="dxa"/>
            <w:vMerge w:val="continue"/>
            <w:noWrap w:val="0"/>
            <w:tcMar>
              <w:left w:w="57" w:type="dxa"/>
              <w:right w:w="57" w:type="dxa"/>
            </w:tcMar>
            <w:vAlign w:val="center"/>
          </w:tcPr>
          <w:p>
            <w:pPr>
              <w:pStyle w:val="14"/>
              <w:jc w:val="center"/>
              <w:rPr>
                <w:rFonts w:ascii="Times New Roman" w:hAnsi="Times New Roman" w:eastAsia="宋体"/>
              </w:rPr>
            </w:pPr>
          </w:p>
        </w:tc>
        <w:tc>
          <w:tcPr>
            <w:tcW w:w="715" w:type="dxa"/>
            <w:vMerge w:val="continue"/>
            <w:noWrap w:val="0"/>
            <w:vAlign w:val="center"/>
          </w:tcPr>
          <w:p>
            <w:pPr>
              <w:pStyle w:val="14"/>
              <w:jc w:val="center"/>
              <w:rPr>
                <w:rFonts w:ascii="Times New Roman" w:hAnsi="Times New Roman" w:eastAsia="宋体"/>
              </w:rPr>
            </w:pPr>
          </w:p>
        </w:tc>
        <w:tc>
          <w:tcPr>
            <w:tcW w:w="1560" w:type="dxa"/>
            <w:tcBorders>
              <w:left w:val="single" w:color="auto" w:sz="4" w:space="0"/>
            </w:tcBorders>
            <w:noWrap w:val="0"/>
            <w:vAlign w:val="center"/>
          </w:tcPr>
          <w:p>
            <w:pPr>
              <w:pStyle w:val="14"/>
              <w:jc w:val="center"/>
              <w:rPr>
                <w:rFonts w:ascii="Times New Roman" w:hAnsi="Times New Roman" w:eastAsia="宋体"/>
                <w:color w:val="000000"/>
                <w:szCs w:val="21"/>
              </w:rPr>
            </w:pPr>
            <w:r>
              <w:rPr>
                <w:rFonts w:ascii="Times New Roman" w:hAnsi="Times New Roman" w:eastAsia="宋体"/>
                <w:color w:val="000000"/>
                <w:szCs w:val="21"/>
              </w:rPr>
              <w:t>选择题</w:t>
            </w:r>
          </w:p>
        </w:tc>
        <w:tc>
          <w:tcPr>
            <w:tcW w:w="5446" w:type="dxa"/>
            <w:tcBorders>
              <w:left w:val="single" w:color="auto" w:sz="4" w:space="0"/>
            </w:tcBorders>
            <w:noWrap w:val="0"/>
            <w:vAlign w:val="center"/>
          </w:tcPr>
          <w:p>
            <w:pPr>
              <w:widowControl/>
              <w:rPr>
                <w:rFonts w:ascii="Times New Roman" w:hAnsi="Times New Roman"/>
              </w:rPr>
            </w:pPr>
            <w:r>
              <w:rPr>
                <w:rFonts w:ascii="Times New Roman" w:hAnsi="Times New Roman"/>
              </w:rPr>
              <w:t>主要考核</w:t>
            </w:r>
            <w:r>
              <w:rPr>
                <w:rFonts w:ascii="Times New Roman" w:hAnsi="Times New Roman"/>
                <w:color w:val="000000"/>
                <w:szCs w:val="21"/>
              </w:rPr>
              <w:t>三大营养物质性质，结构特点等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noWrap w:val="0"/>
            <w:tcMar>
              <w:left w:w="57" w:type="dxa"/>
              <w:right w:w="57" w:type="dxa"/>
            </w:tcMar>
            <w:vAlign w:val="center"/>
          </w:tcPr>
          <w:p>
            <w:pPr>
              <w:pStyle w:val="14"/>
              <w:jc w:val="center"/>
              <w:rPr>
                <w:rFonts w:ascii="Times New Roman" w:hAnsi="Times New Roman" w:eastAsia="宋体"/>
              </w:rPr>
            </w:pPr>
          </w:p>
        </w:tc>
        <w:tc>
          <w:tcPr>
            <w:tcW w:w="715" w:type="dxa"/>
            <w:vMerge w:val="continue"/>
            <w:noWrap w:val="0"/>
            <w:vAlign w:val="center"/>
          </w:tcPr>
          <w:p>
            <w:pPr>
              <w:pStyle w:val="14"/>
              <w:jc w:val="center"/>
              <w:rPr>
                <w:rFonts w:ascii="Times New Roman" w:hAnsi="Times New Roman" w:eastAsia="宋体"/>
              </w:rPr>
            </w:pPr>
          </w:p>
        </w:tc>
        <w:tc>
          <w:tcPr>
            <w:tcW w:w="1560" w:type="dxa"/>
            <w:tcBorders>
              <w:left w:val="single" w:color="auto" w:sz="4" w:space="0"/>
            </w:tcBorders>
            <w:noWrap w:val="0"/>
            <w:vAlign w:val="center"/>
          </w:tcPr>
          <w:p>
            <w:pPr>
              <w:pStyle w:val="14"/>
              <w:jc w:val="center"/>
              <w:rPr>
                <w:rFonts w:ascii="Times New Roman" w:hAnsi="Times New Roman" w:eastAsia="宋体"/>
                <w:color w:val="000000"/>
                <w:szCs w:val="21"/>
              </w:rPr>
            </w:pPr>
            <w:r>
              <w:rPr>
                <w:rFonts w:ascii="Times New Roman" w:hAnsi="Times New Roman" w:eastAsia="宋体"/>
                <w:color w:val="000000"/>
                <w:szCs w:val="21"/>
              </w:rPr>
              <w:t>判断题</w:t>
            </w:r>
          </w:p>
        </w:tc>
        <w:tc>
          <w:tcPr>
            <w:tcW w:w="5446" w:type="dxa"/>
            <w:tcBorders>
              <w:left w:val="single" w:color="auto" w:sz="4" w:space="0"/>
            </w:tcBorders>
            <w:noWrap w:val="0"/>
            <w:vAlign w:val="center"/>
          </w:tcPr>
          <w:p>
            <w:pPr>
              <w:pStyle w:val="14"/>
              <w:rPr>
                <w:rFonts w:ascii="Times New Roman" w:hAnsi="Times New Roman" w:eastAsia="宋体"/>
                <w:color w:val="000000"/>
                <w:szCs w:val="21"/>
              </w:rPr>
            </w:pPr>
            <w:r>
              <w:rPr>
                <w:rFonts w:ascii="Times New Roman" w:hAnsi="Times New Roman" w:eastAsia="宋体"/>
                <w:color w:val="000000"/>
                <w:szCs w:val="21"/>
              </w:rPr>
              <w:t>主要考核各代谢途径调节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noWrap w:val="0"/>
            <w:tcMar>
              <w:left w:w="57" w:type="dxa"/>
              <w:right w:w="57" w:type="dxa"/>
            </w:tcMar>
            <w:vAlign w:val="center"/>
          </w:tcPr>
          <w:p>
            <w:pPr>
              <w:pStyle w:val="14"/>
              <w:jc w:val="center"/>
              <w:rPr>
                <w:rFonts w:ascii="Times New Roman" w:hAnsi="Times New Roman" w:eastAsia="宋体"/>
              </w:rPr>
            </w:pPr>
          </w:p>
        </w:tc>
        <w:tc>
          <w:tcPr>
            <w:tcW w:w="715" w:type="dxa"/>
            <w:vMerge w:val="continue"/>
            <w:noWrap w:val="0"/>
            <w:vAlign w:val="center"/>
          </w:tcPr>
          <w:p>
            <w:pPr>
              <w:pStyle w:val="14"/>
              <w:jc w:val="center"/>
              <w:rPr>
                <w:rFonts w:ascii="Times New Roman" w:hAnsi="Times New Roman" w:eastAsia="宋体"/>
              </w:rPr>
            </w:pPr>
          </w:p>
        </w:tc>
        <w:tc>
          <w:tcPr>
            <w:tcW w:w="1560" w:type="dxa"/>
            <w:tcBorders>
              <w:left w:val="single" w:color="auto" w:sz="4" w:space="0"/>
            </w:tcBorders>
            <w:noWrap w:val="0"/>
            <w:vAlign w:val="center"/>
          </w:tcPr>
          <w:p>
            <w:pPr>
              <w:pStyle w:val="14"/>
              <w:jc w:val="center"/>
              <w:rPr>
                <w:rFonts w:ascii="Times New Roman" w:hAnsi="Times New Roman" w:eastAsia="宋体"/>
                <w:color w:val="000000"/>
                <w:szCs w:val="21"/>
              </w:rPr>
            </w:pPr>
            <w:r>
              <w:rPr>
                <w:rFonts w:ascii="Times New Roman" w:hAnsi="Times New Roman" w:eastAsia="宋体"/>
                <w:color w:val="000000"/>
                <w:szCs w:val="21"/>
              </w:rPr>
              <w:t>简答题</w:t>
            </w:r>
          </w:p>
        </w:tc>
        <w:tc>
          <w:tcPr>
            <w:tcW w:w="5446" w:type="dxa"/>
            <w:tcBorders>
              <w:left w:val="single" w:color="auto" w:sz="4" w:space="0"/>
            </w:tcBorders>
            <w:noWrap w:val="0"/>
            <w:vAlign w:val="center"/>
          </w:tcPr>
          <w:p>
            <w:pPr>
              <w:pStyle w:val="14"/>
              <w:rPr>
                <w:rFonts w:ascii="Times New Roman" w:hAnsi="Times New Roman" w:eastAsia="宋体"/>
                <w:color w:val="000000"/>
                <w:szCs w:val="21"/>
              </w:rPr>
            </w:pPr>
            <w:r>
              <w:rPr>
                <w:rFonts w:ascii="Times New Roman" w:hAnsi="Times New Roman" w:eastAsia="宋体"/>
                <w:color w:val="000000"/>
                <w:szCs w:val="21"/>
              </w:rPr>
              <w:t>主要考核各代谢过程涉及的能量计算等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noWrap w:val="0"/>
            <w:tcMar>
              <w:left w:w="57" w:type="dxa"/>
              <w:right w:w="57" w:type="dxa"/>
            </w:tcMar>
            <w:vAlign w:val="center"/>
          </w:tcPr>
          <w:p>
            <w:pPr>
              <w:pStyle w:val="14"/>
              <w:jc w:val="center"/>
              <w:rPr>
                <w:rFonts w:ascii="Times New Roman" w:hAnsi="Times New Roman" w:eastAsia="宋体"/>
              </w:rPr>
            </w:pPr>
          </w:p>
        </w:tc>
        <w:tc>
          <w:tcPr>
            <w:tcW w:w="715" w:type="dxa"/>
            <w:vMerge w:val="continue"/>
            <w:noWrap w:val="0"/>
            <w:vAlign w:val="center"/>
          </w:tcPr>
          <w:p>
            <w:pPr>
              <w:pStyle w:val="14"/>
              <w:jc w:val="center"/>
              <w:rPr>
                <w:rFonts w:ascii="Times New Roman" w:hAnsi="Times New Roman" w:eastAsia="宋体"/>
              </w:rPr>
            </w:pPr>
          </w:p>
        </w:tc>
        <w:tc>
          <w:tcPr>
            <w:tcW w:w="1560" w:type="dxa"/>
            <w:tcBorders>
              <w:left w:val="single" w:color="auto" w:sz="4" w:space="0"/>
            </w:tcBorders>
            <w:noWrap w:val="0"/>
            <w:vAlign w:val="center"/>
          </w:tcPr>
          <w:p>
            <w:pPr>
              <w:pStyle w:val="14"/>
              <w:jc w:val="center"/>
              <w:rPr>
                <w:rFonts w:ascii="Times New Roman" w:hAnsi="Times New Roman" w:eastAsia="宋体"/>
                <w:color w:val="000000"/>
                <w:szCs w:val="21"/>
              </w:rPr>
            </w:pPr>
            <w:r>
              <w:rPr>
                <w:rFonts w:ascii="Times New Roman" w:hAnsi="Times New Roman" w:eastAsia="宋体"/>
                <w:color w:val="000000"/>
                <w:szCs w:val="21"/>
              </w:rPr>
              <w:t>案例分析题</w:t>
            </w:r>
          </w:p>
        </w:tc>
        <w:tc>
          <w:tcPr>
            <w:tcW w:w="5446" w:type="dxa"/>
            <w:tcBorders>
              <w:left w:val="single" w:color="auto" w:sz="4" w:space="0"/>
            </w:tcBorders>
            <w:noWrap w:val="0"/>
            <w:vAlign w:val="center"/>
          </w:tcPr>
          <w:p>
            <w:pPr>
              <w:pStyle w:val="14"/>
              <w:rPr>
                <w:rFonts w:ascii="Times New Roman" w:hAnsi="Times New Roman" w:eastAsia="宋体"/>
                <w:color w:val="000000"/>
                <w:szCs w:val="21"/>
              </w:rPr>
            </w:pPr>
            <w:r>
              <w:rPr>
                <w:rFonts w:ascii="Times New Roman" w:hAnsi="Times New Roman" w:eastAsia="宋体"/>
                <w:color w:val="000000"/>
                <w:szCs w:val="21"/>
              </w:rPr>
              <w:t>主要考核代谢途径与疾病方案等。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noWrap w:val="0"/>
            <w:tcMar>
              <w:left w:w="57" w:type="dxa"/>
              <w:right w:w="57" w:type="dxa"/>
            </w:tcMar>
            <w:vAlign w:val="center"/>
          </w:tcPr>
          <w:p>
            <w:pPr>
              <w:pStyle w:val="14"/>
              <w:jc w:val="center"/>
              <w:rPr>
                <w:rFonts w:ascii="Times New Roman" w:hAnsi="Times New Roman" w:eastAsia="宋体"/>
              </w:rPr>
            </w:pPr>
          </w:p>
        </w:tc>
        <w:tc>
          <w:tcPr>
            <w:tcW w:w="715" w:type="dxa"/>
            <w:vMerge w:val="continue"/>
            <w:noWrap w:val="0"/>
            <w:vAlign w:val="center"/>
          </w:tcPr>
          <w:p>
            <w:pPr>
              <w:pStyle w:val="14"/>
              <w:jc w:val="center"/>
              <w:rPr>
                <w:rFonts w:ascii="Times New Roman" w:hAnsi="Times New Roman" w:eastAsia="宋体"/>
              </w:rPr>
            </w:pPr>
          </w:p>
        </w:tc>
        <w:tc>
          <w:tcPr>
            <w:tcW w:w="1560" w:type="dxa"/>
            <w:tcBorders>
              <w:left w:val="single" w:color="auto" w:sz="4" w:space="0"/>
            </w:tcBorders>
            <w:noWrap w:val="0"/>
            <w:vAlign w:val="center"/>
          </w:tcPr>
          <w:p>
            <w:pPr>
              <w:pStyle w:val="14"/>
              <w:rPr>
                <w:rFonts w:ascii="Times New Roman" w:hAnsi="Times New Roman" w:eastAsia="宋体"/>
                <w:color w:val="000000"/>
                <w:szCs w:val="21"/>
              </w:rPr>
            </w:pPr>
          </w:p>
        </w:tc>
        <w:tc>
          <w:tcPr>
            <w:tcW w:w="5446" w:type="dxa"/>
            <w:tcBorders>
              <w:left w:val="single" w:color="auto" w:sz="4" w:space="0"/>
              <w:bottom w:val="single" w:color="auto" w:sz="4" w:space="0"/>
            </w:tcBorders>
            <w:noWrap w:val="0"/>
            <w:vAlign w:val="center"/>
          </w:tcPr>
          <w:p>
            <w:pPr>
              <w:pStyle w:val="14"/>
              <w:rPr>
                <w:rFonts w:ascii="Times New Roman" w:hAnsi="Times New Roman" w:eastAsia="宋体"/>
                <w:color w:val="000000"/>
                <w:szCs w:val="21"/>
              </w:rPr>
            </w:pPr>
            <w:r>
              <w:rPr>
                <w:rFonts w:ascii="Times New Roman" w:hAnsi="Times New Roman" w:eastAsia="宋体"/>
                <w:color w:val="000000"/>
                <w:szCs w:val="21"/>
              </w:rPr>
              <w:t>主要考核代谢途径与药物设计。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043" w:type="dxa"/>
            <w:noWrap w:val="0"/>
            <w:tcMar>
              <w:left w:w="57" w:type="dxa"/>
              <w:right w:w="57" w:type="dxa"/>
            </w:tcMar>
            <w:vAlign w:val="center"/>
          </w:tcPr>
          <w:p>
            <w:pPr>
              <w:pStyle w:val="14"/>
              <w:jc w:val="center"/>
              <w:rPr>
                <w:rFonts w:ascii="Times New Roman" w:hAnsi="Times New Roman" w:eastAsia="宋体"/>
              </w:rPr>
            </w:pPr>
            <w:r>
              <w:rPr>
                <w:rFonts w:ascii="Times New Roman" w:hAnsi="Times New Roman" w:eastAsia="宋体"/>
              </w:rPr>
              <w:t>合    计</w:t>
            </w:r>
          </w:p>
        </w:tc>
        <w:tc>
          <w:tcPr>
            <w:tcW w:w="715" w:type="dxa"/>
            <w:noWrap w:val="0"/>
            <w:vAlign w:val="center"/>
          </w:tcPr>
          <w:p>
            <w:pPr>
              <w:pStyle w:val="14"/>
              <w:jc w:val="center"/>
              <w:rPr>
                <w:rFonts w:ascii="Times New Roman" w:hAnsi="Times New Roman" w:eastAsia="宋体"/>
              </w:rPr>
            </w:pPr>
            <w:r>
              <w:rPr>
                <w:rFonts w:ascii="Times New Roman" w:hAnsi="Times New Roman" w:eastAsia="宋体"/>
              </w:rPr>
              <w:t>100%</w:t>
            </w:r>
          </w:p>
        </w:tc>
        <w:tc>
          <w:tcPr>
            <w:tcW w:w="7006" w:type="dxa"/>
            <w:gridSpan w:val="2"/>
            <w:tcBorders>
              <w:left w:val="single" w:color="auto" w:sz="4" w:space="0"/>
            </w:tcBorders>
            <w:noWrap w:val="0"/>
            <w:vAlign w:val="center"/>
          </w:tcPr>
          <w:p>
            <w:pPr>
              <w:pStyle w:val="14"/>
              <w:rPr>
                <w:rFonts w:ascii="Times New Roman" w:hAnsi="Times New Roman" w:eastAsia="宋体"/>
                <w:color w:val="000000"/>
                <w:szCs w:val="21"/>
              </w:rPr>
            </w:pPr>
          </w:p>
        </w:tc>
      </w:tr>
    </w:tbl>
    <w:p>
      <w:pPr>
        <w:spacing w:line="360" w:lineRule="auto"/>
        <w:rPr>
          <w:rFonts w:ascii="Times New Roman" w:hAnsi="Times New Roman"/>
          <w:b/>
          <w:sz w:val="28"/>
          <w:szCs w:val="28"/>
        </w:rPr>
      </w:pPr>
      <w:r>
        <w:rPr>
          <w:rFonts w:ascii="Times New Roman" w:hAnsi="Times New Roman"/>
          <w:b/>
          <w:sz w:val="28"/>
          <w:szCs w:val="28"/>
        </w:rPr>
        <w:t>六、有关说明</w:t>
      </w:r>
    </w:p>
    <w:p>
      <w:pPr>
        <w:spacing w:line="360" w:lineRule="auto"/>
        <w:ind w:firstLine="482" w:firstLineChars="200"/>
        <w:rPr>
          <w:rFonts w:ascii="Times New Roman" w:hAnsi="Times New Roman"/>
          <w:b/>
          <w:color w:val="000000"/>
          <w:sz w:val="24"/>
        </w:rPr>
      </w:pPr>
      <w:r>
        <w:rPr>
          <w:rFonts w:ascii="Times New Roman" w:hAnsi="Times New Roman"/>
          <w:b/>
          <w:color w:val="000000"/>
          <w:sz w:val="24"/>
        </w:rPr>
        <w:t>（一）持续改进</w:t>
      </w:r>
    </w:p>
    <w:p>
      <w:pPr>
        <w:spacing w:line="360" w:lineRule="auto"/>
        <w:ind w:firstLine="480" w:firstLineChars="200"/>
        <w:rPr>
          <w:rFonts w:ascii="Times New Roman" w:hAnsi="Times New Roman"/>
          <w:color w:val="000000"/>
          <w:sz w:val="24"/>
        </w:rPr>
      </w:pPr>
      <w:r>
        <w:rPr>
          <w:rFonts w:ascii="Times New Roman" w:hAnsi="Times New Roman"/>
          <w:sz w:val="24"/>
          <w:szCs w:val="22"/>
        </w:rPr>
        <w:t>本课程根据学生作业、课堂讨论、平时考核情况和学生、教学督导等的反馈，及时对教学中的不足之处进行改进，并在下一轮课程教学中整改完善，确保相应毕业要求指标点达成。</w:t>
      </w:r>
    </w:p>
    <w:p>
      <w:pPr>
        <w:spacing w:line="360" w:lineRule="auto"/>
        <w:ind w:firstLine="482" w:firstLineChars="200"/>
        <w:rPr>
          <w:rFonts w:ascii="Times New Roman" w:hAnsi="Times New Roman"/>
          <w:b/>
          <w:color w:val="000000"/>
          <w:sz w:val="24"/>
        </w:rPr>
      </w:pPr>
      <w:r>
        <w:rPr>
          <w:rFonts w:ascii="Times New Roman" w:hAnsi="Times New Roman"/>
          <w:b/>
          <w:color w:val="000000"/>
          <w:sz w:val="24"/>
        </w:rPr>
        <w:t>（二）参考书目及学习资料</w:t>
      </w:r>
    </w:p>
    <w:p>
      <w:pPr>
        <w:spacing w:line="360" w:lineRule="auto"/>
        <w:ind w:left="420" w:firstLine="240" w:firstLineChars="100"/>
        <w:rPr>
          <w:rFonts w:ascii="Times New Roman" w:hAnsi="Times New Roman"/>
          <w:sz w:val="24"/>
        </w:rPr>
      </w:pPr>
      <w:r>
        <w:rPr>
          <w:rFonts w:ascii="Times New Roman" w:hAnsi="Times New Roman"/>
          <w:sz w:val="24"/>
        </w:rPr>
        <w:t>1．周爱儒主编．《生物化学》（第六版）     人民卫生出版社</w:t>
      </w:r>
    </w:p>
    <w:p>
      <w:pPr>
        <w:spacing w:line="360" w:lineRule="auto"/>
        <w:ind w:left="420" w:firstLine="240" w:firstLineChars="100"/>
        <w:rPr>
          <w:rFonts w:ascii="Times New Roman" w:hAnsi="Times New Roman"/>
          <w:sz w:val="24"/>
        </w:rPr>
      </w:pPr>
      <w:r>
        <w:rPr>
          <w:rFonts w:ascii="Times New Roman" w:hAnsi="Times New Roman"/>
          <w:sz w:val="24"/>
        </w:rPr>
        <w:t>2．张乃蘅主编．《生物化学》（第二版）     北京医科大学出版社</w:t>
      </w:r>
    </w:p>
    <w:p>
      <w:pPr>
        <w:spacing w:line="360" w:lineRule="auto"/>
        <w:ind w:left="420" w:firstLine="240" w:firstLineChars="100"/>
        <w:rPr>
          <w:rFonts w:ascii="Times New Roman" w:hAnsi="Times New Roman"/>
          <w:sz w:val="24"/>
        </w:rPr>
      </w:pPr>
      <w:r>
        <w:rPr>
          <w:rFonts w:ascii="Times New Roman" w:hAnsi="Times New Roman"/>
          <w:sz w:val="24"/>
        </w:rPr>
        <w:t>3．徐晓利、马涧泉主编．《医学生物化学》  人民卫生出版社</w:t>
      </w:r>
    </w:p>
    <w:p>
      <w:pPr>
        <w:spacing w:line="360" w:lineRule="auto"/>
        <w:ind w:left="420" w:firstLine="240" w:firstLineChars="100"/>
        <w:rPr>
          <w:rFonts w:ascii="Times New Roman" w:hAnsi="Times New Roman"/>
          <w:sz w:val="24"/>
        </w:rPr>
      </w:pPr>
      <w:r>
        <w:rPr>
          <w:rFonts w:ascii="Times New Roman" w:hAnsi="Times New Roman"/>
          <w:sz w:val="24"/>
        </w:rPr>
        <w:t>4. 王镜岩主编．《生物化学》（第三版）     高等教育出版社</w:t>
      </w:r>
    </w:p>
    <w:p>
      <w:pPr>
        <w:autoSpaceDE w:val="0"/>
        <w:autoSpaceDN w:val="0"/>
        <w:adjustRightInd w:val="0"/>
        <w:spacing w:line="360" w:lineRule="auto"/>
        <w:ind w:left="7199" w:leftChars="228" w:hanging="6720" w:hangingChars="2800"/>
        <w:jc w:val="left"/>
        <w:rPr>
          <w:rFonts w:hint="eastAsia" w:ascii="Times New Roman" w:hAnsi="Times New Roman" w:eastAsia="宋体"/>
          <w:kern w:val="0"/>
          <w:sz w:val="24"/>
          <w:szCs w:val="21"/>
          <w:lang w:eastAsia="zh-CN"/>
        </w:rPr>
      </w:pPr>
      <w:r>
        <w:rPr>
          <w:rFonts w:ascii="Times New Roman" w:hAnsi="Times New Roman"/>
          <w:sz w:val="24"/>
        </w:rPr>
        <w:t xml:space="preserve">                                               </w:t>
      </w:r>
      <w:r>
        <w:rPr>
          <w:rFonts w:ascii="Times New Roman" w:hAnsi="Times New Roman"/>
          <w:kern w:val="0"/>
          <w:sz w:val="24"/>
          <w:szCs w:val="21"/>
        </w:rPr>
        <w:t>执笔人：王晋</w:t>
      </w:r>
      <w:r>
        <w:rPr>
          <w:rFonts w:hint="eastAsia"/>
          <w:kern w:val="0"/>
          <w:sz w:val="24"/>
          <w:szCs w:val="21"/>
          <w:lang w:eastAsia="zh-CN"/>
        </w:rPr>
        <w:t>方</w:t>
      </w:r>
    </w:p>
    <w:p>
      <w:pPr>
        <w:autoSpaceDE w:val="0"/>
        <w:autoSpaceDN w:val="0"/>
        <w:adjustRightInd w:val="0"/>
        <w:spacing w:line="360" w:lineRule="auto"/>
        <w:ind w:left="7184" w:leftChars="2964" w:hanging="960" w:hangingChars="400"/>
        <w:jc w:val="left"/>
        <w:rPr>
          <w:rFonts w:ascii="Times New Roman" w:hAnsi="Times New Roman"/>
          <w:kern w:val="0"/>
          <w:sz w:val="24"/>
          <w:szCs w:val="21"/>
        </w:rPr>
      </w:pPr>
      <w:r>
        <w:rPr>
          <w:rFonts w:ascii="Times New Roman" w:hAnsi="Times New Roman"/>
          <w:kern w:val="0"/>
          <w:sz w:val="24"/>
          <w:szCs w:val="21"/>
        </w:rPr>
        <w:t>审定人： 柏寄荣</w:t>
      </w:r>
    </w:p>
    <w:p>
      <w:pPr>
        <w:autoSpaceDE w:val="0"/>
        <w:autoSpaceDN w:val="0"/>
        <w:adjustRightInd w:val="0"/>
        <w:spacing w:line="360" w:lineRule="auto"/>
        <w:ind w:firstLine="6240" w:firstLineChars="2600"/>
        <w:jc w:val="left"/>
        <w:rPr>
          <w:rFonts w:ascii="Times New Roman" w:hAnsi="Times New Roman"/>
          <w:kern w:val="0"/>
          <w:sz w:val="24"/>
          <w:szCs w:val="21"/>
        </w:rPr>
      </w:pPr>
      <w:r>
        <w:rPr>
          <w:rFonts w:ascii="Times New Roman" w:hAnsi="Times New Roman"/>
          <w:kern w:val="0"/>
          <w:sz w:val="24"/>
          <w:szCs w:val="21"/>
        </w:rPr>
        <w:t>审批人：吴泽颖</w:t>
      </w:r>
    </w:p>
    <w:p>
      <w:pPr>
        <w:autoSpaceDE w:val="0"/>
        <w:autoSpaceDN w:val="0"/>
        <w:adjustRightInd w:val="0"/>
        <w:spacing w:line="360" w:lineRule="auto"/>
        <w:ind w:firstLine="6000" w:firstLineChars="2500"/>
        <w:jc w:val="left"/>
        <w:rPr>
          <w:rFonts w:hint="eastAsia"/>
          <w:kern w:val="0"/>
          <w:sz w:val="24"/>
          <w:szCs w:val="21"/>
        </w:rPr>
      </w:pPr>
      <w:r>
        <w:rPr>
          <w:rFonts w:ascii="Times New Roman" w:hAnsi="Times New Roman"/>
          <w:kern w:val="0"/>
          <w:sz w:val="24"/>
          <w:szCs w:val="21"/>
        </w:rPr>
        <w:t>批准时间：</w:t>
      </w:r>
      <w:r>
        <w:rPr>
          <w:rFonts w:hint="eastAsia"/>
          <w:kern w:val="0"/>
          <w:sz w:val="24"/>
          <w:szCs w:val="21"/>
        </w:rPr>
        <w:t>2</w:t>
      </w:r>
      <w:r>
        <w:rPr>
          <w:kern w:val="0"/>
          <w:sz w:val="24"/>
          <w:szCs w:val="21"/>
        </w:rPr>
        <w:t>021</w:t>
      </w:r>
      <w:r>
        <w:rPr>
          <w:rFonts w:hint="eastAsia"/>
          <w:kern w:val="0"/>
          <w:sz w:val="24"/>
          <w:szCs w:val="21"/>
        </w:rPr>
        <w:t>.9.1</w:t>
      </w:r>
    </w:p>
    <w:p>
      <w:pPr>
        <w:autoSpaceDE w:val="0"/>
        <w:autoSpaceDN w:val="0"/>
        <w:adjustRightInd w:val="0"/>
        <w:spacing w:line="360" w:lineRule="auto"/>
        <w:ind w:firstLine="6000" w:firstLineChars="2500"/>
        <w:jc w:val="left"/>
        <w:rPr>
          <w:rFonts w:hint="eastAsia"/>
          <w:kern w:val="0"/>
          <w:sz w:val="24"/>
          <w:szCs w:val="21"/>
        </w:rPr>
      </w:pPr>
    </w:p>
    <w:p>
      <w:pPr>
        <w:autoSpaceDE w:val="0"/>
        <w:autoSpaceDN w:val="0"/>
        <w:adjustRightInd w:val="0"/>
        <w:spacing w:line="360" w:lineRule="auto"/>
        <w:ind w:firstLine="6000" w:firstLineChars="2500"/>
        <w:jc w:val="left"/>
        <w:rPr>
          <w:rFonts w:hint="eastAsia"/>
          <w:kern w:val="0"/>
          <w:sz w:val="24"/>
          <w:szCs w:val="21"/>
        </w:rPr>
      </w:pPr>
    </w:p>
    <w:p>
      <w:pPr>
        <w:autoSpaceDE w:val="0"/>
        <w:autoSpaceDN w:val="0"/>
        <w:adjustRightInd w:val="0"/>
        <w:spacing w:line="360" w:lineRule="auto"/>
        <w:ind w:firstLine="6000" w:firstLineChars="2500"/>
        <w:jc w:val="left"/>
        <w:rPr>
          <w:rFonts w:hint="eastAsia"/>
          <w:kern w:val="0"/>
          <w:sz w:val="24"/>
          <w:szCs w:val="21"/>
        </w:rPr>
      </w:pPr>
    </w:p>
    <w:p>
      <w:pPr>
        <w:autoSpaceDE w:val="0"/>
        <w:autoSpaceDN w:val="0"/>
        <w:adjustRightInd w:val="0"/>
        <w:spacing w:line="360" w:lineRule="auto"/>
        <w:ind w:firstLine="6000" w:firstLineChars="2500"/>
        <w:jc w:val="left"/>
        <w:rPr>
          <w:rFonts w:hint="eastAsia"/>
          <w:kern w:val="0"/>
          <w:sz w:val="24"/>
          <w:szCs w:val="21"/>
        </w:rPr>
      </w:pPr>
    </w:p>
    <w:p>
      <w:pPr>
        <w:pStyle w:val="3"/>
        <w:bidi w:val="0"/>
        <w:jc w:val="center"/>
      </w:pPr>
      <w:bookmarkStart w:id="237" w:name="_Toc10784"/>
      <w:bookmarkStart w:id="238" w:name="_Toc7756"/>
      <w:r>
        <w:rPr>
          <w:rFonts w:hint="eastAsia"/>
        </w:rPr>
        <w:t>药剂学</w:t>
      </w:r>
      <w:r>
        <w:t>课程教学大纲</w:t>
      </w:r>
      <w:bookmarkEnd w:id="237"/>
      <w:bookmarkEnd w:id="238"/>
    </w:p>
    <w:p>
      <w:pPr>
        <w:jc w:val="center"/>
        <w:rPr>
          <w:rFonts w:hint="eastAsia"/>
        </w:rPr>
      </w:pPr>
      <w:r>
        <w:rPr>
          <w:rFonts w:hint="eastAsia"/>
          <w:b/>
          <w:bCs/>
          <w:sz w:val="30"/>
        </w:rPr>
        <w:t>（</w:t>
      </w:r>
      <w:r>
        <w:rPr>
          <w:rFonts w:ascii="Times New Roman" w:hAnsi="Times New Roman" w:cs="Times New Roman"/>
          <w:b/>
          <w:bCs/>
          <w:sz w:val="30"/>
        </w:rPr>
        <w:t>Pharmaceutics</w:t>
      </w:r>
      <w:r>
        <w:rPr>
          <w:rFonts w:hint="eastAsia"/>
          <w:b/>
          <w:bCs/>
          <w:sz w:val="30"/>
        </w:rPr>
        <w:t>）</w:t>
      </w:r>
    </w:p>
    <w:p>
      <w:pPr>
        <w:spacing w:line="312" w:lineRule="auto"/>
        <w:jc w:val="center"/>
        <w:rPr>
          <w:b/>
          <w:bCs/>
          <w:sz w:val="30"/>
        </w:rPr>
      </w:pPr>
    </w:p>
    <w:p>
      <w:pPr>
        <w:spacing w:line="360" w:lineRule="auto"/>
        <w:ind w:firstLine="551" w:firstLineChars="196"/>
        <w:rPr>
          <w:rFonts w:hint="eastAsia"/>
          <w:b/>
          <w:sz w:val="28"/>
          <w:szCs w:val="28"/>
        </w:rPr>
      </w:pPr>
      <w:r>
        <w:rPr>
          <w:b/>
          <w:sz w:val="28"/>
          <w:szCs w:val="28"/>
        </w:rPr>
        <w:t>一、课程概况</w:t>
      </w:r>
    </w:p>
    <w:p>
      <w:pPr>
        <w:spacing w:line="360" w:lineRule="auto"/>
        <w:ind w:firstLine="422" w:firstLineChars="200"/>
        <w:rPr>
          <w:b/>
          <w:sz w:val="28"/>
          <w:szCs w:val="28"/>
        </w:rPr>
      </w:pPr>
      <w:r>
        <w:rPr>
          <w:b/>
          <w:bCs/>
        </w:rPr>
        <w:t>课程代码</w:t>
      </w:r>
      <w:r>
        <w:rPr>
          <w:b/>
        </w:rPr>
        <w:t>：</w:t>
      </w:r>
      <w:r>
        <w:rPr>
          <w:rFonts w:ascii="Times New Roman" w:hAnsi="Times New Roman" w:cs="Times New Roman"/>
          <w:b/>
        </w:rPr>
        <w:t>2501020</w:t>
      </w:r>
    </w:p>
    <w:p>
      <w:pPr>
        <w:spacing w:line="360" w:lineRule="auto"/>
        <w:ind w:firstLine="422" w:firstLineChars="200"/>
        <w:rPr>
          <w:b/>
        </w:rPr>
      </w:pPr>
      <w:r>
        <w:rPr>
          <w:b/>
          <w:bCs/>
        </w:rPr>
        <w:t>学    分</w:t>
      </w:r>
      <w:r>
        <w:rPr>
          <w:b/>
        </w:rPr>
        <w:t>：</w:t>
      </w:r>
      <w:r>
        <w:rPr>
          <w:rFonts w:ascii="Times New Roman" w:hAnsi="Times New Roman" w:cs="Times New Roman"/>
          <w:b/>
        </w:rPr>
        <w:t>2</w:t>
      </w:r>
    </w:p>
    <w:p>
      <w:pPr>
        <w:spacing w:line="360" w:lineRule="auto"/>
        <w:ind w:firstLine="422" w:firstLineChars="200"/>
      </w:pPr>
      <w:r>
        <w:rPr>
          <w:b/>
          <w:bCs/>
        </w:rPr>
        <w:t>学    时</w:t>
      </w:r>
      <w:r>
        <w:rPr>
          <w:b/>
        </w:rPr>
        <w:t>：</w:t>
      </w:r>
      <w:r>
        <w:rPr>
          <w:rFonts w:ascii="Times New Roman" w:hAnsi="Times New Roman" w:cs="Times New Roman"/>
          <w:b/>
          <w:bCs/>
        </w:rPr>
        <w:t>32</w:t>
      </w:r>
    </w:p>
    <w:p>
      <w:pPr>
        <w:spacing w:line="360" w:lineRule="auto"/>
        <w:ind w:firstLine="422" w:firstLineChars="200"/>
        <w:rPr>
          <w:b/>
          <w:bCs/>
        </w:rPr>
      </w:pPr>
      <w:r>
        <w:rPr>
          <w:b/>
          <w:bCs/>
        </w:rPr>
        <w:t>先修课程</w:t>
      </w:r>
      <w:r>
        <w:rPr>
          <w:b/>
        </w:rPr>
        <w:t>：</w:t>
      </w:r>
      <w:r>
        <w:rPr>
          <w:rFonts w:hint="eastAsia"/>
          <w:b/>
        </w:rPr>
        <w:t>无机化学、分析化学、物理化学、有机化学等</w:t>
      </w:r>
    </w:p>
    <w:p>
      <w:pPr>
        <w:spacing w:line="360" w:lineRule="auto"/>
        <w:ind w:firstLine="422" w:firstLineChars="200"/>
      </w:pPr>
      <w:r>
        <w:rPr>
          <w:b/>
          <w:bCs/>
        </w:rPr>
        <w:t>适用专业</w:t>
      </w:r>
      <w:r>
        <w:rPr>
          <w:b/>
        </w:rPr>
        <w:t>：</w:t>
      </w:r>
      <w:r>
        <w:t xml:space="preserve"> 化学工程与工艺</w:t>
      </w:r>
      <w:r>
        <w:rPr>
          <w:rFonts w:hint="eastAsia"/>
        </w:rPr>
        <w:t>、应用化学</w:t>
      </w:r>
    </w:p>
    <w:p>
      <w:pPr>
        <w:spacing w:line="360" w:lineRule="auto"/>
        <w:ind w:firstLine="422" w:firstLineChars="200"/>
      </w:pPr>
      <w:r>
        <w:rPr>
          <w:rFonts w:hint="eastAsia"/>
          <w:b/>
          <w:bCs/>
        </w:rPr>
        <w:t>建议</w:t>
      </w:r>
      <w:r>
        <w:rPr>
          <w:b/>
          <w:bCs/>
        </w:rPr>
        <w:t>教材</w:t>
      </w:r>
      <w:r>
        <w:rPr>
          <w:b/>
        </w:rPr>
        <w:t>：</w:t>
      </w:r>
      <w:r>
        <w:t>《</w:t>
      </w:r>
      <w:r>
        <w:rPr>
          <w:rFonts w:hint="eastAsia"/>
        </w:rPr>
        <w:t>药剂学</w:t>
      </w:r>
      <w:r>
        <w:t>》，</w:t>
      </w:r>
      <w:r>
        <w:rPr>
          <w:rFonts w:hint="eastAsia"/>
        </w:rPr>
        <w:t>崔福德，人民卫生</w:t>
      </w:r>
      <w:r>
        <w:t>出版社，</w:t>
      </w:r>
      <w:r>
        <w:rPr>
          <w:rFonts w:hint="eastAsia"/>
        </w:rPr>
        <w:t>20</w:t>
      </w:r>
      <w:r>
        <w:t>03</w:t>
      </w:r>
      <w:r>
        <w:rPr>
          <w:rFonts w:hint="eastAsia"/>
        </w:rPr>
        <w:t>年</w:t>
      </w:r>
    </w:p>
    <w:p>
      <w:pPr>
        <w:spacing w:line="360" w:lineRule="auto"/>
        <w:ind w:firstLine="422" w:firstLineChars="200"/>
      </w:pPr>
      <w:r>
        <w:rPr>
          <w:b/>
          <w:bCs/>
        </w:rPr>
        <w:t>课程归口：</w:t>
      </w:r>
      <w:r>
        <w:rPr>
          <w:rFonts w:hint="eastAsia"/>
          <w:bCs/>
        </w:rPr>
        <w:t>化工与材料</w:t>
      </w:r>
      <w:r>
        <w:t>学院</w:t>
      </w:r>
    </w:p>
    <w:p>
      <w:pPr>
        <w:spacing w:line="360" w:lineRule="auto"/>
        <w:ind w:firstLine="422" w:firstLineChars="200"/>
        <w:rPr>
          <w:rFonts w:hint="eastAsia"/>
          <w:b/>
          <w:bCs/>
        </w:rPr>
      </w:pPr>
      <w:bookmarkStart w:id="239" w:name="_Hlk49269003"/>
      <w:r>
        <w:rPr>
          <w:rFonts w:hint="eastAsia"/>
          <w:b/>
          <w:bCs/>
        </w:rPr>
        <w:t>课程团队：</w:t>
      </w:r>
      <w:r>
        <w:rPr>
          <w:rFonts w:hint="eastAsia"/>
        </w:rPr>
        <w:t>壮亚峰、刘福燕、张微、吴泽颖、王文娟、丁琳琳、邓瑶瑶、</w:t>
      </w:r>
      <w:r>
        <w:t>陈建欣</w:t>
      </w:r>
      <w:r>
        <w:rPr>
          <w:rFonts w:hint="eastAsia"/>
        </w:rPr>
        <w:t>、</w:t>
      </w:r>
      <w:r>
        <w:t>向梅、张震威</w:t>
      </w:r>
      <w:r>
        <w:rPr>
          <w:rFonts w:hint="eastAsia"/>
        </w:rPr>
        <w:t>等</w:t>
      </w:r>
    </w:p>
    <w:bookmarkEnd w:id="239"/>
    <w:p>
      <w:pPr>
        <w:pStyle w:val="5"/>
        <w:spacing w:line="360" w:lineRule="auto"/>
        <w:ind w:firstLine="482"/>
        <w:rPr>
          <w:rFonts w:ascii="Times New Roman" w:hAnsi="Times New Roman"/>
          <w:bCs/>
          <w:color w:val="000000"/>
        </w:rPr>
      </w:pPr>
      <w:r>
        <w:rPr>
          <w:rFonts w:hint="eastAsia"/>
          <w:b/>
          <w:bCs/>
        </w:rPr>
        <w:t>课程的性质与任务：</w:t>
      </w:r>
      <w:r>
        <w:rPr>
          <w:rFonts w:ascii="Times New Roman" w:hAnsi="Times New Roman"/>
          <w:bCs/>
        </w:rPr>
        <w:t>本课程</w:t>
      </w:r>
      <w:r>
        <w:rPr>
          <w:rFonts w:ascii="Times New Roman" w:hAnsi="Times New Roman"/>
        </w:rPr>
        <w:t>是</w:t>
      </w:r>
      <w:r>
        <w:rPr>
          <w:rFonts w:hint="eastAsia" w:ascii="Times New Roman" w:hAnsi="Times New Roman"/>
        </w:rPr>
        <w:t>化学工程与工艺、应用化学</w:t>
      </w:r>
      <w:r>
        <w:rPr>
          <w:rFonts w:ascii="Times New Roman" w:hAnsi="Times New Roman"/>
        </w:rPr>
        <w:t>专业的一门专业</w:t>
      </w:r>
      <w:r>
        <w:rPr>
          <w:rFonts w:hint="eastAsia" w:ascii="Times New Roman" w:hAnsi="Times New Roman"/>
        </w:rPr>
        <w:t>课程选修课</w:t>
      </w:r>
      <w:r>
        <w:rPr>
          <w:rFonts w:ascii="Times New Roman" w:hAnsi="Times New Roman"/>
        </w:rPr>
        <w:t>，</w:t>
      </w:r>
      <w:r>
        <w:rPr>
          <w:rFonts w:hint="eastAsia" w:ascii="Times New Roman" w:hAnsi="Times New Roman"/>
        </w:rPr>
        <w:t>是研究药物的制剂的处方设计和制备理论、技术、质量控制与合理应用等内容的学科，是具体研究和论述药物及剂型设计的基本原理，各种剂型的制备过程和生产工艺，质量控制及质量管理等内容的一门综合性应用技术科学</w:t>
      </w:r>
      <w:r>
        <w:rPr>
          <w:rFonts w:hint="eastAsia" w:ascii="Times New Roman" w:hAnsi="Times New Roman"/>
          <w:bCs/>
          <w:color w:val="000000"/>
        </w:rPr>
        <w:t>。</w:t>
      </w:r>
    </w:p>
    <w:p>
      <w:pPr>
        <w:pStyle w:val="5"/>
        <w:spacing w:line="360" w:lineRule="auto"/>
        <w:ind w:firstLine="480"/>
        <w:rPr>
          <w:rFonts w:hint="eastAsia" w:ascii="Times New Roman" w:hAnsi="Times New Roman"/>
          <w:bCs/>
          <w:color w:val="000000"/>
        </w:rPr>
      </w:pPr>
      <w:r>
        <w:rPr>
          <w:rFonts w:hint="eastAsia" w:ascii="Times New Roman" w:hAnsi="Times New Roman"/>
          <w:bCs/>
          <w:color w:val="000000"/>
        </w:rPr>
        <w:t>通过本课程的学习，能研究和设计如何将药物制成适宜的剂型，确保药物制剂的安全、有效、稳定、方便，以顺应性良好的优质制剂满足医疗与预防的需要；树立牢固的专业思想，具有良好的思想品质、职业道德和为人类健康服务的奉献精神。</w:t>
      </w:r>
    </w:p>
    <w:p>
      <w:pPr>
        <w:spacing w:line="360" w:lineRule="auto"/>
        <w:rPr>
          <w:b/>
          <w:bCs/>
          <w:sz w:val="28"/>
          <w:szCs w:val="28"/>
        </w:rPr>
      </w:pPr>
      <w:r>
        <w:rPr>
          <w:rFonts w:hint="eastAsia"/>
          <w:b/>
          <w:bCs/>
          <w:sz w:val="28"/>
          <w:szCs w:val="28"/>
        </w:rPr>
        <w:t>二、课程目标对毕业要求观测点的支撑</w:t>
      </w:r>
    </w:p>
    <w:tbl>
      <w:tblPr>
        <w:tblStyle w:val="10"/>
        <w:tblW w:w="90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4296"/>
        <w:gridCol w:w="3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38" w:type="dxa"/>
            <w:noWrap/>
            <w:vAlign w:val="center"/>
          </w:tcPr>
          <w:p>
            <w:pPr>
              <w:jc w:val="center"/>
              <w:rPr>
                <w:b/>
                <w:bCs/>
              </w:rPr>
            </w:pPr>
            <w:r>
              <w:rPr>
                <w:b/>
                <w:bCs/>
              </w:rPr>
              <w:t>序号</w:t>
            </w:r>
          </w:p>
        </w:tc>
        <w:tc>
          <w:tcPr>
            <w:tcW w:w="4296" w:type="dxa"/>
            <w:noWrap/>
            <w:vAlign w:val="center"/>
          </w:tcPr>
          <w:p>
            <w:pPr>
              <w:jc w:val="center"/>
              <w:rPr>
                <w:rFonts w:hint="eastAsia"/>
                <w:b/>
                <w:bCs/>
              </w:rPr>
            </w:pPr>
            <w:r>
              <w:rPr>
                <w:b/>
                <w:bCs/>
              </w:rPr>
              <w:t>课程目标</w:t>
            </w:r>
          </w:p>
        </w:tc>
        <w:tc>
          <w:tcPr>
            <w:tcW w:w="3970" w:type="dxa"/>
            <w:noWrap/>
            <w:vAlign w:val="center"/>
          </w:tcPr>
          <w:p>
            <w:pPr>
              <w:jc w:val="center"/>
              <w:rPr>
                <w:rFonts w:hint="eastAsia"/>
                <w:b/>
                <w:bCs/>
              </w:rPr>
            </w:pPr>
            <w:r>
              <w:rPr>
                <w:b/>
                <w:bCs/>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38" w:type="dxa"/>
            <w:noWrap/>
            <w:vAlign w:val="center"/>
          </w:tcPr>
          <w:p>
            <w:pPr>
              <w:jc w:val="center"/>
              <w:rPr>
                <w:sz w:val="21"/>
                <w:szCs w:val="21"/>
              </w:rPr>
            </w:pPr>
            <w:r>
              <w:rPr>
                <w:rFonts w:hint="eastAsia"/>
                <w:sz w:val="21"/>
                <w:szCs w:val="21"/>
              </w:rPr>
              <w:t>1</w:t>
            </w:r>
          </w:p>
        </w:tc>
        <w:tc>
          <w:tcPr>
            <w:tcW w:w="4296" w:type="dxa"/>
            <w:noWrap/>
            <w:vAlign w:val="center"/>
          </w:tcPr>
          <w:p>
            <w:pPr>
              <w:rPr>
                <w:b/>
                <w:sz w:val="21"/>
                <w:szCs w:val="21"/>
              </w:rPr>
            </w:pPr>
            <w:r>
              <w:rPr>
                <w:rFonts w:hint="eastAsia"/>
                <w:b/>
                <w:sz w:val="21"/>
                <w:szCs w:val="21"/>
              </w:rPr>
              <w:t>目标1.</w:t>
            </w:r>
            <w:r>
              <w:rPr>
                <w:rFonts w:hint="eastAsia"/>
                <w:color w:val="000000"/>
                <w:sz w:val="21"/>
                <w:szCs w:val="21"/>
              </w:rPr>
              <w:t xml:space="preserve"> </w:t>
            </w:r>
            <w:r>
              <w:rPr>
                <w:rFonts w:hint="eastAsia"/>
                <w:sz w:val="21"/>
                <w:szCs w:val="21"/>
              </w:rPr>
              <w:t>能够</w:t>
            </w:r>
            <w:r>
              <w:rPr>
                <w:rFonts w:hint="eastAsia"/>
                <w:bCs/>
                <w:color w:val="000000"/>
                <w:sz w:val="21"/>
                <w:szCs w:val="21"/>
              </w:rPr>
              <w:t>掌握药物制剂的剂型概念，各药物剂型的特征</w:t>
            </w:r>
            <w:r>
              <w:rPr>
                <w:rFonts w:hint="eastAsia"/>
                <w:color w:val="000000"/>
                <w:sz w:val="21"/>
                <w:szCs w:val="21"/>
              </w:rPr>
              <w:t>；</w:t>
            </w:r>
            <w:r>
              <w:rPr>
                <w:rFonts w:hint="eastAsia"/>
                <w:sz w:val="21"/>
                <w:szCs w:val="21"/>
              </w:rPr>
              <w:t>掌握各种剂型所需要的辅料，各种剂型的基本制备方法、制备工艺及质量控制方法。</w:t>
            </w:r>
          </w:p>
        </w:tc>
        <w:tc>
          <w:tcPr>
            <w:tcW w:w="3970" w:type="dxa"/>
            <w:noWrap/>
            <w:vAlign w:val="center"/>
          </w:tcPr>
          <w:p>
            <w:pPr>
              <w:rPr>
                <w:b/>
                <w:sz w:val="21"/>
                <w:szCs w:val="21"/>
              </w:rPr>
            </w:pPr>
            <w:r>
              <w:rPr>
                <w:rFonts w:ascii="Times New Roman" w:hAnsi="Times New Roman"/>
                <w:b/>
                <w:bCs/>
                <w:color w:val="000000"/>
                <w:sz w:val="21"/>
                <w:szCs w:val="22"/>
              </w:rPr>
              <w:t>毕业要求4：</w:t>
            </w:r>
            <w:r>
              <w:rPr>
                <w:rFonts w:ascii="Times New Roman" w:hAnsi="Times New Roman"/>
                <w:color w:val="000000"/>
                <w:sz w:val="21"/>
                <w:szCs w:val="22"/>
              </w:rPr>
              <w:t>研究：能够基于科学原理并采用科学方法对</w:t>
            </w:r>
            <w:r>
              <w:rPr>
                <w:rFonts w:ascii="Times New Roman" w:hAnsi="Times New Roman"/>
                <w:sz w:val="21"/>
                <w:szCs w:val="21"/>
              </w:rPr>
              <w:t>应用化学领域</w:t>
            </w:r>
            <w:r>
              <w:rPr>
                <w:rFonts w:ascii="Times New Roman" w:hAnsi="Times New Roman"/>
                <w:color w:val="000000"/>
                <w:sz w:val="21"/>
                <w:szCs w:val="21"/>
              </w:rPr>
              <w:t>复杂工</w:t>
            </w:r>
            <w:r>
              <w:rPr>
                <w:rFonts w:ascii="Times New Roman" w:hAnsi="Times New Roman"/>
                <w:color w:val="000000"/>
                <w:sz w:val="21"/>
                <w:szCs w:val="22"/>
              </w:rPr>
              <w:t>程问题进行研究，包括设计实验、分析与解释数据，并通过信息综合得到合理有效的结论。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38" w:type="dxa"/>
            <w:noWrap/>
            <w:vAlign w:val="center"/>
          </w:tcPr>
          <w:p>
            <w:pPr>
              <w:jc w:val="center"/>
              <w:rPr>
                <w:rFonts w:hint="eastAsia"/>
                <w:sz w:val="21"/>
                <w:szCs w:val="21"/>
              </w:rPr>
            </w:pPr>
            <w:r>
              <w:rPr>
                <w:rFonts w:hint="eastAsia"/>
                <w:sz w:val="21"/>
                <w:szCs w:val="21"/>
              </w:rPr>
              <w:t>2</w:t>
            </w:r>
          </w:p>
        </w:tc>
        <w:tc>
          <w:tcPr>
            <w:tcW w:w="4296" w:type="dxa"/>
            <w:noWrap/>
            <w:vAlign w:val="center"/>
          </w:tcPr>
          <w:p>
            <w:pPr>
              <w:rPr>
                <w:rFonts w:hint="eastAsia"/>
                <w:sz w:val="21"/>
                <w:szCs w:val="21"/>
              </w:rPr>
            </w:pPr>
            <w:r>
              <w:rPr>
                <w:rFonts w:hint="eastAsia"/>
                <w:b/>
                <w:sz w:val="21"/>
                <w:szCs w:val="21"/>
              </w:rPr>
              <w:t>目标2.</w:t>
            </w:r>
            <w:r>
              <w:rPr>
                <w:rFonts w:hint="eastAsia"/>
                <w:color w:val="000000"/>
                <w:sz w:val="21"/>
                <w:szCs w:val="21"/>
              </w:rPr>
              <w:t xml:space="preserve"> 以社会主义核心价值观为中心，坚持学校育人与企业育人为主体，深入理解专业特色，培养以严谨求实、精益求精为基石的科学精神。</w:t>
            </w:r>
          </w:p>
        </w:tc>
        <w:tc>
          <w:tcPr>
            <w:tcW w:w="3970" w:type="dxa"/>
            <w:noWrap/>
            <w:vAlign w:val="center"/>
          </w:tcPr>
          <w:p>
            <w:pPr>
              <w:rPr>
                <w:b/>
                <w:sz w:val="21"/>
                <w:szCs w:val="21"/>
              </w:rPr>
            </w:pPr>
            <w:r>
              <w:rPr>
                <w:rFonts w:ascii="Times New Roman" w:hAnsi="Times New Roman"/>
                <w:b/>
                <w:bCs/>
                <w:color w:val="000000"/>
                <w:sz w:val="21"/>
                <w:szCs w:val="21"/>
              </w:rPr>
              <w:t>毕业要求12：</w:t>
            </w:r>
            <w:r>
              <w:rPr>
                <w:rFonts w:ascii="Times New Roman" w:hAnsi="Times New Roman"/>
                <w:color w:val="000000"/>
                <w:sz w:val="21"/>
                <w:szCs w:val="21"/>
              </w:rPr>
              <w:t>终身学习：具有自主学习和终身学习的意识，能够追踪</w:t>
            </w:r>
            <w:r>
              <w:rPr>
                <w:rFonts w:ascii="Times New Roman" w:hAnsi="Times New Roman"/>
                <w:sz w:val="21"/>
                <w:szCs w:val="21"/>
              </w:rPr>
              <w:t>应用化学相关领域的发展动态，</w:t>
            </w:r>
            <w:r>
              <w:rPr>
                <w:rFonts w:ascii="Times New Roman" w:hAnsi="Times New Roman"/>
                <w:color w:val="000000"/>
                <w:sz w:val="21"/>
                <w:szCs w:val="21"/>
              </w:rPr>
              <w:t>有不断学习和适应发展的能力。</w:t>
            </w:r>
          </w:p>
        </w:tc>
      </w:tr>
    </w:tbl>
    <w:p>
      <w:pPr>
        <w:spacing w:line="360" w:lineRule="auto"/>
        <w:rPr>
          <w:b/>
          <w:bCs/>
          <w:sz w:val="28"/>
          <w:szCs w:val="28"/>
        </w:rPr>
      </w:pPr>
      <w:r>
        <w:rPr>
          <w:rFonts w:hint="eastAsia"/>
          <w:b/>
          <w:bCs/>
          <w:sz w:val="28"/>
          <w:szCs w:val="28"/>
        </w:rPr>
        <w:t>三、课程内容及要求</w:t>
      </w:r>
    </w:p>
    <w:tbl>
      <w:tblPr>
        <w:tblStyle w:val="10"/>
        <w:tblW w:w="9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2632"/>
        <w:gridCol w:w="1134"/>
        <w:gridCol w:w="2028"/>
        <w:gridCol w:w="699"/>
        <w:gridCol w:w="975"/>
        <w:gridCol w:w="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b/>
                <w:bCs/>
              </w:rPr>
            </w:pPr>
            <w:r>
              <w:rPr>
                <w:b/>
                <w:bCs/>
              </w:rPr>
              <w:t>序号</w:t>
            </w:r>
          </w:p>
        </w:tc>
        <w:tc>
          <w:tcPr>
            <w:tcW w:w="2632" w:type="dxa"/>
            <w:noWrap w:val="0"/>
            <w:vAlign w:val="center"/>
          </w:tcPr>
          <w:p>
            <w:pPr>
              <w:jc w:val="center"/>
              <w:rPr>
                <w:b/>
                <w:bCs/>
              </w:rPr>
            </w:pPr>
            <w:r>
              <w:rPr>
                <w:b/>
                <w:bCs/>
              </w:rPr>
              <w:t>教学内容</w:t>
            </w:r>
          </w:p>
        </w:tc>
        <w:tc>
          <w:tcPr>
            <w:tcW w:w="1134" w:type="dxa"/>
            <w:noWrap w:val="0"/>
            <w:vAlign w:val="center"/>
          </w:tcPr>
          <w:p>
            <w:pPr>
              <w:jc w:val="center"/>
              <w:rPr>
                <w:b/>
                <w:bCs/>
              </w:rPr>
            </w:pPr>
            <w:r>
              <w:rPr>
                <w:b/>
                <w:bCs/>
              </w:rPr>
              <w:t>思政元素</w:t>
            </w:r>
          </w:p>
        </w:tc>
        <w:tc>
          <w:tcPr>
            <w:tcW w:w="2028" w:type="dxa"/>
            <w:noWrap w:val="0"/>
            <w:vAlign w:val="center"/>
          </w:tcPr>
          <w:p>
            <w:pPr>
              <w:jc w:val="center"/>
              <w:rPr>
                <w:rFonts w:hint="eastAsia"/>
                <w:b/>
                <w:bCs/>
              </w:rPr>
            </w:pPr>
            <w:r>
              <w:rPr>
                <w:b/>
                <w:bCs/>
              </w:rPr>
              <w:t>预期学习成果</w:t>
            </w:r>
          </w:p>
        </w:tc>
        <w:tc>
          <w:tcPr>
            <w:tcW w:w="699" w:type="dxa"/>
            <w:noWrap w:val="0"/>
            <w:vAlign w:val="center"/>
          </w:tcPr>
          <w:p>
            <w:pPr>
              <w:jc w:val="center"/>
              <w:rPr>
                <w:b/>
                <w:bCs/>
              </w:rPr>
            </w:pPr>
            <w:r>
              <w:rPr>
                <w:b/>
                <w:bCs/>
              </w:rPr>
              <w:t>教学学时</w:t>
            </w:r>
          </w:p>
        </w:tc>
        <w:tc>
          <w:tcPr>
            <w:tcW w:w="975" w:type="dxa"/>
            <w:noWrap w:val="0"/>
            <w:vAlign w:val="center"/>
          </w:tcPr>
          <w:p>
            <w:pPr>
              <w:jc w:val="center"/>
              <w:rPr>
                <w:b/>
                <w:bCs/>
              </w:rPr>
            </w:pPr>
            <w:r>
              <w:rPr>
                <w:b/>
                <w:bCs/>
              </w:rPr>
              <w:t>教学方式</w:t>
            </w:r>
          </w:p>
        </w:tc>
        <w:tc>
          <w:tcPr>
            <w:tcW w:w="925" w:type="dxa"/>
            <w:noWrap w:val="0"/>
            <w:vAlign w:val="center"/>
          </w:tcPr>
          <w:p>
            <w:pPr>
              <w:jc w:val="center"/>
              <w:rPr>
                <w:b/>
                <w:bCs/>
              </w:rPr>
            </w:pPr>
            <w:r>
              <w:rPr>
                <w:b/>
                <w:bCs/>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sz w:val="21"/>
                <w:szCs w:val="21"/>
              </w:rPr>
            </w:pPr>
            <w:r>
              <w:rPr>
                <w:sz w:val="21"/>
                <w:szCs w:val="21"/>
              </w:rPr>
              <w:t>1</w:t>
            </w:r>
          </w:p>
        </w:tc>
        <w:tc>
          <w:tcPr>
            <w:tcW w:w="2632" w:type="dxa"/>
            <w:noWrap w:val="0"/>
            <w:vAlign w:val="center"/>
          </w:tcPr>
          <w:p>
            <w:pPr>
              <w:rPr>
                <w:b/>
                <w:sz w:val="21"/>
                <w:szCs w:val="21"/>
              </w:rPr>
            </w:pPr>
            <w:r>
              <w:rPr>
                <w:rFonts w:hint="eastAsia"/>
                <w:b/>
                <w:sz w:val="21"/>
                <w:szCs w:val="21"/>
              </w:rPr>
              <w:t>概论：</w:t>
            </w:r>
          </w:p>
          <w:p>
            <w:pPr>
              <w:rPr>
                <w:rFonts w:hint="eastAsia"/>
                <w:sz w:val="21"/>
                <w:szCs w:val="21"/>
              </w:rPr>
            </w:pPr>
            <w:r>
              <w:rPr>
                <w:sz w:val="21"/>
                <w:szCs w:val="21"/>
              </w:rPr>
              <w:t>（1）</w:t>
            </w:r>
            <w:r>
              <w:rPr>
                <w:rFonts w:hint="eastAsia"/>
                <w:sz w:val="21"/>
                <w:szCs w:val="21"/>
              </w:rPr>
              <w:t>药剂学的概念和任务、药剂学的分支学科</w:t>
            </w:r>
          </w:p>
          <w:p>
            <w:pPr>
              <w:rPr>
                <w:sz w:val="21"/>
                <w:szCs w:val="21"/>
              </w:rPr>
            </w:pPr>
            <w:r>
              <w:rPr>
                <w:sz w:val="21"/>
                <w:szCs w:val="21"/>
              </w:rPr>
              <w:t>（2）</w:t>
            </w:r>
            <w:r>
              <w:rPr>
                <w:rFonts w:hint="eastAsia"/>
                <w:sz w:val="21"/>
                <w:szCs w:val="21"/>
              </w:rPr>
              <w:t>药物制剂与DDS、药典与药品标准、GMP、GCP、GLP</w:t>
            </w:r>
          </w:p>
          <w:p>
            <w:pPr>
              <w:rPr>
                <w:rFonts w:hint="eastAsia"/>
                <w:b/>
                <w:bCs/>
                <w:color w:val="000000"/>
                <w:sz w:val="21"/>
                <w:szCs w:val="21"/>
              </w:rPr>
            </w:pPr>
            <w:r>
              <w:rPr>
                <w:b/>
                <w:bCs/>
                <w:color w:val="000000"/>
                <w:sz w:val="21"/>
                <w:szCs w:val="21"/>
              </w:rPr>
              <w:t>重</w:t>
            </w:r>
            <w:r>
              <w:rPr>
                <w:rFonts w:hint="eastAsia"/>
                <w:b/>
                <w:bCs/>
                <w:color w:val="000000"/>
                <w:sz w:val="21"/>
                <w:szCs w:val="21"/>
              </w:rPr>
              <w:t>点</w:t>
            </w:r>
            <w:r>
              <w:rPr>
                <w:b/>
                <w:bCs/>
                <w:color w:val="000000"/>
                <w:sz w:val="21"/>
                <w:szCs w:val="21"/>
              </w:rPr>
              <w:t>难点</w:t>
            </w:r>
            <w:r>
              <w:rPr>
                <w:rFonts w:hint="eastAsia"/>
                <w:b/>
                <w:bCs/>
                <w:color w:val="000000"/>
                <w:sz w:val="21"/>
                <w:szCs w:val="21"/>
              </w:rPr>
              <w:t>：</w:t>
            </w:r>
          </w:p>
          <w:p>
            <w:pPr>
              <w:rPr>
                <w:rFonts w:hint="eastAsia"/>
                <w:sz w:val="21"/>
                <w:szCs w:val="21"/>
              </w:rPr>
            </w:pPr>
            <w:r>
              <w:rPr>
                <w:rFonts w:hint="eastAsia"/>
                <w:sz w:val="21"/>
                <w:szCs w:val="21"/>
              </w:rPr>
              <w:t>药剂学、药剂、剂型的概念，药物制剂的分类</w:t>
            </w:r>
          </w:p>
        </w:tc>
        <w:tc>
          <w:tcPr>
            <w:tcW w:w="1134" w:type="dxa"/>
            <w:noWrap w:val="0"/>
            <w:vAlign w:val="center"/>
          </w:tcPr>
          <w:p>
            <w:pPr>
              <w:autoSpaceDE w:val="0"/>
              <w:autoSpaceDN w:val="0"/>
              <w:adjustRightInd w:val="0"/>
              <w:rPr>
                <w:sz w:val="21"/>
                <w:szCs w:val="21"/>
              </w:rPr>
            </w:pPr>
            <w:r>
              <w:rPr>
                <w:rFonts w:hint="eastAsia"/>
                <w:color w:val="000000"/>
                <w:sz w:val="21"/>
                <w:szCs w:val="21"/>
              </w:rPr>
              <w:t>以社会主义核心价值观为中心，深入理解专业特色，培养以严谨求实、精益求精为基石的科学精神。</w:t>
            </w:r>
          </w:p>
        </w:tc>
        <w:tc>
          <w:tcPr>
            <w:tcW w:w="2028" w:type="dxa"/>
            <w:noWrap w:val="0"/>
            <w:vAlign w:val="center"/>
          </w:tcPr>
          <w:p>
            <w:pPr>
              <w:rPr>
                <w:rFonts w:hint="eastAsia"/>
                <w:sz w:val="21"/>
                <w:szCs w:val="21"/>
              </w:rPr>
            </w:pPr>
            <w:r>
              <w:rPr>
                <w:sz w:val="21"/>
                <w:szCs w:val="21"/>
              </w:rPr>
              <w:t>（1）</w:t>
            </w:r>
            <w:r>
              <w:rPr>
                <w:rFonts w:hint="eastAsia"/>
                <w:sz w:val="21"/>
                <w:szCs w:val="21"/>
              </w:rPr>
              <w:t>掌握制剂学的基本概念，剂型的重要性</w:t>
            </w:r>
          </w:p>
          <w:p>
            <w:pPr>
              <w:rPr>
                <w:rFonts w:hint="eastAsia"/>
                <w:sz w:val="21"/>
                <w:szCs w:val="21"/>
              </w:rPr>
            </w:pPr>
            <w:r>
              <w:rPr>
                <w:sz w:val="21"/>
                <w:szCs w:val="21"/>
              </w:rPr>
              <w:t>（2）</w:t>
            </w:r>
            <w:r>
              <w:rPr>
                <w:rFonts w:hint="eastAsia"/>
                <w:sz w:val="21"/>
                <w:szCs w:val="21"/>
              </w:rPr>
              <w:t>熟悉药物制剂分类方法和常用剂型</w:t>
            </w:r>
          </w:p>
          <w:p>
            <w:pPr>
              <w:rPr>
                <w:sz w:val="21"/>
                <w:szCs w:val="21"/>
              </w:rPr>
            </w:pPr>
            <w:r>
              <w:rPr>
                <w:sz w:val="21"/>
                <w:szCs w:val="21"/>
              </w:rPr>
              <w:t>（</w:t>
            </w:r>
            <w:r>
              <w:rPr>
                <w:rFonts w:hint="eastAsia"/>
                <w:sz w:val="21"/>
                <w:szCs w:val="21"/>
              </w:rPr>
              <w:t>3</w:t>
            </w:r>
            <w:r>
              <w:rPr>
                <w:sz w:val="21"/>
                <w:szCs w:val="21"/>
              </w:rPr>
              <w:t>）</w:t>
            </w:r>
            <w:r>
              <w:rPr>
                <w:rFonts w:hint="eastAsia"/>
                <w:sz w:val="21"/>
                <w:szCs w:val="21"/>
              </w:rPr>
              <w:t>熟悉药典在制剂学中的应用</w:t>
            </w:r>
          </w:p>
          <w:p>
            <w:pPr>
              <w:rPr>
                <w:sz w:val="21"/>
                <w:szCs w:val="21"/>
              </w:rPr>
            </w:pPr>
            <w:r>
              <w:rPr>
                <w:rFonts w:hint="eastAsia"/>
                <w:sz w:val="21"/>
                <w:szCs w:val="21"/>
              </w:rPr>
              <w:t>（</w:t>
            </w:r>
            <w:r>
              <w:rPr>
                <w:sz w:val="21"/>
                <w:szCs w:val="21"/>
              </w:rPr>
              <w:t>4</w:t>
            </w:r>
            <w:r>
              <w:rPr>
                <w:rFonts w:hint="eastAsia"/>
                <w:sz w:val="21"/>
                <w:szCs w:val="21"/>
              </w:rPr>
              <w:t>）熟悉GMP、GLP等的含义及应用</w:t>
            </w:r>
          </w:p>
          <w:p>
            <w:pPr>
              <w:rPr>
                <w:rFonts w:hint="eastAsia"/>
                <w:sz w:val="21"/>
                <w:szCs w:val="21"/>
              </w:rPr>
            </w:pPr>
            <w:r>
              <w:rPr>
                <w:rFonts w:hint="eastAsia"/>
                <w:sz w:val="21"/>
                <w:szCs w:val="21"/>
              </w:rPr>
              <w:t>（</w:t>
            </w:r>
            <w:r>
              <w:rPr>
                <w:sz w:val="21"/>
                <w:szCs w:val="21"/>
              </w:rPr>
              <w:t>5</w:t>
            </w:r>
            <w:r>
              <w:rPr>
                <w:rFonts w:hint="eastAsia"/>
                <w:sz w:val="21"/>
                <w:szCs w:val="21"/>
              </w:rPr>
              <w:t>）了解药剂学的发展与展望</w:t>
            </w:r>
          </w:p>
        </w:tc>
        <w:tc>
          <w:tcPr>
            <w:tcW w:w="699" w:type="dxa"/>
            <w:noWrap w:val="0"/>
            <w:vAlign w:val="center"/>
          </w:tcPr>
          <w:p>
            <w:pPr>
              <w:jc w:val="center"/>
              <w:rPr>
                <w:sz w:val="21"/>
                <w:szCs w:val="21"/>
              </w:rPr>
            </w:pPr>
            <w:r>
              <w:rPr>
                <w:sz w:val="21"/>
                <w:szCs w:val="21"/>
              </w:rPr>
              <w:t>2</w:t>
            </w:r>
            <w:r>
              <w:rPr>
                <w:rFonts w:hint="eastAsia"/>
                <w:sz w:val="21"/>
                <w:szCs w:val="21"/>
              </w:rPr>
              <w:t>（讲授）</w:t>
            </w:r>
          </w:p>
        </w:tc>
        <w:tc>
          <w:tcPr>
            <w:tcW w:w="975" w:type="dxa"/>
            <w:noWrap w:val="0"/>
            <w:vAlign w:val="center"/>
          </w:tcPr>
          <w:p>
            <w:pPr>
              <w:rPr>
                <w:sz w:val="21"/>
                <w:szCs w:val="21"/>
              </w:rPr>
            </w:pPr>
            <w:r>
              <w:rPr>
                <w:sz w:val="21"/>
                <w:szCs w:val="21"/>
              </w:rPr>
              <w:t>讲授/讨论/实例教学等</w:t>
            </w:r>
          </w:p>
        </w:tc>
        <w:tc>
          <w:tcPr>
            <w:tcW w:w="925" w:type="dxa"/>
            <w:noWrap w:val="0"/>
            <w:vAlign w:val="center"/>
          </w:tcPr>
          <w:p>
            <w:pPr>
              <w:jc w:val="center"/>
              <w:rPr>
                <w:b/>
                <w:sz w:val="21"/>
                <w:szCs w:val="21"/>
              </w:rPr>
            </w:pPr>
            <w:r>
              <w:rPr>
                <w:b/>
                <w:sz w:val="21"/>
                <w:szCs w:val="21"/>
              </w:rPr>
              <w:t>目标</w:t>
            </w:r>
            <w:r>
              <w:rPr>
                <w:rFonts w:hint="eastAsia"/>
                <w:b/>
                <w:sz w:val="21"/>
                <w:szCs w:val="21"/>
              </w:rPr>
              <w:t>1</w:t>
            </w:r>
          </w:p>
          <w:p>
            <w:pPr>
              <w:jc w:val="center"/>
              <w:rPr>
                <w:sz w:val="21"/>
                <w:szCs w:val="21"/>
              </w:rPr>
            </w:pPr>
            <w:r>
              <w:rPr>
                <w:rFonts w:hint="eastAsia"/>
                <w:b/>
                <w:sz w:val="21"/>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sz w:val="21"/>
                <w:szCs w:val="21"/>
              </w:rPr>
            </w:pPr>
            <w:r>
              <w:rPr>
                <w:rFonts w:hint="eastAsia"/>
                <w:sz w:val="21"/>
                <w:szCs w:val="21"/>
              </w:rPr>
              <w:t>2</w:t>
            </w:r>
          </w:p>
        </w:tc>
        <w:tc>
          <w:tcPr>
            <w:tcW w:w="2632" w:type="dxa"/>
            <w:noWrap w:val="0"/>
            <w:vAlign w:val="center"/>
          </w:tcPr>
          <w:p>
            <w:pPr>
              <w:rPr>
                <w:b/>
                <w:sz w:val="21"/>
                <w:szCs w:val="21"/>
              </w:rPr>
            </w:pPr>
            <w:r>
              <w:rPr>
                <w:rFonts w:hint="eastAsia"/>
                <w:b/>
                <w:sz w:val="21"/>
                <w:szCs w:val="21"/>
              </w:rPr>
              <w:t>液体制剂：</w:t>
            </w:r>
          </w:p>
          <w:p>
            <w:pPr>
              <w:rPr>
                <w:rFonts w:hint="eastAsia"/>
                <w:sz w:val="21"/>
                <w:szCs w:val="21"/>
              </w:rPr>
            </w:pPr>
            <w:r>
              <w:rPr>
                <w:sz w:val="21"/>
                <w:szCs w:val="21"/>
              </w:rPr>
              <w:t>（1）</w:t>
            </w:r>
            <w:r>
              <w:rPr>
                <w:rFonts w:hint="eastAsia"/>
                <w:sz w:val="21"/>
                <w:szCs w:val="21"/>
              </w:rPr>
              <w:t>液体制剂的概念、特点和分类</w:t>
            </w:r>
          </w:p>
          <w:p>
            <w:pPr>
              <w:rPr>
                <w:rFonts w:hint="eastAsia"/>
                <w:sz w:val="21"/>
                <w:szCs w:val="21"/>
              </w:rPr>
            </w:pPr>
            <w:r>
              <w:rPr>
                <w:sz w:val="21"/>
                <w:szCs w:val="21"/>
              </w:rPr>
              <w:t>（2）</w:t>
            </w:r>
            <w:r>
              <w:rPr>
                <w:rFonts w:hint="eastAsia"/>
                <w:sz w:val="21"/>
                <w:szCs w:val="21"/>
              </w:rPr>
              <w:t>液体制剂的溶剂和附加剂、溶液剂的组成、制备</w:t>
            </w:r>
          </w:p>
          <w:p>
            <w:pPr>
              <w:rPr>
                <w:sz w:val="21"/>
                <w:szCs w:val="21"/>
              </w:rPr>
            </w:pPr>
            <w:r>
              <w:rPr>
                <w:rFonts w:hint="eastAsia"/>
                <w:sz w:val="21"/>
                <w:szCs w:val="21"/>
              </w:rPr>
              <w:t>（3）混悬剂的概述、性质、组成、制备及质量评价</w:t>
            </w:r>
          </w:p>
          <w:p>
            <w:pPr>
              <w:rPr>
                <w:rFonts w:hint="eastAsia" w:ascii="Arial" w:hAnsi="Arial" w:cs="Arial"/>
                <w:color w:val="333333"/>
                <w:sz w:val="21"/>
                <w:szCs w:val="21"/>
              </w:rPr>
            </w:pPr>
            <w:r>
              <w:rPr>
                <w:rFonts w:hint="eastAsia"/>
                <w:sz w:val="21"/>
                <w:szCs w:val="21"/>
              </w:rPr>
              <w:t>（4）乳剂的概述概述、性质、组成、制备及质量评价</w:t>
            </w:r>
          </w:p>
          <w:p>
            <w:pPr>
              <w:rPr>
                <w:rFonts w:hint="eastAsia"/>
                <w:b/>
                <w:bCs/>
                <w:color w:val="000000"/>
                <w:sz w:val="21"/>
                <w:szCs w:val="21"/>
              </w:rPr>
            </w:pPr>
            <w:r>
              <w:rPr>
                <w:b/>
                <w:bCs/>
                <w:color w:val="000000"/>
                <w:sz w:val="21"/>
                <w:szCs w:val="21"/>
              </w:rPr>
              <w:t>重</w:t>
            </w:r>
            <w:r>
              <w:rPr>
                <w:rFonts w:hint="eastAsia"/>
                <w:b/>
                <w:bCs/>
                <w:color w:val="000000"/>
                <w:sz w:val="21"/>
                <w:szCs w:val="21"/>
              </w:rPr>
              <w:t>点</w:t>
            </w:r>
            <w:r>
              <w:rPr>
                <w:b/>
                <w:bCs/>
                <w:color w:val="000000"/>
                <w:sz w:val="21"/>
                <w:szCs w:val="21"/>
              </w:rPr>
              <w:t>难点</w:t>
            </w:r>
            <w:r>
              <w:rPr>
                <w:rFonts w:hint="eastAsia"/>
                <w:b/>
                <w:bCs/>
                <w:color w:val="000000"/>
                <w:sz w:val="21"/>
                <w:szCs w:val="21"/>
              </w:rPr>
              <w:t>：</w:t>
            </w:r>
          </w:p>
          <w:p>
            <w:pPr>
              <w:rPr>
                <w:color w:val="000000"/>
                <w:sz w:val="21"/>
                <w:szCs w:val="21"/>
              </w:rPr>
            </w:pPr>
            <w:r>
              <w:rPr>
                <w:rFonts w:hint="eastAsia"/>
                <w:color w:val="000000"/>
                <w:sz w:val="21"/>
                <w:szCs w:val="21"/>
              </w:rPr>
              <w:t>（1）液体制剂的附加剂</w:t>
            </w:r>
          </w:p>
          <w:p>
            <w:pPr>
              <w:rPr>
                <w:color w:val="000000"/>
                <w:sz w:val="21"/>
                <w:szCs w:val="21"/>
              </w:rPr>
            </w:pPr>
            <w:r>
              <w:rPr>
                <w:rFonts w:hint="eastAsia"/>
                <w:color w:val="000000"/>
                <w:sz w:val="21"/>
                <w:szCs w:val="21"/>
              </w:rPr>
              <w:t>（2）混悬剂处方、制备方法，影响混悬剂稳定性的因素</w:t>
            </w:r>
          </w:p>
          <w:p>
            <w:pPr>
              <w:rPr>
                <w:rFonts w:hint="eastAsia"/>
                <w:color w:val="000000"/>
                <w:sz w:val="21"/>
                <w:szCs w:val="21"/>
              </w:rPr>
            </w:pPr>
            <w:r>
              <w:rPr>
                <w:rFonts w:hint="eastAsia"/>
                <w:color w:val="000000"/>
                <w:sz w:val="21"/>
                <w:szCs w:val="21"/>
              </w:rPr>
              <w:t>（3）乳剂的分类、组成及制备</w:t>
            </w:r>
          </w:p>
        </w:tc>
        <w:tc>
          <w:tcPr>
            <w:tcW w:w="1134" w:type="dxa"/>
            <w:noWrap w:val="0"/>
            <w:vAlign w:val="center"/>
          </w:tcPr>
          <w:p>
            <w:pPr>
              <w:autoSpaceDE w:val="0"/>
              <w:autoSpaceDN w:val="0"/>
              <w:adjustRightInd w:val="0"/>
              <w:rPr>
                <w:sz w:val="21"/>
                <w:szCs w:val="21"/>
              </w:rPr>
            </w:pPr>
            <w:r>
              <w:rPr>
                <w:rFonts w:hint="eastAsia"/>
                <w:color w:val="000000"/>
                <w:sz w:val="21"/>
                <w:szCs w:val="21"/>
              </w:rPr>
              <w:t>以社会主义核心价值观为中心，深入理解专业特色，培养以严谨求实、精益求精为基石的科学精神。</w:t>
            </w:r>
          </w:p>
        </w:tc>
        <w:tc>
          <w:tcPr>
            <w:tcW w:w="2028" w:type="dxa"/>
            <w:noWrap w:val="0"/>
            <w:vAlign w:val="center"/>
          </w:tcPr>
          <w:p>
            <w:pPr>
              <w:rPr>
                <w:rFonts w:hint="eastAsia"/>
                <w:sz w:val="21"/>
                <w:szCs w:val="21"/>
              </w:rPr>
            </w:pPr>
            <w:r>
              <w:rPr>
                <w:sz w:val="21"/>
                <w:szCs w:val="21"/>
              </w:rPr>
              <w:t>（1）</w:t>
            </w:r>
            <w:r>
              <w:rPr>
                <w:rFonts w:hint="eastAsia"/>
                <w:sz w:val="21"/>
                <w:szCs w:val="21"/>
              </w:rPr>
              <w:t>熟悉液体制剂的分类</w:t>
            </w:r>
          </w:p>
          <w:p>
            <w:pPr>
              <w:rPr>
                <w:rFonts w:hint="eastAsia"/>
                <w:sz w:val="21"/>
                <w:szCs w:val="21"/>
              </w:rPr>
            </w:pPr>
            <w:r>
              <w:rPr>
                <w:sz w:val="21"/>
                <w:szCs w:val="21"/>
              </w:rPr>
              <w:t>（2）</w:t>
            </w:r>
            <w:r>
              <w:rPr>
                <w:rFonts w:hint="eastAsia"/>
                <w:sz w:val="21"/>
                <w:szCs w:val="21"/>
              </w:rPr>
              <w:t>掌握溶液剂的组成、制备及质量评价</w:t>
            </w:r>
          </w:p>
          <w:p>
            <w:pPr>
              <w:rPr>
                <w:sz w:val="21"/>
                <w:szCs w:val="21"/>
              </w:rPr>
            </w:pPr>
            <w:r>
              <w:rPr>
                <w:rFonts w:hint="eastAsia"/>
                <w:sz w:val="21"/>
                <w:szCs w:val="21"/>
              </w:rPr>
              <w:t>（3）掌握混悬剂的组成、制备及质量评价</w:t>
            </w:r>
          </w:p>
          <w:p>
            <w:pPr>
              <w:rPr>
                <w:rFonts w:hint="eastAsia"/>
                <w:sz w:val="21"/>
                <w:szCs w:val="21"/>
              </w:rPr>
            </w:pPr>
            <w:r>
              <w:rPr>
                <w:rFonts w:hint="eastAsia"/>
                <w:sz w:val="21"/>
                <w:szCs w:val="21"/>
              </w:rPr>
              <w:t>（4）掌握乳剂的分类、组成、制备及质量评价</w:t>
            </w:r>
          </w:p>
        </w:tc>
        <w:tc>
          <w:tcPr>
            <w:tcW w:w="699" w:type="dxa"/>
            <w:noWrap w:val="0"/>
            <w:vAlign w:val="center"/>
          </w:tcPr>
          <w:p>
            <w:pPr>
              <w:jc w:val="center"/>
              <w:rPr>
                <w:sz w:val="21"/>
                <w:szCs w:val="21"/>
              </w:rPr>
            </w:pPr>
            <w:r>
              <w:rPr>
                <w:sz w:val="21"/>
                <w:szCs w:val="21"/>
              </w:rPr>
              <w:t>8</w:t>
            </w:r>
            <w:r>
              <w:rPr>
                <w:rFonts w:hint="eastAsia"/>
                <w:sz w:val="21"/>
                <w:szCs w:val="21"/>
              </w:rPr>
              <w:t>（讲授）</w:t>
            </w:r>
          </w:p>
        </w:tc>
        <w:tc>
          <w:tcPr>
            <w:tcW w:w="975" w:type="dxa"/>
            <w:noWrap w:val="0"/>
            <w:vAlign w:val="center"/>
          </w:tcPr>
          <w:p>
            <w:pPr>
              <w:rPr>
                <w:sz w:val="21"/>
                <w:szCs w:val="21"/>
              </w:rPr>
            </w:pPr>
            <w:r>
              <w:rPr>
                <w:sz w:val="21"/>
                <w:szCs w:val="21"/>
              </w:rPr>
              <w:t>讲授/讨论/实例教学等</w:t>
            </w:r>
          </w:p>
        </w:tc>
        <w:tc>
          <w:tcPr>
            <w:tcW w:w="925" w:type="dxa"/>
            <w:noWrap w:val="0"/>
            <w:vAlign w:val="center"/>
          </w:tcPr>
          <w:p>
            <w:pPr>
              <w:jc w:val="center"/>
              <w:rPr>
                <w:b/>
                <w:sz w:val="21"/>
                <w:szCs w:val="21"/>
              </w:rPr>
            </w:pPr>
            <w:r>
              <w:rPr>
                <w:b/>
                <w:sz w:val="21"/>
                <w:szCs w:val="21"/>
              </w:rPr>
              <w:t>目标</w:t>
            </w:r>
            <w:r>
              <w:rPr>
                <w:rFonts w:hint="eastAsia"/>
                <w:b/>
                <w:sz w:val="21"/>
                <w:szCs w:val="21"/>
              </w:rPr>
              <w:t>1</w:t>
            </w:r>
          </w:p>
          <w:p>
            <w:pPr>
              <w:jc w:val="center"/>
              <w:rPr>
                <w:sz w:val="21"/>
                <w:szCs w:val="21"/>
              </w:rPr>
            </w:pPr>
            <w:r>
              <w:rPr>
                <w:rFonts w:hint="eastAsia"/>
                <w:b/>
                <w:sz w:val="21"/>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hint="eastAsia"/>
                <w:sz w:val="21"/>
                <w:szCs w:val="21"/>
              </w:rPr>
            </w:pPr>
            <w:r>
              <w:rPr>
                <w:rFonts w:hint="eastAsia"/>
                <w:sz w:val="21"/>
                <w:szCs w:val="21"/>
              </w:rPr>
              <w:t>3</w:t>
            </w:r>
          </w:p>
        </w:tc>
        <w:tc>
          <w:tcPr>
            <w:tcW w:w="2632" w:type="dxa"/>
            <w:noWrap w:val="0"/>
            <w:vAlign w:val="center"/>
          </w:tcPr>
          <w:p>
            <w:pPr>
              <w:rPr>
                <w:b/>
                <w:sz w:val="21"/>
                <w:szCs w:val="21"/>
              </w:rPr>
            </w:pPr>
            <w:r>
              <w:rPr>
                <w:rFonts w:hint="eastAsia"/>
                <w:b/>
                <w:sz w:val="21"/>
                <w:szCs w:val="21"/>
              </w:rPr>
              <w:t>灭菌制剂和无菌制剂：</w:t>
            </w:r>
          </w:p>
          <w:p>
            <w:pPr>
              <w:rPr>
                <w:rFonts w:hint="eastAsia"/>
                <w:sz w:val="21"/>
                <w:szCs w:val="21"/>
              </w:rPr>
            </w:pPr>
            <w:r>
              <w:rPr>
                <w:sz w:val="21"/>
                <w:szCs w:val="21"/>
              </w:rPr>
              <w:t>（1）</w:t>
            </w:r>
            <w:r>
              <w:rPr>
                <w:rFonts w:hint="eastAsia"/>
                <w:sz w:val="21"/>
                <w:szCs w:val="21"/>
              </w:rPr>
              <w:t>灭菌制剂和无菌制剂的概述</w:t>
            </w:r>
          </w:p>
          <w:p>
            <w:pPr>
              <w:rPr>
                <w:rFonts w:hint="eastAsia"/>
                <w:sz w:val="21"/>
                <w:szCs w:val="21"/>
              </w:rPr>
            </w:pPr>
            <w:r>
              <w:rPr>
                <w:sz w:val="21"/>
                <w:szCs w:val="21"/>
              </w:rPr>
              <w:t>（2）</w:t>
            </w:r>
            <w:r>
              <w:rPr>
                <w:rFonts w:hint="eastAsia"/>
                <w:sz w:val="21"/>
                <w:szCs w:val="21"/>
              </w:rPr>
              <w:t>注射剂概述和处方组成</w:t>
            </w:r>
          </w:p>
          <w:p>
            <w:pPr>
              <w:rPr>
                <w:sz w:val="21"/>
                <w:szCs w:val="21"/>
              </w:rPr>
            </w:pPr>
            <w:r>
              <w:rPr>
                <w:rFonts w:hint="eastAsia"/>
                <w:sz w:val="21"/>
                <w:szCs w:val="21"/>
              </w:rPr>
              <w:t>（3）注射剂用水、热源</w:t>
            </w:r>
          </w:p>
          <w:p>
            <w:pPr>
              <w:rPr>
                <w:sz w:val="21"/>
                <w:szCs w:val="21"/>
              </w:rPr>
            </w:pPr>
            <w:r>
              <w:rPr>
                <w:rFonts w:hint="eastAsia"/>
                <w:sz w:val="21"/>
                <w:szCs w:val="21"/>
              </w:rPr>
              <w:t>（4）注射剂的制备</w:t>
            </w:r>
          </w:p>
          <w:p>
            <w:pPr>
              <w:rPr>
                <w:rFonts w:hint="eastAsia"/>
                <w:sz w:val="21"/>
                <w:szCs w:val="21"/>
              </w:rPr>
            </w:pPr>
            <w:r>
              <w:rPr>
                <w:rFonts w:hint="eastAsia"/>
                <w:sz w:val="21"/>
                <w:szCs w:val="21"/>
              </w:rPr>
              <w:t>（5）输液、注射用无菌粉末</w:t>
            </w:r>
          </w:p>
          <w:p>
            <w:pPr>
              <w:rPr>
                <w:rFonts w:hint="eastAsia"/>
                <w:b/>
                <w:bCs/>
                <w:color w:val="000000"/>
                <w:sz w:val="21"/>
                <w:szCs w:val="21"/>
              </w:rPr>
            </w:pPr>
            <w:r>
              <w:rPr>
                <w:b/>
                <w:bCs/>
                <w:color w:val="000000"/>
                <w:sz w:val="21"/>
                <w:szCs w:val="21"/>
              </w:rPr>
              <w:t>重</w:t>
            </w:r>
            <w:r>
              <w:rPr>
                <w:rFonts w:hint="eastAsia"/>
                <w:b/>
                <w:bCs/>
                <w:color w:val="000000"/>
                <w:sz w:val="21"/>
                <w:szCs w:val="21"/>
              </w:rPr>
              <w:t>点</w:t>
            </w:r>
            <w:r>
              <w:rPr>
                <w:b/>
                <w:bCs/>
                <w:color w:val="000000"/>
                <w:sz w:val="21"/>
                <w:szCs w:val="21"/>
              </w:rPr>
              <w:t>难点</w:t>
            </w:r>
            <w:r>
              <w:rPr>
                <w:rFonts w:hint="eastAsia"/>
                <w:b/>
                <w:bCs/>
                <w:color w:val="000000"/>
                <w:sz w:val="21"/>
                <w:szCs w:val="21"/>
              </w:rPr>
              <w:t>：</w:t>
            </w:r>
          </w:p>
          <w:p>
            <w:pPr>
              <w:rPr>
                <w:sz w:val="21"/>
                <w:szCs w:val="21"/>
              </w:rPr>
            </w:pPr>
            <w:r>
              <w:rPr>
                <w:rFonts w:hint="eastAsia"/>
                <w:sz w:val="21"/>
                <w:szCs w:val="21"/>
              </w:rPr>
              <w:t>（1）注射剂的质量要求、热源的概念和特点、注射剂的质量评价</w:t>
            </w:r>
          </w:p>
          <w:p>
            <w:pPr>
              <w:rPr>
                <w:rFonts w:hint="eastAsia"/>
                <w:sz w:val="21"/>
                <w:szCs w:val="21"/>
              </w:rPr>
            </w:pPr>
            <w:r>
              <w:rPr>
                <w:rFonts w:hint="eastAsia"/>
                <w:sz w:val="21"/>
                <w:szCs w:val="21"/>
              </w:rPr>
              <w:t>（2）注射剂的组成、注射剂的制备、灭菌方法、无菌粉末的制备</w:t>
            </w:r>
          </w:p>
        </w:tc>
        <w:tc>
          <w:tcPr>
            <w:tcW w:w="1134" w:type="dxa"/>
            <w:noWrap w:val="0"/>
            <w:vAlign w:val="top"/>
          </w:tcPr>
          <w:p>
            <w:pPr>
              <w:autoSpaceDE w:val="0"/>
              <w:autoSpaceDN w:val="0"/>
              <w:adjustRightInd w:val="0"/>
              <w:rPr>
                <w:sz w:val="21"/>
                <w:szCs w:val="21"/>
              </w:rPr>
            </w:pPr>
            <w:r>
              <w:rPr>
                <w:rFonts w:hint="eastAsia"/>
                <w:color w:val="000000"/>
                <w:sz w:val="21"/>
                <w:szCs w:val="21"/>
              </w:rPr>
              <w:t>以社会主义核心价值观为中心，深入理解专业特色，培养以严谨求实、精益求精为基石的科学精神。</w:t>
            </w:r>
          </w:p>
        </w:tc>
        <w:tc>
          <w:tcPr>
            <w:tcW w:w="2028" w:type="dxa"/>
            <w:noWrap w:val="0"/>
            <w:vAlign w:val="center"/>
          </w:tcPr>
          <w:p>
            <w:pPr>
              <w:rPr>
                <w:rFonts w:hint="eastAsia"/>
                <w:sz w:val="21"/>
                <w:szCs w:val="21"/>
              </w:rPr>
            </w:pPr>
            <w:r>
              <w:rPr>
                <w:sz w:val="21"/>
                <w:szCs w:val="21"/>
              </w:rPr>
              <w:t>（1）</w:t>
            </w:r>
            <w:r>
              <w:rPr>
                <w:rFonts w:hint="eastAsia"/>
                <w:sz w:val="21"/>
                <w:szCs w:val="21"/>
              </w:rPr>
              <w:t>熟悉注射液的分类及质量要求</w:t>
            </w:r>
          </w:p>
          <w:p>
            <w:pPr>
              <w:rPr>
                <w:rFonts w:hint="eastAsia"/>
                <w:sz w:val="21"/>
                <w:szCs w:val="21"/>
              </w:rPr>
            </w:pPr>
            <w:r>
              <w:rPr>
                <w:rFonts w:hint="eastAsia"/>
                <w:sz w:val="21"/>
                <w:szCs w:val="21"/>
              </w:rPr>
              <w:t>（2）掌握注射剂的处方组成</w:t>
            </w:r>
          </w:p>
          <w:p>
            <w:pPr>
              <w:rPr>
                <w:sz w:val="21"/>
                <w:szCs w:val="21"/>
              </w:rPr>
            </w:pPr>
            <w:r>
              <w:rPr>
                <w:sz w:val="21"/>
                <w:szCs w:val="21"/>
              </w:rPr>
              <w:t>（</w:t>
            </w:r>
            <w:r>
              <w:rPr>
                <w:rFonts w:hint="eastAsia"/>
                <w:sz w:val="21"/>
                <w:szCs w:val="21"/>
              </w:rPr>
              <w:t>3</w:t>
            </w:r>
            <w:r>
              <w:rPr>
                <w:sz w:val="21"/>
                <w:szCs w:val="21"/>
              </w:rPr>
              <w:t>）</w:t>
            </w:r>
            <w:r>
              <w:rPr>
                <w:rFonts w:hint="eastAsia"/>
                <w:sz w:val="21"/>
                <w:szCs w:val="21"/>
              </w:rPr>
              <w:t>掌握注射用水的要求与制备</w:t>
            </w:r>
          </w:p>
          <w:p>
            <w:pPr>
              <w:rPr>
                <w:sz w:val="21"/>
                <w:szCs w:val="21"/>
              </w:rPr>
            </w:pPr>
            <w:r>
              <w:rPr>
                <w:rFonts w:hint="eastAsia"/>
                <w:sz w:val="21"/>
                <w:szCs w:val="21"/>
              </w:rPr>
              <w:t>（4）掌握热源的定义、特点及除去方法</w:t>
            </w:r>
          </w:p>
          <w:p>
            <w:pPr>
              <w:rPr>
                <w:sz w:val="21"/>
                <w:szCs w:val="21"/>
              </w:rPr>
            </w:pPr>
            <w:r>
              <w:rPr>
                <w:rFonts w:hint="eastAsia"/>
                <w:sz w:val="21"/>
                <w:szCs w:val="21"/>
              </w:rPr>
              <w:t>（5）掌握容器的处理</w:t>
            </w:r>
          </w:p>
          <w:p>
            <w:pPr>
              <w:rPr>
                <w:sz w:val="21"/>
                <w:szCs w:val="21"/>
              </w:rPr>
            </w:pPr>
            <w:r>
              <w:rPr>
                <w:rFonts w:hint="eastAsia"/>
                <w:sz w:val="21"/>
                <w:szCs w:val="21"/>
              </w:rPr>
              <w:t>（6）掌握注射液制备及质量评价和处方分析</w:t>
            </w:r>
          </w:p>
          <w:p>
            <w:pPr>
              <w:rPr>
                <w:sz w:val="21"/>
                <w:szCs w:val="21"/>
              </w:rPr>
            </w:pPr>
            <w:r>
              <w:rPr>
                <w:rFonts w:hint="eastAsia"/>
                <w:sz w:val="21"/>
                <w:szCs w:val="21"/>
              </w:rPr>
              <w:t>（7）掌握注射剂常用灭菌方法、特点及选用原则</w:t>
            </w:r>
          </w:p>
          <w:p>
            <w:pPr>
              <w:rPr>
                <w:sz w:val="21"/>
                <w:szCs w:val="21"/>
              </w:rPr>
            </w:pPr>
            <w:r>
              <w:rPr>
                <w:rFonts w:hint="eastAsia"/>
                <w:sz w:val="21"/>
                <w:szCs w:val="21"/>
              </w:rPr>
              <w:t>（8）掌握输液的分类、质量要求、制备</w:t>
            </w:r>
          </w:p>
          <w:p>
            <w:pPr>
              <w:rPr>
                <w:rFonts w:hint="eastAsia"/>
                <w:sz w:val="21"/>
                <w:szCs w:val="21"/>
              </w:rPr>
            </w:pPr>
            <w:r>
              <w:rPr>
                <w:rFonts w:hint="eastAsia"/>
                <w:sz w:val="21"/>
                <w:szCs w:val="21"/>
              </w:rPr>
              <w:t>（9）熟悉注射用无菌粉末的分类和生产工艺</w:t>
            </w:r>
          </w:p>
        </w:tc>
        <w:tc>
          <w:tcPr>
            <w:tcW w:w="699" w:type="dxa"/>
            <w:noWrap w:val="0"/>
            <w:vAlign w:val="center"/>
          </w:tcPr>
          <w:p>
            <w:pPr>
              <w:jc w:val="center"/>
              <w:rPr>
                <w:sz w:val="21"/>
                <w:szCs w:val="21"/>
              </w:rPr>
            </w:pPr>
            <w:r>
              <w:rPr>
                <w:sz w:val="21"/>
                <w:szCs w:val="21"/>
              </w:rPr>
              <w:t>2</w:t>
            </w:r>
            <w:r>
              <w:rPr>
                <w:rFonts w:hint="eastAsia"/>
                <w:sz w:val="21"/>
                <w:szCs w:val="21"/>
              </w:rPr>
              <w:t>（讲授）</w:t>
            </w:r>
          </w:p>
        </w:tc>
        <w:tc>
          <w:tcPr>
            <w:tcW w:w="975" w:type="dxa"/>
            <w:noWrap w:val="0"/>
            <w:vAlign w:val="center"/>
          </w:tcPr>
          <w:p>
            <w:pPr>
              <w:rPr>
                <w:sz w:val="21"/>
                <w:szCs w:val="21"/>
              </w:rPr>
            </w:pPr>
            <w:r>
              <w:rPr>
                <w:sz w:val="21"/>
                <w:szCs w:val="21"/>
              </w:rPr>
              <w:t>讲授/讨论/实例教学等</w:t>
            </w:r>
          </w:p>
        </w:tc>
        <w:tc>
          <w:tcPr>
            <w:tcW w:w="925" w:type="dxa"/>
            <w:noWrap w:val="0"/>
            <w:vAlign w:val="center"/>
          </w:tcPr>
          <w:p>
            <w:pPr>
              <w:jc w:val="center"/>
              <w:rPr>
                <w:b/>
                <w:sz w:val="21"/>
                <w:szCs w:val="21"/>
              </w:rPr>
            </w:pPr>
            <w:r>
              <w:rPr>
                <w:b/>
                <w:sz w:val="21"/>
                <w:szCs w:val="21"/>
              </w:rPr>
              <w:t>目标</w:t>
            </w:r>
            <w:r>
              <w:rPr>
                <w:rFonts w:hint="eastAsia"/>
                <w:b/>
                <w:sz w:val="21"/>
                <w:szCs w:val="21"/>
              </w:rPr>
              <w:t>1</w:t>
            </w:r>
          </w:p>
          <w:p>
            <w:pPr>
              <w:jc w:val="center"/>
              <w:rPr>
                <w:sz w:val="21"/>
                <w:szCs w:val="21"/>
              </w:rPr>
            </w:pPr>
            <w:r>
              <w:rPr>
                <w:rFonts w:hint="eastAsia"/>
                <w:b/>
                <w:sz w:val="21"/>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hint="eastAsia"/>
                <w:sz w:val="21"/>
                <w:szCs w:val="21"/>
              </w:rPr>
            </w:pPr>
            <w:r>
              <w:rPr>
                <w:rFonts w:hint="eastAsia"/>
                <w:sz w:val="21"/>
                <w:szCs w:val="21"/>
              </w:rPr>
              <w:t>4</w:t>
            </w:r>
          </w:p>
        </w:tc>
        <w:tc>
          <w:tcPr>
            <w:tcW w:w="2632" w:type="dxa"/>
            <w:noWrap w:val="0"/>
            <w:vAlign w:val="center"/>
          </w:tcPr>
          <w:p>
            <w:pPr>
              <w:rPr>
                <w:b/>
                <w:sz w:val="21"/>
                <w:szCs w:val="21"/>
              </w:rPr>
            </w:pPr>
            <w:r>
              <w:rPr>
                <w:rFonts w:hint="eastAsia"/>
                <w:b/>
                <w:sz w:val="21"/>
                <w:szCs w:val="21"/>
              </w:rPr>
              <w:t>固体制剂：</w:t>
            </w:r>
          </w:p>
          <w:p>
            <w:pPr>
              <w:rPr>
                <w:rFonts w:hint="eastAsia"/>
                <w:sz w:val="21"/>
                <w:szCs w:val="21"/>
              </w:rPr>
            </w:pPr>
            <w:r>
              <w:rPr>
                <w:sz w:val="21"/>
                <w:szCs w:val="21"/>
              </w:rPr>
              <w:t>（1）</w:t>
            </w:r>
            <w:r>
              <w:rPr>
                <w:rFonts w:hint="eastAsia"/>
                <w:sz w:val="21"/>
                <w:szCs w:val="21"/>
              </w:rPr>
              <w:t>粉体概念、性质</w:t>
            </w:r>
          </w:p>
          <w:p>
            <w:pPr>
              <w:rPr>
                <w:sz w:val="21"/>
                <w:szCs w:val="21"/>
              </w:rPr>
            </w:pPr>
            <w:r>
              <w:rPr>
                <w:sz w:val="21"/>
                <w:szCs w:val="21"/>
              </w:rPr>
              <w:t>（2）</w:t>
            </w:r>
            <w:r>
              <w:rPr>
                <w:rFonts w:hint="eastAsia"/>
                <w:sz w:val="21"/>
                <w:szCs w:val="21"/>
              </w:rPr>
              <w:t>散剂、颗粒剂</w:t>
            </w:r>
          </w:p>
          <w:p>
            <w:pPr>
              <w:rPr>
                <w:sz w:val="21"/>
                <w:szCs w:val="21"/>
              </w:rPr>
            </w:pPr>
            <w:r>
              <w:rPr>
                <w:rFonts w:hint="eastAsia"/>
                <w:sz w:val="21"/>
                <w:szCs w:val="21"/>
              </w:rPr>
              <w:t>（3）片剂的概述和常用辅料</w:t>
            </w:r>
          </w:p>
          <w:p>
            <w:pPr>
              <w:rPr>
                <w:sz w:val="21"/>
                <w:szCs w:val="21"/>
              </w:rPr>
            </w:pPr>
            <w:r>
              <w:rPr>
                <w:rFonts w:hint="eastAsia"/>
                <w:sz w:val="21"/>
                <w:szCs w:val="21"/>
              </w:rPr>
              <w:t>（4）片剂制备方法与分类、湿法制粒技术、整粒混合</w:t>
            </w:r>
          </w:p>
          <w:p>
            <w:pPr>
              <w:rPr>
                <w:sz w:val="21"/>
                <w:szCs w:val="21"/>
              </w:rPr>
            </w:pPr>
            <w:r>
              <w:rPr>
                <w:rFonts w:hint="eastAsia"/>
                <w:sz w:val="21"/>
                <w:szCs w:val="21"/>
              </w:rPr>
              <w:t>（5）压片、质检、包衣的制备</w:t>
            </w:r>
          </w:p>
          <w:p>
            <w:pPr>
              <w:rPr>
                <w:rFonts w:hint="eastAsia"/>
                <w:b/>
                <w:bCs/>
                <w:color w:val="000000"/>
                <w:sz w:val="21"/>
                <w:szCs w:val="21"/>
              </w:rPr>
            </w:pPr>
            <w:r>
              <w:rPr>
                <w:b/>
                <w:bCs/>
                <w:color w:val="000000"/>
                <w:sz w:val="21"/>
                <w:szCs w:val="21"/>
              </w:rPr>
              <w:t>重</w:t>
            </w:r>
            <w:r>
              <w:rPr>
                <w:rFonts w:hint="eastAsia"/>
                <w:b/>
                <w:bCs/>
                <w:color w:val="000000"/>
                <w:sz w:val="21"/>
                <w:szCs w:val="21"/>
              </w:rPr>
              <w:t>点</w:t>
            </w:r>
            <w:r>
              <w:rPr>
                <w:b/>
                <w:bCs/>
                <w:color w:val="000000"/>
                <w:sz w:val="21"/>
                <w:szCs w:val="21"/>
              </w:rPr>
              <w:t>难点</w:t>
            </w:r>
            <w:r>
              <w:rPr>
                <w:rFonts w:hint="eastAsia"/>
                <w:b/>
                <w:bCs/>
                <w:color w:val="000000"/>
                <w:sz w:val="21"/>
                <w:szCs w:val="21"/>
              </w:rPr>
              <w:t>：</w:t>
            </w:r>
          </w:p>
          <w:p>
            <w:pPr>
              <w:rPr>
                <w:rFonts w:hint="eastAsia"/>
                <w:sz w:val="21"/>
                <w:szCs w:val="21"/>
              </w:rPr>
            </w:pPr>
            <w:r>
              <w:rPr>
                <w:rFonts w:hint="eastAsia"/>
                <w:sz w:val="21"/>
                <w:szCs w:val="21"/>
              </w:rPr>
              <w:t>（1）固体制剂的常见工序、片剂的制备、粉体性质、生产中常见问题</w:t>
            </w:r>
          </w:p>
          <w:p>
            <w:pPr>
              <w:rPr>
                <w:rFonts w:hint="eastAsia"/>
                <w:sz w:val="21"/>
                <w:szCs w:val="21"/>
              </w:rPr>
            </w:pPr>
            <w:r>
              <w:rPr>
                <w:rFonts w:hint="eastAsia"/>
                <w:sz w:val="21"/>
                <w:szCs w:val="21"/>
              </w:rPr>
              <w:t>（2）片剂的辅料及处方分析、压片机的结构和原理、影响片剂成型的因素、质量评价方法、包衣的分类</w:t>
            </w:r>
          </w:p>
        </w:tc>
        <w:tc>
          <w:tcPr>
            <w:tcW w:w="1134" w:type="dxa"/>
            <w:noWrap w:val="0"/>
            <w:vAlign w:val="top"/>
          </w:tcPr>
          <w:p>
            <w:pPr>
              <w:autoSpaceDE w:val="0"/>
              <w:autoSpaceDN w:val="0"/>
              <w:adjustRightInd w:val="0"/>
              <w:rPr>
                <w:sz w:val="21"/>
                <w:szCs w:val="21"/>
              </w:rPr>
            </w:pPr>
            <w:r>
              <w:rPr>
                <w:rFonts w:hint="eastAsia"/>
                <w:color w:val="000000"/>
                <w:sz w:val="21"/>
                <w:szCs w:val="21"/>
              </w:rPr>
              <w:t>以社会主义核心价值观为中心，深入理解专业特色，培养以严谨求实、精益求精为基石的科学精神。</w:t>
            </w:r>
          </w:p>
        </w:tc>
        <w:tc>
          <w:tcPr>
            <w:tcW w:w="2028" w:type="dxa"/>
            <w:noWrap w:val="0"/>
            <w:vAlign w:val="center"/>
          </w:tcPr>
          <w:p>
            <w:pPr>
              <w:rPr>
                <w:rFonts w:hint="eastAsia"/>
                <w:sz w:val="21"/>
                <w:szCs w:val="21"/>
              </w:rPr>
            </w:pPr>
            <w:r>
              <w:rPr>
                <w:sz w:val="21"/>
                <w:szCs w:val="21"/>
              </w:rPr>
              <w:t>（1）</w:t>
            </w:r>
            <w:r>
              <w:rPr>
                <w:rFonts w:hint="eastAsia"/>
                <w:sz w:val="21"/>
                <w:szCs w:val="21"/>
              </w:rPr>
              <w:t>掌握固体剂型的主要制备工艺流程</w:t>
            </w:r>
          </w:p>
          <w:p>
            <w:pPr>
              <w:rPr>
                <w:rFonts w:hint="eastAsia" w:ascii="Arial" w:hAnsi="Arial" w:cs="Arial"/>
                <w:color w:val="333333"/>
                <w:sz w:val="21"/>
                <w:szCs w:val="21"/>
              </w:rPr>
            </w:pPr>
            <w:r>
              <w:rPr>
                <w:sz w:val="21"/>
                <w:szCs w:val="21"/>
              </w:rPr>
              <w:t>（2）</w:t>
            </w:r>
            <w:r>
              <w:rPr>
                <w:rFonts w:hint="eastAsia"/>
                <w:sz w:val="21"/>
                <w:szCs w:val="21"/>
              </w:rPr>
              <w:t>掌握散剂的粉碎、过筛、混合等基本操作</w:t>
            </w:r>
          </w:p>
          <w:p>
            <w:pPr>
              <w:rPr>
                <w:rFonts w:ascii="Arial" w:hAnsi="Arial" w:cs="Arial"/>
                <w:color w:val="333333"/>
                <w:sz w:val="21"/>
                <w:szCs w:val="21"/>
              </w:rPr>
            </w:pPr>
            <w:r>
              <w:rPr>
                <w:rFonts w:hint="eastAsia"/>
                <w:sz w:val="21"/>
                <w:szCs w:val="21"/>
              </w:rPr>
              <w:t>（3）</w:t>
            </w:r>
            <w:r>
              <w:rPr>
                <w:rFonts w:hint="eastAsia" w:ascii="Arial" w:hAnsi="Arial" w:cs="Arial"/>
                <w:color w:val="333333"/>
                <w:sz w:val="21"/>
                <w:szCs w:val="21"/>
              </w:rPr>
              <w:t>掌握颗粒剂的制备和质量检查</w:t>
            </w:r>
          </w:p>
          <w:p>
            <w:pPr>
              <w:rPr>
                <w:sz w:val="21"/>
                <w:szCs w:val="21"/>
              </w:rPr>
            </w:pPr>
            <w:r>
              <w:rPr>
                <w:rFonts w:hint="eastAsia"/>
                <w:sz w:val="21"/>
                <w:szCs w:val="21"/>
              </w:rPr>
              <w:t>（</w:t>
            </w:r>
            <w:r>
              <w:rPr>
                <w:sz w:val="21"/>
                <w:szCs w:val="21"/>
              </w:rPr>
              <w:t>4</w:t>
            </w:r>
            <w:r>
              <w:rPr>
                <w:rFonts w:hint="eastAsia"/>
                <w:sz w:val="21"/>
                <w:szCs w:val="21"/>
              </w:rPr>
              <w:t>）掌握片剂的分类及基本概念</w:t>
            </w:r>
          </w:p>
          <w:p>
            <w:pPr>
              <w:rPr>
                <w:sz w:val="21"/>
                <w:szCs w:val="21"/>
              </w:rPr>
            </w:pPr>
            <w:r>
              <w:rPr>
                <w:rFonts w:hint="eastAsia"/>
                <w:sz w:val="21"/>
                <w:szCs w:val="21"/>
              </w:rPr>
              <w:t>（5）熟悉片剂的四大类辅料及作用</w:t>
            </w:r>
          </w:p>
          <w:p>
            <w:pPr>
              <w:rPr>
                <w:sz w:val="21"/>
                <w:szCs w:val="21"/>
              </w:rPr>
            </w:pPr>
            <w:r>
              <w:rPr>
                <w:rFonts w:hint="eastAsia"/>
                <w:sz w:val="21"/>
                <w:szCs w:val="21"/>
              </w:rPr>
              <w:t>（6）掌握湿法制粒压片的过程</w:t>
            </w:r>
          </w:p>
          <w:p>
            <w:pPr>
              <w:rPr>
                <w:sz w:val="21"/>
                <w:szCs w:val="21"/>
              </w:rPr>
            </w:pPr>
            <w:r>
              <w:rPr>
                <w:rFonts w:hint="eastAsia"/>
                <w:sz w:val="21"/>
                <w:szCs w:val="21"/>
              </w:rPr>
              <w:t>（7）掌握压片机的结构和压片原理</w:t>
            </w:r>
          </w:p>
          <w:p>
            <w:pPr>
              <w:rPr>
                <w:sz w:val="21"/>
                <w:szCs w:val="21"/>
              </w:rPr>
            </w:pPr>
            <w:r>
              <w:rPr>
                <w:rFonts w:hint="eastAsia"/>
                <w:sz w:val="21"/>
                <w:szCs w:val="21"/>
              </w:rPr>
              <w:t>（8）掌握片剂压缩成型的影响因素</w:t>
            </w:r>
          </w:p>
          <w:p>
            <w:pPr>
              <w:rPr>
                <w:sz w:val="21"/>
                <w:szCs w:val="21"/>
              </w:rPr>
            </w:pPr>
            <w:r>
              <w:rPr>
                <w:rFonts w:hint="eastAsia"/>
                <w:sz w:val="21"/>
                <w:szCs w:val="21"/>
              </w:rPr>
              <w:t>（9）掌握片剂制备过程中可能发生的问题及原因分析</w:t>
            </w:r>
          </w:p>
          <w:p>
            <w:pPr>
              <w:rPr>
                <w:sz w:val="21"/>
                <w:szCs w:val="21"/>
              </w:rPr>
            </w:pPr>
            <w:r>
              <w:rPr>
                <w:rFonts w:hint="eastAsia"/>
                <w:sz w:val="21"/>
                <w:szCs w:val="21"/>
              </w:rPr>
              <w:t>（10）掌握片剂的质量评价</w:t>
            </w:r>
          </w:p>
          <w:p>
            <w:pPr>
              <w:rPr>
                <w:sz w:val="21"/>
                <w:szCs w:val="21"/>
              </w:rPr>
            </w:pPr>
            <w:r>
              <w:rPr>
                <w:rFonts w:hint="eastAsia"/>
                <w:sz w:val="21"/>
                <w:szCs w:val="21"/>
              </w:rPr>
              <w:t>（11）掌握片剂包衣液的分类</w:t>
            </w:r>
          </w:p>
          <w:p>
            <w:pPr>
              <w:rPr>
                <w:sz w:val="21"/>
                <w:szCs w:val="21"/>
              </w:rPr>
            </w:pPr>
            <w:r>
              <w:rPr>
                <w:rFonts w:hint="eastAsia"/>
                <w:sz w:val="21"/>
                <w:szCs w:val="21"/>
              </w:rPr>
              <w:t>（12）了解粉碎、过筛、混合、包衣等工序常用设备</w:t>
            </w:r>
          </w:p>
          <w:p>
            <w:pPr>
              <w:rPr>
                <w:sz w:val="21"/>
                <w:szCs w:val="21"/>
              </w:rPr>
            </w:pPr>
            <w:r>
              <w:rPr>
                <w:rFonts w:hint="eastAsia"/>
                <w:sz w:val="21"/>
                <w:szCs w:val="21"/>
              </w:rPr>
              <w:t>（13）熟悉药物粉体的性质</w:t>
            </w:r>
          </w:p>
        </w:tc>
        <w:tc>
          <w:tcPr>
            <w:tcW w:w="699" w:type="dxa"/>
            <w:noWrap w:val="0"/>
            <w:vAlign w:val="center"/>
          </w:tcPr>
          <w:p>
            <w:pPr>
              <w:jc w:val="center"/>
              <w:rPr>
                <w:sz w:val="21"/>
                <w:szCs w:val="21"/>
              </w:rPr>
            </w:pPr>
            <w:r>
              <w:rPr>
                <w:sz w:val="21"/>
                <w:szCs w:val="21"/>
              </w:rPr>
              <w:t>8</w:t>
            </w:r>
            <w:r>
              <w:rPr>
                <w:rFonts w:hint="eastAsia"/>
                <w:sz w:val="21"/>
                <w:szCs w:val="21"/>
              </w:rPr>
              <w:t>（讲授）</w:t>
            </w:r>
          </w:p>
        </w:tc>
        <w:tc>
          <w:tcPr>
            <w:tcW w:w="975" w:type="dxa"/>
            <w:noWrap w:val="0"/>
            <w:vAlign w:val="center"/>
          </w:tcPr>
          <w:p>
            <w:pPr>
              <w:rPr>
                <w:sz w:val="21"/>
                <w:szCs w:val="21"/>
              </w:rPr>
            </w:pPr>
            <w:r>
              <w:rPr>
                <w:sz w:val="21"/>
                <w:szCs w:val="21"/>
              </w:rPr>
              <w:t>讲授/讨论/实例教学等</w:t>
            </w:r>
          </w:p>
        </w:tc>
        <w:tc>
          <w:tcPr>
            <w:tcW w:w="925" w:type="dxa"/>
            <w:noWrap w:val="0"/>
            <w:vAlign w:val="center"/>
          </w:tcPr>
          <w:p>
            <w:pPr>
              <w:jc w:val="center"/>
              <w:rPr>
                <w:b/>
                <w:sz w:val="21"/>
                <w:szCs w:val="21"/>
              </w:rPr>
            </w:pPr>
            <w:r>
              <w:rPr>
                <w:b/>
                <w:sz w:val="21"/>
                <w:szCs w:val="21"/>
              </w:rPr>
              <w:t>目标</w:t>
            </w:r>
            <w:r>
              <w:rPr>
                <w:rFonts w:hint="eastAsia"/>
                <w:b/>
                <w:sz w:val="21"/>
                <w:szCs w:val="21"/>
              </w:rPr>
              <w:t>1</w:t>
            </w:r>
          </w:p>
          <w:p>
            <w:pPr>
              <w:jc w:val="center"/>
              <w:rPr>
                <w:sz w:val="21"/>
                <w:szCs w:val="21"/>
              </w:rPr>
            </w:pPr>
            <w:r>
              <w:rPr>
                <w:rFonts w:hint="eastAsia"/>
                <w:b/>
                <w:sz w:val="21"/>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hint="eastAsia"/>
                <w:sz w:val="21"/>
                <w:szCs w:val="21"/>
              </w:rPr>
            </w:pPr>
            <w:r>
              <w:rPr>
                <w:rFonts w:hint="eastAsia"/>
                <w:sz w:val="21"/>
                <w:szCs w:val="21"/>
              </w:rPr>
              <w:t>5</w:t>
            </w:r>
          </w:p>
        </w:tc>
        <w:tc>
          <w:tcPr>
            <w:tcW w:w="2632" w:type="dxa"/>
            <w:noWrap w:val="0"/>
            <w:vAlign w:val="center"/>
          </w:tcPr>
          <w:p>
            <w:pPr>
              <w:rPr>
                <w:b/>
                <w:sz w:val="21"/>
                <w:szCs w:val="21"/>
              </w:rPr>
            </w:pPr>
            <w:r>
              <w:rPr>
                <w:rFonts w:hint="eastAsia"/>
                <w:b/>
                <w:sz w:val="21"/>
                <w:szCs w:val="21"/>
              </w:rPr>
              <w:t>胶囊剂和滴丸剂：</w:t>
            </w:r>
          </w:p>
          <w:p>
            <w:pPr>
              <w:rPr>
                <w:rFonts w:hint="eastAsia"/>
                <w:sz w:val="21"/>
                <w:szCs w:val="21"/>
              </w:rPr>
            </w:pPr>
            <w:r>
              <w:rPr>
                <w:sz w:val="21"/>
                <w:szCs w:val="21"/>
              </w:rPr>
              <w:t>（1）</w:t>
            </w:r>
            <w:r>
              <w:rPr>
                <w:rFonts w:hint="eastAsia"/>
                <w:sz w:val="21"/>
                <w:szCs w:val="21"/>
              </w:rPr>
              <w:t>胶囊剂</w:t>
            </w:r>
          </w:p>
          <w:p>
            <w:pPr>
              <w:rPr>
                <w:sz w:val="21"/>
                <w:szCs w:val="21"/>
              </w:rPr>
            </w:pPr>
            <w:r>
              <w:rPr>
                <w:sz w:val="21"/>
                <w:szCs w:val="21"/>
              </w:rPr>
              <w:t>（2）</w:t>
            </w:r>
            <w:r>
              <w:rPr>
                <w:rFonts w:hint="eastAsia"/>
                <w:sz w:val="21"/>
                <w:szCs w:val="21"/>
              </w:rPr>
              <w:t>滴丸剂</w:t>
            </w:r>
          </w:p>
          <w:p>
            <w:pPr>
              <w:rPr>
                <w:rFonts w:hint="eastAsia"/>
                <w:b/>
                <w:bCs/>
                <w:color w:val="000000"/>
                <w:sz w:val="21"/>
                <w:szCs w:val="21"/>
              </w:rPr>
            </w:pPr>
            <w:r>
              <w:rPr>
                <w:b/>
                <w:bCs/>
                <w:color w:val="000000"/>
                <w:sz w:val="21"/>
                <w:szCs w:val="21"/>
              </w:rPr>
              <w:t>重</w:t>
            </w:r>
            <w:r>
              <w:rPr>
                <w:rFonts w:hint="eastAsia"/>
                <w:b/>
                <w:bCs/>
                <w:color w:val="000000"/>
                <w:sz w:val="21"/>
                <w:szCs w:val="21"/>
              </w:rPr>
              <w:t>点</w:t>
            </w:r>
            <w:r>
              <w:rPr>
                <w:b/>
                <w:bCs/>
                <w:color w:val="000000"/>
                <w:sz w:val="21"/>
                <w:szCs w:val="21"/>
              </w:rPr>
              <w:t>难点</w:t>
            </w:r>
            <w:r>
              <w:rPr>
                <w:rFonts w:hint="eastAsia"/>
                <w:b/>
                <w:bCs/>
                <w:color w:val="000000"/>
                <w:sz w:val="21"/>
                <w:szCs w:val="21"/>
              </w:rPr>
              <w:t>：</w:t>
            </w:r>
          </w:p>
          <w:p>
            <w:pPr>
              <w:rPr>
                <w:sz w:val="21"/>
                <w:szCs w:val="21"/>
              </w:rPr>
            </w:pPr>
            <w:r>
              <w:rPr>
                <w:rFonts w:hint="eastAsia"/>
                <w:color w:val="000000"/>
                <w:sz w:val="21"/>
                <w:szCs w:val="21"/>
              </w:rPr>
              <w:t>（1）空胶囊的组成和型号选择，胶囊剂的组成，滴丸的组成</w:t>
            </w:r>
          </w:p>
          <w:p>
            <w:pPr>
              <w:rPr>
                <w:sz w:val="21"/>
                <w:szCs w:val="21"/>
              </w:rPr>
            </w:pPr>
            <w:r>
              <w:rPr>
                <w:rFonts w:hint="eastAsia"/>
                <w:sz w:val="21"/>
                <w:szCs w:val="21"/>
              </w:rPr>
              <w:t>（2）胶囊剂的制备过程、质量评价指标、滴丸基质和冷凝液选择原则</w:t>
            </w:r>
          </w:p>
          <w:p>
            <w:pPr>
              <w:rPr>
                <w:rFonts w:hint="eastAsia"/>
                <w:b/>
                <w:bCs/>
                <w:color w:val="000000"/>
                <w:sz w:val="21"/>
                <w:szCs w:val="21"/>
              </w:rPr>
            </w:pPr>
            <w:r>
              <w:rPr>
                <w:b/>
                <w:bCs/>
                <w:color w:val="000000"/>
                <w:sz w:val="21"/>
                <w:szCs w:val="21"/>
              </w:rPr>
              <w:t>重</w:t>
            </w:r>
            <w:r>
              <w:rPr>
                <w:rFonts w:hint="eastAsia"/>
                <w:b/>
                <w:bCs/>
                <w:color w:val="000000"/>
                <w:sz w:val="21"/>
                <w:szCs w:val="21"/>
              </w:rPr>
              <w:t>点</w:t>
            </w:r>
            <w:r>
              <w:rPr>
                <w:b/>
                <w:bCs/>
                <w:color w:val="000000"/>
                <w:sz w:val="21"/>
                <w:szCs w:val="21"/>
              </w:rPr>
              <w:t>难点</w:t>
            </w:r>
            <w:r>
              <w:rPr>
                <w:rFonts w:hint="eastAsia"/>
                <w:b/>
                <w:bCs/>
                <w:color w:val="000000"/>
                <w:sz w:val="21"/>
                <w:szCs w:val="21"/>
              </w:rPr>
              <w:t>：</w:t>
            </w:r>
          </w:p>
          <w:p>
            <w:pPr>
              <w:rPr>
                <w:sz w:val="21"/>
                <w:szCs w:val="21"/>
              </w:rPr>
            </w:pPr>
            <w:r>
              <w:rPr>
                <w:rFonts w:hint="eastAsia"/>
                <w:color w:val="000000"/>
                <w:sz w:val="21"/>
                <w:szCs w:val="21"/>
              </w:rPr>
              <w:t>（1）空胶囊的组成和型号选择，胶囊剂的组成，滴丸的组成</w:t>
            </w:r>
          </w:p>
          <w:p>
            <w:pPr>
              <w:rPr>
                <w:rFonts w:hint="eastAsia"/>
                <w:color w:val="FF0000"/>
                <w:sz w:val="21"/>
                <w:szCs w:val="21"/>
              </w:rPr>
            </w:pPr>
            <w:r>
              <w:rPr>
                <w:rFonts w:hint="eastAsia"/>
                <w:sz w:val="21"/>
                <w:szCs w:val="21"/>
              </w:rPr>
              <w:t>（2）胶囊剂的制备过程、质量评价指标、滴丸基质和冷凝液选择原则</w:t>
            </w:r>
          </w:p>
        </w:tc>
        <w:tc>
          <w:tcPr>
            <w:tcW w:w="1134" w:type="dxa"/>
            <w:noWrap w:val="0"/>
            <w:vAlign w:val="top"/>
          </w:tcPr>
          <w:p>
            <w:pPr>
              <w:autoSpaceDE w:val="0"/>
              <w:autoSpaceDN w:val="0"/>
              <w:adjustRightInd w:val="0"/>
              <w:rPr>
                <w:sz w:val="21"/>
                <w:szCs w:val="21"/>
              </w:rPr>
            </w:pPr>
            <w:r>
              <w:rPr>
                <w:rFonts w:hint="eastAsia"/>
                <w:color w:val="000000"/>
                <w:sz w:val="21"/>
                <w:szCs w:val="21"/>
              </w:rPr>
              <w:t>以社会主义核心价值观为中心，深入理解专业特色，培养以严谨求实、精益求精为基石的科学精神。</w:t>
            </w:r>
          </w:p>
        </w:tc>
        <w:tc>
          <w:tcPr>
            <w:tcW w:w="2028" w:type="dxa"/>
            <w:noWrap w:val="0"/>
            <w:vAlign w:val="center"/>
          </w:tcPr>
          <w:p>
            <w:pPr>
              <w:rPr>
                <w:rFonts w:hint="eastAsia"/>
                <w:sz w:val="21"/>
                <w:szCs w:val="21"/>
              </w:rPr>
            </w:pPr>
            <w:r>
              <w:rPr>
                <w:sz w:val="21"/>
                <w:szCs w:val="21"/>
              </w:rPr>
              <w:t>（1）</w:t>
            </w:r>
            <w:r>
              <w:rPr>
                <w:rFonts w:hint="eastAsia"/>
                <w:sz w:val="21"/>
                <w:szCs w:val="21"/>
              </w:rPr>
              <w:t>掌握胶囊剂、滴丸剂的定义、特点</w:t>
            </w:r>
          </w:p>
          <w:p>
            <w:pPr>
              <w:rPr>
                <w:rFonts w:hint="eastAsia"/>
                <w:sz w:val="21"/>
                <w:szCs w:val="21"/>
              </w:rPr>
            </w:pPr>
            <w:r>
              <w:rPr>
                <w:rFonts w:hint="eastAsia"/>
                <w:sz w:val="21"/>
                <w:szCs w:val="21"/>
              </w:rPr>
              <w:t>（2）掌握硬胶囊剂、软胶囊剂及滴丸剂处方的组成</w:t>
            </w:r>
          </w:p>
          <w:p>
            <w:pPr>
              <w:rPr>
                <w:sz w:val="21"/>
                <w:szCs w:val="21"/>
              </w:rPr>
            </w:pPr>
            <w:r>
              <w:rPr>
                <w:rFonts w:hint="eastAsia"/>
                <w:sz w:val="21"/>
                <w:szCs w:val="21"/>
              </w:rPr>
              <w:t>（3）掌握硬胶囊剂和滴丸剂的制备工艺流程</w:t>
            </w:r>
          </w:p>
          <w:p>
            <w:pPr>
              <w:rPr>
                <w:rFonts w:hint="eastAsia"/>
                <w:sz w:val="21"/>
                <w:szCs w:val="21"/>
              </w:rPr>
            </w:pPr>
            <w:r>
              <w:rPr>
                <w:rFonts w:hint="eastAsia"/>
                <w:sz w:val="21"/>
                <w:szCs w:val="21"/>
              </w:rPr>
              <w:t>（4）熟悉硬胶囊剂和滴丸剂的质量检查方法</w:t>
            </w:r>
          </w:p>
        </w:tc>
        <w:tc>
          <w:tcPr>
            <w:tcW w:w="699" w:type="dxa"/>
            <w:noWrap w:val="0"/>
            <w:vAlign w:val="center"/>
          </w:tcPr>
          <w:p>
            <w:pPr>
              <w:jc w:val="center"/>
              <w:rPr>
                <w:sz w:val="21"/>
                <w:szCs w:val="21"/>
              </w:rPr>
            </w:pPr>
            <w:r>
              <w:rPr>
                <w:sz w:val="21"/>
                <w:szCs w:val="21"/>
              </w:rPr>
              <w:t>2</w:t>
            </w:r>
            <w:r>
              <w:rPr>
                <w:rFonts w:hint="eastAsia"/>
                <w:sz w:val="21"/>
                <w:szCs w:val="21"/>
              </w:rPr>
              <w:t>（讲授）</w:t>
            </w:r>
          </w:p>
        </w:tc>
        <w:tc>
          <w:tcPr>
            <w:tcW w:w="975" w:type="dxa"/>
            <w:noWrap w:val="0"/>
            <w:vAlign w:val="center"/>
          </w:tcPr>
          <w:p>
            <w:pPr>
              <w:rPr>
                <w:sz w:val="21"/>
                <w:szCs w:val="21"/>
              </w:rPr>
            </w:pPr>
            <w:r>
              <w:rPr>
                <w:sz w:val="21"/>
                <w:szCs w:val="21"/>
              </w:rPr>
              <w:t>讲授/讨论/实例教学等</w:t>
            </w:r>
          </w:p>
        </w:tc>
        <w:tc>
          <w:tcPr>
            <w:tcW w:w="925" w:type="dxa"/>
            <w:noWrap w:val="0"/>
            <w:vAlign w:val="center"/>
          </w:tcPr>
          <w:p>
            <w:pPr>
              <w:jc w:val="center"/>
              <w:rPr>
                <w:b/>
                <w:sz w:val="21"/>
                <w:szCs w:val="21"/>
              </w:rPr>
            </w:pPr>
            <w:r>
              <w:rPr>
                <w:b/>
                <w:sz w:val="21"/>
                <w:szCs w:val="21"/>
              </w:rPr>
              <w:t>目标</w:t>
            </w:r>
            <w:r>
              <w:rPr>
                <w:rFonts w:hint="eastAsia"/>
                <w:b/>
                <w:sz w:val="21"/>
                <w:szCs w:val="21"/>
              </w:rPr>
              <w:t>1</w:t>
            </w:r>
          </w:p>
          <w:p>
            <w:pPr>
              <w:jc w:val="center"/>
              <w:rPr>
                <w:sz w:val="21"/>
                <w:szCs w:val="21"/>
              </w:rPr>
            </w:pPr>
            <w:r>
              <w:rPr>
                <w:rFonts w:hint="eastAsia"/>
                <w:b/>
                <w:sz w:val="21"/>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hint="eastAsia"/>
                <w:sz w:val="21"/>
                <w:szCs w:val="21"/>
              </w:rPr>
            </w:pPr>
            <w:r>
              <w:rPr>
                <w:rFonts w:hint="eastAsia"/>
                <w:sz w:val="21"/>
                <w:szCs w:val="21"/>
              </w:rPr>
              <w:t>6</w:t>
            </w:r>
          </w:p>
        </w:tc>
        <w:tc>
          <w:tcPr>
            <w:tcW w:w="2632" w:type="dxa"/>
            <w:noWrap w:val="0"/>
            <w:vAlign w:val="center"/>
          </w:tcPr>
          <w:p>
            <w:pPr>
              <w:rPr>
                <w:b/>
                <w:sz w:val="21"/>
                <w:szCs w:val="21"/>
              </w:rPr>
            </w:pPr>
            <w:r>
              <w:rPr>
                <w:rFonts w:hint="eastAsia"/>
                <w:b/>
                <w:sz w:val="21"/>
                <w:szCs w:val="21"/>
              </w:rPr>
              <w:t>半固体制剂：</w:t>
            </w:r>
          </w:p>
          <w:p>
            <w:pPr>
              <w:rPr>
                <w:rFonts w:hint="eastAsia"/>
                <w:sz w:val="21"/>
                <w:szCs w:val="21"/>
              </w:rPr>
            </w:pPr>
            <w:r>
              <w:rPr>
                <w:sz w:val="21"/>
                <w:szCs w:val="21"/>
              </w:rPr>
              <w:t>（1）</w:t>
            </w:r>
            <w:r>
              <w:rPr>
                <w:rFonts w:hint="eastAsia"/>
                <w:sz w:val="21"/>
                <w:szCs w:val="21"/>
              </w:rPr>
              <w:t>软膏剂</w:t>
            </w:r>
          </w:p>
          <w:p>
            <w:pPr>
              <w:rPr>
                <w:rFonts w:hint="eastAsia"/>
                <w:sz w:val="21"/>
                <w:szCs w:val="21"/>
              </w:rPr>
            </w:pPr>
            <w:r>
              <w:rPr>
                <w:sz w:val="21"/>
                <w:szCs w:val="21"/>
              </w:rPr>
              <w:t>（2）</w:t>
            </w:r>
            <w:r>
              <w:rPr>
                <w:rFonts w:hint="eastAsia"/>
                <w:sz w:val="21"/>
                <w:szCs w:val="21"/>
              </w:rPr>
              <w:t>栓剂</w:t>
            </w:r>
          </w:p>
          <w:p>
            <w:pPr>
              <w:rPr>
                <w:rFonts w:hint="eastAsia"/>
                <w:b/>
                <w:bCs/>
                <w:color w:val="000000"/>
                <w:sz w:val="21"/>
                <w:szCs w:val="21"/>
              </w:rPr>
            </w:pPr>
            <w:r>
              <w:rPr>
                <w:b/>
                <w:bCs/>
                <w:color w:val="000000"/>
                <w:sz w:val="21"/>
                <w:szCs w:val="21"/>
              </w:rPr>
              <w:t>重</w:t>
            </w:r>
            <w:r>
              <w:rPr>
                <w:rFonts w:hint="eastAsia"/>
                <w:b/>
                <w:bCs/>
                <w:color w:val="000000"/>
                <w:sz w:val="21"/>
                <w:szCs w:val="21"/>
              </w:rPr>
              <w:t>点</w:t>
            </w:r>
            <w:r>
              <w:rPr>
                <w:b/>
                <w:bCs/>
                <w:color w:val="000000"/>
                <w:sz w:val="21"/>
                <w:szCs w:val="21"/>
              </w:rPr>
              <w:t>难点</w:t>
            </w:r>
            <w:r>
              <w:rPr>
                <w:rFonts w:hint="eastAsia"/>
                <w:b/>
                <w:bCs/>
                <w:color w:val="000000"/>
                <w:sz w:val="21"/>
                <w:szCs w:val="21"/>
              </w:rPr>
              <w:t>：</w:t>
            </w:r>
          </w:p>
          <w:p>
            <w:pPr>
              <w:rPr>
                <w:rFonts w:hint="eastAsia" w:ascii="Arial" w:hAnsi="Arial" w:cs="Arial"/>
                <w:color w:val="333333"/>
                <w:sz w:val="21"/>
                <w:szCs w:val="21"/>
              </w:rPr>
            </w:pPr>
            <w:r>
              <w:rPr>
                <w:rFonts w:hint="eastAsia"/>
                <w:color w:val="000000"/>
                <w:sz w:val="21"/>
                <w:szCs w:val="21"/>
              </w:rPr>
              <w:t>（1）软膏剂和栓剂的特点、组成及制备</w:t>
            </w:r>
          </w:p>
          <w:p>
            <w:pPr>
              <w:rPr>
                <w:rFonts w:hint="eastAsia" w:ascii="Arial" w:hAnsi="Arial" w:cs="Arial"/>
                <w:color w:val="333333"/>
                <w:sz w:val="21"/>
                <w:szCs w:val="21"/>
              </w:rPr>
            </w:pPr>
            <w:r>
              <w:rPr>
                <w:rFonts w:hint="eastAsia" w:ascii="Arial" w:hAnsi="Arial" w:cs="Arial"/>
                <w:color w:val="333333"/>
                <w:sz w:val="21"/>
                <w:szCs w:val="21"/>
              </w:rPr>
              <w:t>（</w:t>
            </w:r>
            <w:r>
              <w:rPr>
                <w:rFonts w:hint="eastAsia"/>
                <w:color w:val="000000"/>
                <w:sz w:val="21"/>
                <w:szCs w:val="21"/>
              </w:rPr>
              <w:t>2</w:t>
            </w:r>
            <w:r>
              <w:rPr>
                <w:rFonts w:hint="eastAsia" w:ascii="Arial" w:hAnsi="Arial" w:cs="Arial"/>
                <w:color w:val="333333"/>
                <w:sz w:val="21"/>
                <w:szCs w:val="21"/>
              </w:rPr>
              <w:t>）软膏剂基质的分类、栓剂置换价的计算</w:t>
            </w:r>
          </w:p>
        </w:tc>
        <w:tc>
          <w:tcPr>
            <w:tcW w:w="1134" w:type="dxa"/>
            <w:noWrap w:val="0"/>
            <w:vAlign w:val="top"/>
          </w:tcPr>
          <w:p>
            <w:pPr>
              <w:autoSpaceDE w:val="0"/>
              <w:autoSpaceDN w:val="0"/>
              <w:adjustRightInd w:val="0"/>
              <w:rPr>
                <w:sz w:val="21"/>
                <w:szCs w:val="21"/>
              </w:rPr>
            </w:pPr>
            <w:r>
              <w:rPr>
                <w:rFonts w:hint="eastAsia"/>
                <w:color w:val="000000"/>
                <w:sz w:val="21"/>
                <w:szCs w:val="21"/>
              </w:rPr>
              <w:t>以社会主义核心价值观为中心，深入理解专业特色，培养以严谨求实、精益求精为基石的科学精神。</w:t>
            </w:r>
          </w:p>
        </w:tc>
        <w:tc>
          <w:tcPr>
            <w:tcW w:w="2028" w:type="dxa"/>
            <w:noWrap w:val="0"/>
            <w:vAlign w:val="center"/>
          </w:tcPr>
          <w:p>
            <w:pPr>
              <w:rPr>
                <w:rFonts w:hint="eastAsia"/>
                <w:sz w:val="21"/>
                <w:szCs w:val="21"/>
              </w:rPr>
            </w:pPr>
            <w:r>
              <w:rPr>
                <w:sz w:val="21"/>
                <w:szCs w:val="21"/>
              </w:rPr>
              <w:t>（1）</w:t>
            </w:r>
            <w:r>
              <w:rPr>
                <w:rFonts w:hint="eastAsia"/>
                <w:sz w:val="21"/>
                <w:szCs w:val="21"/>
              </w:rPr>
              <w:t>掌握软膏剂、栓剂的定义、特点</w:t>
            </w:r>
          </w:p>
          <w:p>
            <w:pPr>
              <w:rPr>
                <w:rFonts w:hint="eastAsia" w:ascii="Arial" w:hAnsi="Arial" w:cs="Arial"/>
                <w:color w:val="333333"/>
                <w:sz w:val="21"/>
                <w:szCs w:val="21"/>
              </w:rPr>
            </w:pPr>
            <w:r>
              <w:rPr>
                <w:sz w:val="21"/>
                <w:szCs w:val="21"/>
              </w:rPr>
              <w:t>（2）</w:t>
            </w:r>
            <w:r>
              <w:rPr>
                <w:rFonts w:hint="eastAsia"/>
                <w:sz w:val="21"/>
                <w:szCs w:val="21"/>
              </w:rPr>
              <w:t>掌握软膏剂和栓剂处方组成</w:t>
            </w:r>
          </w:p>
          <w:p>
            <w:pPr>
              <w:rPr>
                <w:rFonts w:hint="eastAsia"/>
                <w:sz w:val="21"/>
                <w:szCs w:val="21"/>
              </w:rPr>
            </w:pPr>
            <w:r>
              <w:rPr>
                <w:rFonts w:hint="eastAsia" w:ascii="Arial" w:hAnsi="Arial" w:cs="Arial"/>
                <w:color w:val="333333"/>
                <w:sz w:val="21"/>
                <w:szCs w:val="21"/>
              </w:rPr>
              <w:t>（</w:t>
            </w:r>
            <w:r>
              <w:rPr>
                <w:rFonts w:hint="eastAsia"/>
                <w:sz w:val="21"/>
                <w:szCs w:val="21"/>
              </w:rPr>
              <w:t>3）了解软膏剂和栓剂的制备工艺及质量检查方法</w:t>
            </w:r>
          </w:p>
        </w:tc>
        <w:tc>
          <w:tcPr>
            <w:tcW w:w="699" w:type="dxa"/>
            <w:noWrap w:val="0"/>
            <w:vAlign w:val="center"/>
          </w:tcPr>
          <w:p>
            <w:pPr>
              <w:jc w:val="center"/>
              <w:rPr>
                <w:sz w:val="21"/>
                <w:szCs w:val="21"/>
              </w:rPr>
            </w:pPr>
            <w:r>
              <w:rPr>
                <w:sz w:val="21"/>
                <w:szCs w:val="21"/>
              </w:rPr>
              <w:t>2</w:t>
            </w:r>
            <w:r>
              <w:rPr>
                <w:rFonts w:hint="eastAsia"/>
                <w:sz w:val="21"/>
                <w:szCs w:val="21"/>
              </w:rPr>
              <w:t>（讲授）</w:t>
            </w:r>
          </w:p>
        </w:tc>
        <w:tc>
          <w:tcPr>
            <w:tcW w:w="975" w:type="dxa"/>
            <w:noWrap w:val="0"/>
            <w:vAlign w:val="center"/>
          </w:tcPr>
          <w:p>
            <w:pPr>
              <w:rPr>
                <w:sz w:val="21"/>
                <w:szCs w:val="21"/>
              </w:rPr>
            </w:pPr>
            <w:r>
              <w:rPr>
                <w:sz w:val="21"/>
                <w:szCs w:val="21"/>
              </w:rPr>
              <w:t>讲授/讨论/实例教学等</w:t>
            </w:r>
          </w:p>
        </w:tc>
        <w:tc>
          <w:tcPr>
            <w:tcW w:w="925" w:type="dxa"/>
            <w:noWrap w:val="0"/>
            <w:vAlign w:val="center"/>
          </w:tcPr>
          <w:p>
            <w:pPr>
              <w:jc w:val="center"/>
              <w:rPr>
                <w:b/>
                <w:sz w:val="21"/>
                <w:szCs w:val="21"/>
              </w:rPr>
            </w:pPr>
            <w:r>
              <w:rPr>
                <w:b/>
                <w:sz w:val="21"/>
                <w:szCs w:val="21"/>
              </w:rPr>
              <w:t>目标</w:t>
            </w:r>
            <w:r>
              <w:rPr>
                <w:rFonts w:hint="eastAsia"/>
                <w:b/>
                <w:sz w:val="21"/>
                <w:szCs w:val="21"/>
              </w:rPr>
              <w:t>1</w:t>
            </w:r>
          </w:p>
          <w:p>
            <w:pPr>
              <w:jc w:val="center"/>
              <w:rPr>
                <w:sz w:val="21"/>
                <w:szCs w:val="21"/>
              </w:rPr>
            </w:pPr>
            <w:r>
              <w:rPr>
                <w:rFonts w:hint="eastAsia"/>
                <w:b/>
                <w:sz w:val="21"/>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hint="eastAsia"/>
                <w:sz w:val="21"/>
                <w:szCs w:val="21"/>
              </w:rPr>
            </w:pPr>
            <w:r>
              <w:rPr>
                <w:rFonts w:hint="eastAsia"/>
                <w:sz w:val="21"/>
                <w:szCs w:val="21"/>
              </w:rPr>
              <w:t>7</w:t>
            </w:r>
          </w:p>
        </w:tc>
        <w:tc>
          <w:tcPr>
            <w:tcW w:w="2632" w:type="dxa"/>
            <w:noWrap w:val="0"/>
            <w:vAlign w:val="center"/>
          </w:tcPr>
          <w:p>
            <w:pPr>
              <w:rPr>
                <w:b/>
                <w:sz w:val="21"/>
                <w:szCs w:val="21"/>
              </w:rPr>
            </w:pPr>
            <w:r>
              <w:rPr>
                <w:rFonts w:hint="eastAsia"/>
                <w:b/>
                <w:sz w:val="21"/>
                <w:szCs w:val="21"/>
              </w:rPr>
              <w:t>浸出技术与中药制剂：</w:t>
            </w:r>
          </w:p>
          <w:p>
            <w:pPr>
              <w:rPr>
                <w:rFonts w:hint="eastAsia"/>
                <w:sz w:val="21"/>
                <w:szCs w:val="21"/>
              </w:rPr>
            </w:pPr>
            <w:r>
              <w:rPr>
                <w:sz w:val="21"/>
                <w:szCs w:val="21"/>
              </w:rPr>
              <w:t>（1）</w:t>
            </w:r>
            <w:r>
              <w:rPr>
                <w:rFonts w:hint="eastAsia"/>
                <w:sz w:val="21"/>
                <w:szCs w:val="21"/>
              </w:rPr>
              <w:t>浸出操作与设备</w:t>
            </w:r>
          </w:p>
          <w:p>
            <w:pPr>
              <w:rPr>
                <w:sz w:val="21"/>
                <w:szCs w:val="21"/>
              </w:rPr>
            </w:pPr>
            <w:r>
              <w:rPr>
                <w:sz w:val="21"/>
                <w:szCs w:val="21"/>
              </w:rPr>
              <w:t>（2）</w:t>
            </w:r>
            <w:r>
              <w:rPr>
                <w:rFonts w:hint="eastAsia"/>
                <w:sz w:val="21"/>
                <w:szCs w:val="21"/>
              </w:rPr>
              <w:t>常用的浸出制剂</w:t>
            </w:r>
          </w:p>
          <w:p>
            <w:pPr>
              <w:rPr>
                <w:rFonts w:hint="eastAsia"/>
                <w:sz w:val="21"/>
                <w:szCs w:val="21"/>
              </w:rPr>
            </w:pPr>
            <w:r>
              <w:rPr>
                <w:rFonts w:hint="eastAsia"/>
                <w:sz w:val="21"/>
                <w:szCs w:val="21"/>
              </w:rPr>
              <w:t>（3）浸出制剂的质量</w:t>
            </w:r>
          </w:p>
          <w:p>
            <w:pPr>
              <w:rPr>
                <w:rFonts w:hint="eastAsia"/>
                <w:b/>
                <w:bCs/>
                <w:color w:val="000000"/>
                <w:sz w:val="21"/>
                <w:szCs w:val="21"/>
              </w:rPr>
            </w:pPr>
            <w:r>
              <w:rPr>
                <w:b/>
                <w:bCs/>
                <w:color w:val="000000"/>
                <w:sz w:val="21"/>
                <w:szCs w:val="21"/>
              </w:rPr>
              <w:t>重</w:t>
            </w:r>
            <w:r>
              <w:rPr>
                <w:rFonts w:hint="eastAsia"/>
                <w:b/>
                <w:bCs/>
                <w:color w:val="000000"/>
                <w:sz w:val="21"/>
                <w:szCs w:val="21"/>
              </w:rPr>
              <w:t>点</w:t>
            </w:r>
            <w:r>
              <w:rPr>
                <w:b/>
                <w:bCs/>
                <w:color w:val="000000"/>
                <w:sz w:val="21"/>
                <w:szCs w:val="21"/>
              </w:rPr>
              <w:t>难点</w:t>
            </w:r>
            <w:r>
              <w:rPr>
                <w:rFonts w:hint="eastAsia"/>
                <w:b/>
                <w:bCs/>
                <w:color w:val="000000"/>
                <w:sz w:val="21"/>
                <w:szCs w:val="21"/>
              </w:rPr>
              <w:t>：</w:t>
            </w:r>
          </w:p>
          <w:p>
            <w:pPr>
              <w:rPr>
                <w:rFonts w:hint="eastAsia"/>
                <w:sz w:val="21"/>
                <w:szCs w:val="21"/>
              </w:rPr>
            </w:pPr>
            <w:r>
              <w:rPr>
                <w:rFonts w:hint="eastAsia"/>
                <w:sz w:val="21"/>
                <w:szCs w:val="21"/>
              </w:rPr>
              <w:t>（1）浸出制剂的特点及浸出过程</w:t>
            </w:r>
          </w:p>
        </w:tc>
        <w:tc>
          <w:tcPr>
            <w:tcW w:w="1134" w:type="dxa"/>
            <w:noWrap w:val="0"/>
            <w:vAlign w:val="top"/>
          </w:tcPr>
          <w:p>
            <w:pPr>
              <w:autoSpaceDE w:val="0"/>
              <w:autoSpaceDN w:val="0"/>
              <w:adjustRightInd w:val="0"/>
              <w:rPr>
                <w:sz w:val="21"/>
                <w:szCs w:val="21"/>
              </w:rPr>
            </w:pPr>
            <w:r>
              <w:rPr>
                <w:rFonts w:hint="eastAsia"/>
                <w:color w:val="000000"/>
                <w:sz w:val="21"/>
                <w:szCs w:val="21"/>
              </w:rPr>
              <w:t>以社会主义核心价值观为中心，深入理解专业特色，培养以严谨求实、精益求精为基石的科学精神。</w:t>
            </w:r>
          </w:p>
        </w:tc>
        <w:tc>
          <w:tcPr>
            <w:tcW w:w="2028" w:type="dxa"/>
            <w:noWrap w:val="0"/>
            <w:vAlign w:val="center"/>
          </w:tcPr>
          <w:p>
            <w:pPr>
              <w:rPr>
                <w:sz w:val="21"/>
                <w:szCs w:val="21"/>
              </w:rPr>
            </w:pPr>
            <w:r>
              <w:rPr>
                <w:sz w:val="21"/>
                <w:szCs w:val="21"/>
              </w:rPr>
              <w:t>（1）</w:t>
            </w:r>
            <w:r>
              <w:rPr>
                <w:rFonts w:hint="eastAsia"/>
                <w:sz w:val="21"/>
                <w:szCs w:val="21"/>
              </w:rPr>
              <w:t>掌握浸出制剂的特点和分类</w:t>
            </w:r>
          </w:p>
          <w:p>
            <w:pPr>
              <w:rPr>
                <w:sz w:val="21"/>
                <w:szCs w:val="21"/>
              </w:rPr>
            </w:pPr>
            <w:r>
              <w:rPr>
                <w:rFonts w:hint="eastAsia"/>
                <w:sz w:val="21"/>
                <w:szCs w:val="21"/>
              </w:rPr>
              <w:t>（2）掌握浸出过程及影响浸出的因素、浸出方法及设备</w:t>
            </w:r>
          </w:p>
          <w:p>
            <w:pPr>
              <w:rPr>
                <w:rFonts w:hint="eastAsia"/>
                <w:sz w:val="21"/>
                <w:szCs w:val="21"/>
              </w:rPr>
            </w:pPr>
            <w:r>
              <w:rPr>
                <w:rFonts w:hint="eastAsia"/>
                <w:sz w:val="21"/>
                <w:szCs w:val="21"/>
              </w:rPr>
              <w:t>（3）熟悉常用的浸出制剂</w:t>
            </w:r>
          </w:p>
        </w:tc>
        <w:tc>
          <w:tcPr>
            <w:tcW w:w="699" w:type="dxa"/>
            <w:noWrap w:val="0"/>
            <w:vAlign w:val="center"/>
          </w:tcPr>
          <w:p>
            <w:pPr>
              <w:jc w:val="center"/>
              <w:rPr>
                <w:sz w:val="21"/>
                <w:szCs w:val="21"/>
              </w:rPr>
            </w:pPr>
            <w:r>
              <w:rPr>
                <w:sz w:val="21"/>
                <w:szCs w:val="21"/>
              </w:rPr>
              <w:t>2</w:t>
            </w:r>
            <w:r>
              <w:rPr>
                <w:rFonts w:hint="eastAsia"/>
                <w:sz w:val="21"/>
                <w:szCs w:val="21"/>
              </w:rPr>
              <w:t>（讲授）</w:t>
            </w:r>
          </w:p>
        </w:tc>
        <w:tc>
          <w:tcPr>
            <w:tcW w:w="975" w:type="dxa"/>
            <w:noWrap w:val="0"/>
            <w:vAlign w:val="center"/>
          </w:tcPr>
          <w:p>
            <w:pPr>
              <w:rPr>
                <w:sz w:val="21"/>
                <w:szCs w:val="21"/>
              </w:rPr>
            </w:pPr>
            <w:r>
              <w:rPr>
                <w:sz w:val="21"/>
                <w:szCs w:val="21"/>
              </w:rPr>
              <w:t>讲授/讨论/实例教学等</w:t>
            </w:r>
          </w:p>
        </w:tc>
        <w:tc>
          <w:tcPr>
            <w:tcW w:w="925" w:type="dxa"/>
            <w:noWrap w:val="0"/>
            <w:vAlign w:val="center"/>
          </w:tcPr>
          <w:p>
            <w:pPr>
              <w:jc w:val="center"/>
              <w:rPr>
                <w:b/>
                <w:sz w:val="21"/>
                <w:szCs w:val="21"/>
              </w:rPr>
            </w:pPr>
            <w:r>
              <w:rPr>
                <w:b/>
                <w:sz w:val="21"/>
                <w:szCs w:val="21"/>
              </w:rPr>
              <w:t>目标</w:t>
            </w:r>
            <w:r>
              <w:rPr>
                <w:rFonts w:hint="eastAsia"/>
                <w:b/>
                <w:sz w:val="21"/>
                <w:szCs w:val="21"/>
              </w:rPr>
              <w:t>1</w:t>
            </w:r>
          </w:p>
          <w:p>
            <w:pPr>
              <w:jc w:val="center"/>
              <w:rPr>
                <w:sz w:val="21"/>
                <w:szCs w:val="21"/>
              </w:rPr>
            </w:pPr>
            <w:r>
              <w:rPr>
                <w:rFonts w:hint="eastAsia"/>
                <w:b/>
                <w:sz w:val="21"/>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hint="eastAsia"/>
                <w:sz w:val="21"/>
                <w:szCs w:val="21"/>
              </w:rPr>
            </w:pPr>
            <w:r>
              <w:rPr>
                <w:rFonts w:hint="eastAsia"/>
                <w:sz w:val="21"/>
                <w:szCs w:val="21"/>
              </w:rPr>
              <w:t>8</w:t>
            </w:r>
          </w:p>
        </w:tc>
        <w:tc>
          <w:tcPr>
            <w:tcW w:w="2632" w:type="dxa"/>
            <w:noWrap w:val="0"/>
            <w:vAlign w:val="center"/>
          </w:tcPr>
          <w:p>
            <w:pPr>
              <w:rPr>
                <w:b/>
                <w:sz w:val="21"/>
                <w:szCs w:val="21"/>
              </w:rPr>
            </w:pPr>
            <w:r>
              <w:rPr>
                <w:rFonts w:hint="eastAsia"/>
                <w:b/>
                <w:sz w:val="21"/>
                <w:szCs w:val="21"/>
              </w:rPr>
              <w:t>药物制剂的稳定性：</w:t>
            </w:r>
          </w:p>
          <w:p>
            <w:pPr>
              <w:pStyle w:val="5"/>
              <w:ind w:firstLine="0" w:firstLineChars="0"/>
              <w:rPr>
                <w:rFonts w:hint="eastAsia" w:ascii="Times New Roman" w:hAnsi="Times New Roman"/>
                <w:sz w:val="21"/>
                <w:szCs w:val="21"/>
              </w:rPr>
            </w:pPr>
            <w:r>
              <w:rPr>
                <w:sz w:val="21"/>
                <w:szCs w:val="21"/>
              </w:rPr>
              <w:t>（1）</w:t>
            </w:r>
            <w:r>
              <w:rPr>
                <w:rFonts w:hint="eastAsia"/>
                <w:sz w:val="21"/>
                <w:szCs w:val="21"/>
              </w:rPr>
              <w:t>影响药物制剂稳定性的因素</w:t>
            </w:r>
          </w:p>
          <w:p>
            <w:pPr>
              <w:pStyle w:val="5"/>
              <w:ind w:firstLine="0" w:firstLineChars="0"/>
              <w:rPr>
                <w:rFonts w:hint="eastAsia"/>
                <w:sz w:val="21"/>
                <w:szCs w:val="21"/>
              </w:rPr>
            </w:pPr>
            <w:r>
              <w:rPr>
                <w:sz w:val="21"/>
                <w:szCs w:val="21"/>
              </w:rPr>
              <w:t>（2）</w:t>
            </w:r>
            <w:r>
              <w:rPr>
                <w:rFonts w:hint="eastAsia"/>
                <w:sz w:val="21"/>
                <w:szCs w:val="21"/>
              </w:rPr>
              <w:t>稳定性的试验方法和药物制剂有效期的分析计算</w:t>
            </w:r>
          </w:p>
          <w:p>
            <w:pPr>
              <w:rPr>
                <w:rFonts w:hint="eastAsia"/>
                <w:b/>
                <w:bCs/>
                <w:color w:val="000000"/>
                <w:sz w:val="21"/>
                <w:szCs w:val="21"/>
              </w:rPr>
            </w:pPr>
            <w:r>
              <w:rPr>
                <w:b/>
                <w:bCs/>
                <w:color w:val="000000"/>
                <w:sz w:val="21"/>
                <w:szCs w:val="21"/>
              </w:rPr>
              <w:t>重</w:t>
            </w:r>
            <w:r>
              <w:rPr>
                <w:rFonts w:hint="eastAsia"/>
                <w:b/>
                <w:bCs/>
                <w:color w:val="000000"/>
                <w:sz w:val="21"/>
                <w:szCs w:val="21"/>
              </w:rPr>
              <w:t>点</w:t>
            </w:r>
            <w:r>
              <w:rPr>
                <w:b/>
                <w:bCs/>
                <w:color w:val="000000"/>
                <w:sz w:val="21"/>
                <w:szCs w:val="21"/>
              </w:rPr>
              <w:t>难点</w:t>
            </w:r>
            <w:r>
              <w:rPr>
                <w:rFonts w:hint="eastAsia"/>
                <w:b/>
                <w:bCs/>
                <w:color w:val="000000"/>
                <w:sz w:val="21"/>
                <w:szCs w:val="21"/>
              </w:rPr>
              <w:t>：</w:t>
            </w:r>
          </w:p>
          <w:p>
            <w:pPr>
              <w:rPr>
                <w:rFonts w:hint="eastAsia"/>
                <w:sz w:val="21"/>
                <w:szCs w:val="21"/>
              </w:rPr>
            </w:pPr>
            <w:r>
              <w:rPr>
                <w:rFonts w:hint="eastAsia"/>
                <w:color w:val="000000"/>
                <w:sz w:val="21"/>
                <w:szCs w:val="21"/>
              </w:rPr>
              <w:t>（1）</w:t>
            </w:r>
            <w:r>
              <w:rPr>
                <w:rFonts w:hint="eastAsia"/>
                <w:sz w:val="21"/>
                <w:szCs w:val="21"/>
              </w:rPr>
              <w:t>有效期的分析计算</w:t>
            </w:r>
          </w:p>
        </w:tc>
        <w:tc>
          <w:tcPr>
            <w:tcW w:w="1134" w:type="dxa"/>
            <w:noWrap w:val="0"/>
            <w:vAlign w:val="top"/>
          </w:tcPr>
          <w:p>
            <w:pPr>
              <w:autoSpaceDE w:val="0"/>
              <w:autoSpaceDN w:val="0"/>
              <w:adjustRightInd w:val="0"/>
              <w:rPr>
                <w:sz w:val="21"/>
                <w:szCs w:val="21"/>
              </w:rPr>
            </w:pPr>
            <w:r>
              <w:rPr>
                <w:rFonts w:hint="eastAsia"/>
                <w:color w:val="000000"/>
                <w:sz w:val="21"/>
                <w:szCs w:val="21"/>
              </w:rPr>
              <w:t>以社会主义核心价值观为中心，深入理解专业特色，培养以严谨求实、精益求精为基石的科学精神。</w:t>
            </w:r>
          </w:p>
        </w:tc>
        <w:tc>
          <w:tcPr>
            <w:tcW w:w="2028" w:type="dxa"/>
            <w:noWrap w:val="0"/>
            <w:vAlign w:val="center"/>
          </w:tcPr>
          <w:p>
            <w:pPr>
              <w:rPr>
                <w:rFonts w:hint="eastAsia"/>
                <w:sz w:val="21"/>
                <w:szCs w:val="21"/>
              </w:rPr>
            </w:pPr>
            <w:r>
              <w:rPr>
                <w:sz w:val="21"/>
                <w:szCs w:val="21"/>
              </w:rPr>
              <w:t>（1）</w:t>
            </w:r>
            <w:r>
              <w:rPr>
                <w:rFonts w:hint="eastAsia"/>
                <w:sz w:val="21"/>
                <w:szCs w:val="21"/>
              </w:rPr>
              <w:t>了解药物制剂稳定性研究的意义</w:t>
            </w:r>
          </w:p>
          <w:p>
            <w:pPr>
              <w:rPr>
                <w:sz w:val="21"/>
                <w:szCs w:val="21"/>
              </w:rPr>
            </w:pPr>
            <w:r>
              <w:rPr>
                <w:sz w:val="21"/>
                <w:szCs w:val="21"/>
              </w:rPr>
              <w:t>（2）</w:t>
            </w:r>
            <w:r>
              <w:rPr>
                <w:rFonts w:hint="eastAsia"/>
                <w:sz w:val="21"/>
                <w:szCs w:val="21"/>
              </w:rPr>
              <w:t>掌握影响药物制剂稳定性的因素</w:t>
            </w:r>
          </w:p>
          <w:p>
            <w:pPr>
              <w:rPr>
                <w:sz w:val="21"/>
                <w:szCs w:val="21"/>
              </w:rPr>
            </w:pPr>
            <w:r>
              <w:rPr>
                <w:rFonts w:hint="eastAsia"/>
                <w:sz w:val="21"/>
                <w:szCs w:val="21"/>
              </w:rPr>
              <w:t>（3）掌握提高药物制剂稳定性的方法</w:t>
            </w:r>
          </w:p>
          <w:p>
            <w:pPr>
              <w:rPr>
                <w:sz w:val="21"/>
                <w:szCs w:val="21"/>
              </w:rPr>
            </w:pPr>
            <w:r>
              <w:rPr>
                <w:rFonts w:hint="eastAsia"/>
                <w:sz w:val="21"/>
                <w:szCs w:val="21"/>
              </w:rPr>
              <w:t>（4）了解稳定性试验的方法</w:t>
            </w:r>
          </w:p>
          <w:p>
            <w:pPr>
              <w:rPr>
                <w:rFonts w:hint="eastAsia"/>
                <w:sz w:val="21"/>
                <w:szCs w:val="21"/>
              </w:rPr>
            </w:pPr>
            <w:r>
              <w:rPr>
                <w:rFonts w:hint="eastAsia"/>
                <w:sz w:val="21"/>
                <w:szCs w:val="21"/>
              </w:rPr>
              <w:t>（5）计算药物的有效期</w:t>
            </w:r>
          </w:p>
        </w:tc>
        <w:tc>
          <w:tcPr>
            <w:tcW w:w="699" w:type="dxa"/>
            <w:noWrap w:val="0"/>
            <w:vAlign w:val="center"/>
          </w:tcPr>
          <w:p>
            <w:pPr>
              <w:jc w:val="center"/>
              <w:rPr>
                <w:sz w:val="21"/>
                <w:szCs w:val="21"/>
              </w:rPr>
            </w:pPr>
            <w:r>
              <w:rPr>
                <w:sz w:val="21"/>
                <w:szCs w:val="21"/>
              </w:rPr>
              <w:t>2</w:t>
            </w:r>
            <w:r>
              <w:rPr>
                <w:rFonts w:hint="eastAsia"/>
                <w:sz w:val="21"/>
                <w:szCs w:val="21"/>
              </w:rPr>
              <w:t>（讲授）</w:t>
            </w:r>
          </w:p>
        </w:tc>
        <w:tc>
          <w:tcPr>
            <w:tcW w:w="975" w:type="dxa"/>
            <w:noWrap w:val="0"/>
            <w:vAlign w:val="center"/>
          </w:tcPr>
          <w:p>
            <w:pPr>
              <w:rPr>
                <w:sz w:val="21"/>
                <w:szCs w:val="21"/>
              </w:rPr>
            </w:pPr>
            <w:r>
              <w:rPr>
                <w:sz w:val="21"/>
                <w:szCs w:val="21"/>
              </w:rPr>
              <w:t>讲授/讨论/实例教学等</w:t>
            </w:r>
          </w:p>
        </w:tc>
        <w:tc>
          <w:tcPr>
            <w:tcW w:w="925" w:type="dxa"/>
            <w:noWrap w:val="0"/>
            <w:vAlign w:val="center"/>
          </w:tcPr>
          <w:p>
            <w:pPr>
              <w:jc w:val="center"/>
              <w:rPr>
                <w:b/>
                <w:sz w:val="21"/>
                <w:szCs w:val="21"/>
              </w:rPr>
            </w:pPr>
            <w:r>
              <w:rPr>
                <w:b/>
                <w:sz w:val="21"/>
                <w:szCs w:val="21"/>
              </w:rPr>
              <w:t>目标</w:t>
            </w:r>
            <w:r>
              <w:rPr>
                <w:rFonts w:hint="eastAsia"/>
                <w:b/>
                <w:sz w:val="21"/>
                <w:szCs w:val="21"/>
              </w:rPr>
              <w:t>1</w:t>
            </w:r>
          </w:p>
          <w:p>
            <w:pPr>
              <w:jc w:val="center"/>
              <w:rPr>
                <w:sz w:val="21"/>
                <w:szCs w:val="21"/>
              </w:rPr>
            </w:pPr>
            <w:r>
              <w:rPr>
                <w:rFonts w:hint="eastAsia"/>
                <w:b/>
                <w:sz w:val="21"/>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hint="eastAsia"/>
                <w:sz w:val="21"/>
                <w:szCs w:val="21"/>
              </w:rPr>
            </w:pPr>
            <w:r>
              <w:rPr>
                <w:rFonts w:hint="eastAsia"/>
                <w:sz w:val="21"/>
                <w:szCs w:val="21"/>
              </w:rPr>
              <w:t>9</w:t>
            </w:r>
          </w:p>
        </w:tc>
        <w:tc>
          <w:tcPr>
            <w:tcW w:w="2632" w:type="dxa"/>
            <w:noWrap w:val="0"/>
            <w:vAlign w:val="center"/>
          </w:tcPr>
          <w:p>
            <w:pPr>
              <w:rPr>
                <w:b/>
                <w:sz w:val="21"/>
                <w:szCs w:val="21"/>
              </w:rPr>
            </w:pPr>
            <w:r>
              <w:rPr>
                <w:rFonts w:hint="eastAsia"/>
                <w:b/>
                <w:sz w:val="21"/>
                <w:szCs w:val="21"/>
              </w:rPr>
              <w:t>制剂新技术：</w:t>
            </w:r>
          </w:p>
          <w:p>
            <w:pPr>
              <w:rPr>
                <w:rFonts w:hint="eastAsia"/>
                <w:sz w:val="21"/>
                <w:szCs w:val="21"/>
              </w:rPr>
            </w:pPr>
            <w:r>
              <w:rPr>
                <w:sz w:val="21"/>
                <w:szCs w:val="21"/>
              </w:rPr>
              <w:t>（1）</w:t>
            </w:r>
            <w:r>
              <w:rPr>
                <w:rFonts w:hint="eastAsia"/>
                <w:sz w:val="21"/>
                <w:szCs w:val="21"/>
              </w:rPr>
              <w:t>固体分散体的载体材料、制备及验证</w:t>
            </w:r>
          </w:p>
          <w:p>
            <w:pPr>
              <w:rPr>
                <w:sz w:val="21"/>
                <w:szCs w:val="21"/>
              </w:rPr>
            </w:pPr>
            <w:r>
              <w:rPr>
                <w:sz w:val="21"/>
                <w:szCs w:val="21"/>
              </w:rPr>
              <w:t>（2）</w:t>
            </w:r>
            <w:r>
              <w:rPr>
                <w:rFonts w:hint="eastAsia"/>
                <w:sz w:val="21"/>
                <w:szCs w:val="21"/>
              </w:rPr>
              <w:t>包合物的载体材料、制备及验证</w:t>
            </w:r>
          </w:p>
          <w:p>
            <w:pPr>
              <w:rPr>
                <w:rFonts w:hint="eastAsia"/>
                <w:sz w:val="21"/>
                <w:szCs w:val="21"/>
              </w:rPr>
            </w:pPr>
            <w:r>
              <w:rPr>
                <w:rFonts w:hint="eastAsia"/>
                <w:sz w:val="21"/>
                <w:szCs w:val="21"/>
              </w:rPr>
              <w:t>（3）微囊和微球的制备方法及原理</w:t>
            </w:r>
          </w:p>
          <w:p>
            <w:pPr>
              <w:rPr>
                <w:rFonts w:hint="eastAsia"/>
                <w:b/>
                <w:bCs/>
                <w:color w:val="000000"/>
                <w:sz w:val="21"/>
                <w:szCs w:val="21"/>
              </w:rPr>
            </w:pPr>
            <w:r>
              <w:rPr>
                <w:b/>
                <w:bCs/>
                <w:color w:val="000000"/>
                <w:sz w:val="21"/>
                <w:szCs w:val="21"/>
              </w:rPr>
              <w:t>重</w:t>
            </w:r>
            <w:r>
              <w:rPr>
                <w:rFonts w:hint="eastAsia"/>
                <w:b/>
                <w:bCs/>
                <w:color w:val="000000"/>
                <w:sz w:val="21"/>
                <w:szCs w:val="21"/>
              </w:rPr>
              <w:t>点</w:t>
            </w:r>
            <w:r>
              <w:rPr>
                <w:b/>
                <w:bCs/>
                <w:color w:val="000000"/>
                <w:sz w:val="21"/>
                <w:szCs w:val="21"/>
              </w:rPr>
              <w:t>难点</w:t>
            </w:r>
            <w:r>
              <w:rPr>
                <w:rFonts w:hint="eastAsia"/>
                <w:b/>
                <w:bCs/>
                <w:color w:val="000000"/>
                <w:sz w:val="21"/>
                <w:szCs w:val="21"/>
              </w:rPr>
              <w:t>：</w:t>
            </w:r>
          </w:p>
          <w:p>
            <w:pPr>
              <w:rPr>
                <w:rFonts w:hint="eastAsia"/>
                <w:sz w:val="21"/>
                <w:szCs w:val="21"/>
              </w:rPr>
            </w:pPr>
            <w:r>
              <w:rPr>
                <w:rFonts w:hint="eastAsia"/>
                <w:color w:val="000000"/>
                <w:sz w:val="21"/>
                <w:szCs w:val="21"/>
              </w:rPr>
              <w:t>（1）</w:t>
            </w:r>
            <w:r>
              <w:rPr>
                <w:rFonts w:hint="eastAsia"/>
                <w:sz w:val="21"/>
                <w:szCs w:val="21"/>
              </w:rPr>
              <w:t>固体分散体的载体和制备方法，微囊的制备方法</w:t>
            </w:r>
          </w:p>
        </w:tc>
        <w:tc>
          <w:tcPr>
            <w:tcW w:w="1134" w:type="dxa"/>
            <w:noWrap w:val="0"/>
            <w:vAlign w:val="top"/>
          </w:tcPr>
          <w:p>
            <w:pPr>
              <w:autoSpaceDE w:val="0"/>
              <w:autoSpaceDN w:val="0"/>
              <w:adjustRightInd w:val="0"/>
              <w:rPr>
                <w:sz w:val="21"/>
                <w:szCs w:val="21"/>
              </w:rPr>
            </w:pPr>
            <w:r>
              <w:rPr>
                <w:rFonts w:hint="eastAsia"/>
                <w:color w:val="000000"/>
                <w:sz w:val="21"/>
                <w:szCs w:val="21"/>
              </w:rPr>
              <w:t>以社会主义核心价值观为中心，深入理解专业特色，培养以严谨求实、精益求精为基石的科学精神。</w:t>
            </w:r>
          </w:p>
        </w:tc>
        <w:tc>
          <w:tcPr>
            <w:tcW w:w="2028" w:type="dxa"/>
            <w:noWrap w:val="0"/>
            <w:vAlign w:val="center"/>
          </w:tcPr>
          <w:p>
            <w:pPr>
              <w:rPr>
                <w:rFonts w:hint="eastAsia"/>
                <w:sz w:val="21"/>
                <w:szCs w:val="21"/>
              </w:rPr>
            </w:pPr>
            <w:r>
              <w:rPr>
                <w:sz w:val="21"/>
                <w:szCs w:val="21"/>
              </w:rPr>
              <w:t>（1）</w:t>
            </w:r>
            <w:r>
              <w:rPr>
                <w:rFonts w:hint="eastAsia"/>
                <w:sz w:val="21"/>
                <w:szCs w:val="21"/>
              </w:rPr>
              <w:t>掌握固体分散体的概念、组成及制备方法</w:t>
            </w:r>
          </w:p>
          <w:p>
            <w:pPr>
              <w:rPr>
                <w:sz w:val="21"/>
                <w:szCs w:val="21"/>
              </w:rPr>
            </w:pPr>
            <w:r>
              <w:rPr>
                <w:sz w:val="21"/>
                <w:szCs w:val="21"/>
              </w:rPr>
              <w:t>（2）</w:t>
            </w:r>
            <w:r>
              <w:rPr>
                <w:rFonts w:hint="eastAsia"/>
                <w:sz w:val="21"/>
                <w:szCs w:val="21"/>
              </w:rPr>
              <w:t>掌握包合物的概念、组成及制备方法</w:t>
            </w:r>
          </w:p>
          <w:p>
            <w:pPr>
              <w:rPr>
                <w:rFonts w:hint="eastAsia"/>
                <w:sz w:val="21"/>
                <w:szCs w:val="21"/>
              </w:rPr>
            </w:pPr>
            <w:r>
              <w:rPr>
                <w:rFonts w:hint="eastAsia"/>
                <w:sz w:val="21"/>
                <w:szCs w:val="21"/>
              </w:rPr>
              <w:t>（3）掌握微囊的概念、组成及制备方法</w:t>
            </w:r>
          </w:p>
          <w:p>
            <w:pPr>
              <w:rPr>
                <w:sz w:val="21"/>
                <w:szCs w:val="21"/>
              </w:rPr>
            </w:pPr>
          </w:p>
        </w:tc>
        <w:tc>
          <w:tcPr>
            <w:tcW w:w="699" w:type="dxa"/>
            <w:noWrap w:val="0"/>
            <w:vAlign w:val="center"/>
          </w:tcPr>
          <w:p>
            <w:pPr>
              <w:jc w:val="center"/>
              <w:rPr>
                <w:sz w:val="21"/>
                <w:szCs w:val="21"/>
              </w:rPr>
            </w:pPr>
            <w:r>
              <w:rPr>
                <w:sz w:val="21"/>
                <w:szCs w:val="21"/>
              </w:rPr>
              <w:t>2</w:t>
            </w:r>
            <w:r>
              <w:rPr>
                <w:rFonts w:hint="eastAsia"/>
                <w:sz w:val="21"/>
                <w:szCs w:val="21"/>
              </w:rPr>
              <w:t>（讲授）</w:t>
            </w:r>
          </w:p>
        </w:tc>
        <w:tc>
          <w:tcPr>
            <w:tcW w:w="975" w:type="dxa"/>
            <w:noWrap w:val="0"/>
            <w:vAlign w:val="center"/>
          </w:tcPr>
          <w:p>
            <w:pPr>
              <w:rPr>
                <w:sz w:val="21"/>
                <w:szCs w:val="21"/>
              </w:rPr>
            </w:pPr>
            <w:r>
              <w:rPr>
                <w:sz w:val="21"/>
                <w:szCs w:val="21"/>
              </w:rPr>
              <w:t>讲授/讨论/实例教学等</w:t>
            </w:r>
          </w:p>
        </w:tc>
        <w:tc>
          <w:tcPr>
            <w:tcW w:w="925" w:type="dxa"/>
            <w:noWrap w:val="0"/>
            <w:vAlign w:val="center"/>
          </w:tcPr>
          <w:p>
            <w:pPr>
              <w:jc w:val="center"/>
              <w:rPr>
                <w:b/>
                <w:sz w:val="21"/>
                <w:szCs w:val="21"/>
              </w:rPr>
            </w:pPr>
            <w:r>
              <w:rPr>
                <w:b/>
                <w:sz w:val="21"/>
                <w:szCs w:val="21"/>
              </w:rPr>
              <w:t>目标</w:t>
            </w:r>
            <w:r>
              <w:rPr>
                <w:rFonts w:hint="eastAsia"/>
                <w:b/>
                <w:sz w:val="21"/>
                <w:szCs w:val="21"/>
              </w:rPr>
              <w:t>1</w:t>
            </w:r>
          </w:p>
          <w:p>
            <w:pPr>
              <w:jc w:val="center"/>
              <w:rPr>
                <w:sz w:val="21"/>
                <w:szCs w:val="21"/>
              </w:rPr>
            </w:pPr>
            <w:r>
              <w:rPr>
                <w:rFonts w:hint="eastAsia"/>
                <w:b/>
                <w:sz w:val="21"/>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hint="eastAsia"/>
                <w:sz w:val="21"/>
                <w:szCs w:val="21"/>
              </w:rPr>
            </w:pPr>
            <w:r>
              <w:rPr>
                <w:rFonts w:hint="eastAsia"/>
                <w:sz w:val="21"/>
                <w:szCs w:val="21"/>
              </w:rPr>
              <w:t>1</w:t>
            </w:r>
            <w:r>
              <w:rPr>
                <w:sz w:val="21"/>
                <w:szCs w:val="21"/>
              </w:rPr>
              <w:t>0</w:t>
            </w:r>
          </w:p>
        </w:tc>
        <w:tc>
          <w:tcPr>
            <w:tcW w:w="2632" w:type="dxa"/>
            <w:noWrap w:val="0"/>
            <w:vAlign w:val="center"/>
          </w:tcPr>
          <w:p>
            <w:pPr>
              <w:rPr>
                <w:b/>
                <w:sz w:val="21"/>
                <w:szCs w:val="21"/>
              </w:rPr>
            </w:pPr>
            <w:r>
              <w:rPr>
                <w:rFonts w:hint="eastAsia"/>
                <w:b/>
                <w:sz w:val="21"/>
                <w:szCs w:val="21"/>
              </w:rPr>
              <w:t>缓控释制剂：</w:t>
            </w:r>
          </w:p>
          <w:p>
            <w:pPr>
              <w:rPr>
                <w:sz w:val="21"/>
                <w:szCs w:val="21"/>
              </w:rPr>
            </w:pPr>
            <w:r>
              <w:rPr>
                <w:sz w:val="21"/>
                <w:szCs w:val="21"/>
              </w:rPr>
              <w:t>（1）</w:t>
            </w:r>
            <w:r>
              <w:rPr>
                <w:rFonts w:hint="eastAsia"/>
                <w:sz w:val="21"/>
                <w:szCs w:val="21"/>
              </w:rPr>
              <w:t>缓释、控释制剂释药的制备和评价</w:t>
            </w:r>
          </w:p>
          <w:p>
            <w:pPr>
              <w:rPr>
                <w:rFonts w:hint="eastAsia"/>
                <w:bCs/>
                <w:sz w:val="21"/>
                <w:szCs w:val="21"/>
              </w:rPr>
            </w:pPr>
            <w:r>
              <w:rPr>
                <w:rFonts w:hint="eastAsia"/>
                <w:sz w:val="21"/>
                <w:szCs w:val="21"/>
              </w:rPr>
              <w:t>（2）靶向制剂</w:t>
            </w:r>
          </w:p>
          <w:p>
            <w:pPr>
              <w:rPr>
                <w:rFonts w:hint="eastAsia"/>
                <w:b/>
                <w:bCs/>
                <w:color w:val="000000"/>
                <w:sz w:val="21"/>
                <w:szCs w:val="21"/>
              </w:rPr>
            </w:pPr>
            <w:r>
              <w:rPr>
                <w:b/>
                <w:bCs/>
                <w:color w:val="000000"/>
                <w:sz w:val="21"/>
                <w:szCs w:val="21"/>
              </w:rPr>
              <w:t>重</w:t>
            </w:r>
            <w:r>
              <w:rPr>
                <w:rFonts w:hint="eastAsia"/>
                <w:b/>
                <w:bCs/>
                <w:color w:val="000000"/>
                <w:sz w:val="21"/>
                <w:szCs w:val="21"/>
              </w:rPr>
              <w:t>点</w:t>
            </w:r>
            <w:r>
              <w:rPr>
                <w:b/>
                <w:bCs/>
                <w:color w:val="000000"/>
                <w:sz w:val="21"/>
                <w:szCs w:val="21"/>
              </w:rPr>
              <w:t>难点</w:t>
            </w:r>
            <w:r>
              <w:rPr>
                <w:rFonts w:hint="eastAsia"/>
                <w:b/>
                <w:bCs/>
                <w:color w:val="000000"/>
                <w:sz w:val="21"/>
                <w:szCs w:val="21"/>
              </w:rPr>
              <w:t>：</w:t>
            </w:r>
          </w:p>
          <w:p>
            <w:pPr>
              <w:rPr>
                <w:color w:val="000000"/>
                <w:sz w:val="21"/>
                <w:szCs w:val="21"/>
              </w:rPr>
            </w:pPr>
            <w:r>
              <w:rPr>
                <w:rFonts w:hint="eastAsia"/>
                <w:color w:val="000000"/>
                <w:sz w:val="21"/>
                <w:szCs w:val="21"/>
              </w:rPr>
              <w:t>（1）</w:t>
            </w:r>
            <w:r>
              <w:rPr>
                <w:rFonts w:hint="eastAsia"/>
                <w:sz w:val="21"/>
                <w:szCs w:val="21"/>
              </w:rPr>
              <w:t>缓控释制剂释药的原理</w:t>
            </w:r>
          </w:p>
          <w:p>
            <w:pPr>
              <w:rPr>
                <w:color w:val="000000"/>
                <w:sz w:val="21"/>
                <w:szCs w:val="21"/>
              </w:rPr>
            </w:pPr>
            <w:r>
              <w:rPr>
                <w:rFonts w:hint="eastAsia"/>
                <w:color w:val="000000"/>
                <w:sz w:val="21"/>
                <w:szCs w:val="21"/>
              </w:rPr>
              <w:t>（2）靶向制剂的分类</w:t>
            </w:r>
          </w:p>
          <w:p>
            <w:pPr>
              <w:rPr>
                <w:rFonts w:hint="eastAsia"/>
                <w:color w:val="000000"/>
                <w:sz w:val="21"/>
                <w:szCs w:val="21"/>
              </w:rPr>
            </w:pPr>
            <w:r>
              <w:rPr>
                <w:rFonts w:hint="eastAsia"/>
                <w:color w:val="000000"/>
                <w:sz w:val="21"/>
                <w:szCs w:val="21"/>
              </w:rPr>
              <w:t>（3）脂质体的制备</w:t>
            </w:r>
          </w:p>
        </w:tc>
        <w:tc>
          <w:tcPr>
            <w:tcW w:w="1134" w:type="dxa"/>
            <w:noWrap w:val="0"/>
            <w:vAlign w:val="top"/>
          </w:tcPr>
          <w:p>
            <w:pPr>
              <w:autoSpaceDE w:val="0"/>
              <w:autoSpaceDN w:val="0"/>
              <w:adjustRightInd w:val="0"/>
              <w:rPr>
                <w:sz w:val="21"/>
                <w:szCs w:val="21"/>
              </w:rPr>
            </w:pPr>
            <w:r>
              <w:rPr>
                <w:rFonts w:hint="eastAsia"/>
                <w:color w:val="000000"/>
                <w:sz w:val="21"/>
                <w:szCs w:val="21"/>
              </w:rPr>
              <w:t>以社会主义核心价值观为中心，深入理解专业特色，培养以严谨求实、精益求精为基石的科学精神。</w:t>
            </w:r>
          </w:p>
        </w:tc>
        <w:tc>
          <w:tcPr>
            <w:tcW w:w="2028" w:type="dxa"/>
            <w:noWrap w:val="0"/>
            <w:vAlign w:val="center"/>
          </w:tcPr>
          <w:p>
            <w:pPr>
              <w:rPr>
                <w:rFonts w:hint="eastAsia"/>
                <w:sz w:val="21"/>
                <w:szCs w:val="21"/>
              </w:rPr>
            </w:pPr>
            <w:r>
              <w:rPr>
                <w:sz w:val="21"/>
                <w:szCs w:val="21"/>
              </w:rPr>
              <w:t>（1）</w:t>
            </w:r>
            <w:r>
              <w:rPr>
                <w:rFonts w:hint="eastAsia"/>
                <w:sz w:val="21"/>
                <w:szCs w:val="21"/>
              </w:rPr>
              <w:t>掌握缓控释制剂的概念、特点</w:t>
            </w:r>
          </w:p>
          <w:p>
            <w:pPr>
              <w:rPr>
                <w:sz w:val="21"/>
                <w:szCs w:val="21"/>
              </w:rPr>
            </w:pPr>
            <w:r>
              <w:rPr>
                <w:sz w:val="21"/>
                <w:szCs w:val="21"/>
              </w:rPr>
              <w:t>（2）</w:t>
            </w:r>
            <w:r>
              <w:rPr>
                <w:rFonts w:hint="eastAsia"/>
                <w:sz w:val="21"/>
                <w:szCs w:val="21"/>
              </w:rPr>
              <w:t>了解缓控释制剂释药的原理</w:t>
            </w:r>
          </w:p>
          <w:p>
            <w:pPr>
              <w:rPr>
                <w:sz w:val="21"/>
                <w:szCs w:val="21"/>
              </w:rPr>
            </w:pPr>
            <w:r>
              <w:rPr>
                <w:rFonts w:hint="eastAsia"/>
                <w:sz w:val="21"/>
                <w:szCs w:val="21"/>
              </w:rPr>
              <w:t>（3）了解不同类型缓控释制剂的处方与工艺</w:t>
            </w:r>
          </w:p>
          <w:p>
            <w:pPr>
              <w:rPr>
                <w:sz w:val="21"/>
                <w:szCs w:val="21"/>
              </w:rPr>
            </w:pPr>
            <w:r>
              <w:rPr>
                <w:rFonts w:hint="eastAsia"/>
                <w:sz w:val="21"/>
                <w:szCs w:val="21"/>
              </w:rPr>
              <w:t>（4）掌握靶向制剂的概念、特点和分类</w:t>
            </w:r>
          </w:p>
          <w:p>
            <w:pPr>
              <w:rPr>
                <w:rFonts w:hint="eastAsia"/>
                <w:sz w:val="21"/>
                <w:szCs w:val="21"/>
              </w:rPr>
            </w:pPr>
            <w:r>
              <w:rPr>
                <w:rFonts w:hint="eastAsia"/>
                <w:sz w:val="21"/>
                <w:szCs w:val="21"/>
              </w:rPr>
              <w:t>（5）掌握脂质体的制备方法</w:t>
            </w:r>
          </w:p>
        </w:tc>
        <w:tc>
          <w:tcPr>
            <w:tcW w:w="699" w:type="dxa"/>
            <w:noWrap w:val="0"/>
            <w:vAlign w:val="center"/>
          </w:tcPr>
          <w:p>
            <w:pPr>
              <w:jc w:val="center"/>
              <w:rPr>
                <w:sz w:val="21"/>
                <w:szCs w:val="21"/>
              </w:rPr>
            </w:pPr>
            <w:r>
              <w:rPr>
                <w:sz w:val="21"/>
                <w:szCs w:val="21"/>
              </w:rPr>
              <w:t>2</w:t>
            </w:r>
            <w:r>
              <w:rPr>
                <w:rFonts w:hint="eastAsia"/>
                <w:sz w:val="21"/>
                <w:szCs w:val="21"/>
              </w:rPr>
              <w:t>（讲授）</w:t>
            </w:r>
          </w:p>
        </w:tc>
        <w:tc>
          <w:tcPr>
            <w:tcW w:w="975" w:type="dxa"/>
            <w:noWrap w:val="0"/>
            <w:vAlign w:val="center"/>
          </w:tcPr>
          <w:p>
            <w:pPr>
              <w:rPr>
                <w:sz w:val="21"/>
                <w:szCs w:val="21"/>
              </w:rPr>
            </w:pPr>
            <w:r>
              <w:rPr>
                <w:sz w:val="21"/>
                <w:szCs w:val="21"/>
              </w:rPr>
              <w:t>讲授/讨论/实例教学等</w:t>
            </w:r>
          </w:p>
        </w:tc>
        <w:tc>
          <w:tcPr>
            <w:tcW w:w="925" w:type="dxa"/>
            <w:noWrap w:val="0"/>
            <w:vAlign w:val="center"/>
          </w:tcPr>
          <w:p>
            <w:pPr>
              <w:jc w:val="center"/>
              <w:rPr>
                <w:b/>
                <w:sz w:val="21"/>
                <w:szCs w:val="21"/>
              </w:rPr>
            </w:pPr>
            <w:r>
              <w:rPr>
                <w:b/>
                <w:sz w:val="21"/>
                <w:szCs w:val="21"/>
              </w:rPr>
              <w:t>目标</w:t>
            </w:r>
            <w:r>
              <w:rPr>
                <w:rFonts w:hint="eastAsia"/>
                <w:b/>
                <w:sz w:val="21"/>
                <w:szCs w:val="21"/>
              </w:rPr>
              <w:t>1</w:t>
            </w:r>
          </w:p>
          <w:p>
            <w:pPr>
              <w:jc w:val="center"/>
              <w:rPr>
                <w:sz w:val="21"/>
                <w:szCs w:val="21"/>
              </w:rPr>
            </w:pPr>
            <w:r>
              <w:rPr>
                <w:rFonts w:hint="eastAsia"/>
                <w:b/>
                <w:sz w:val="21"/>
                <w:szCs w:val="21"/>
              </w:rPr>
              <w:t>目标2</w:t>
            </w:r>
          </w:p>
        </w:tc>
      </w:tr>
    </w:tbl>
    <w:p>
      <w:pPr>
        <w:spacing w:line="360" w:lineRule="auto"/>
        <w:rPr>
          <w:rFonts w:hint="eastAsia"/>
          <w:color w:val="000000"/>
        </w:rPr>
      </w:pPr>
    </w:p>
    <w:p>
      <w:pPr>
        <w:spacing w:line="360" w:lineRule="auto"/>
        <w:ind w:firstLine="562" w:firstLineChars="200"/>
        <w:rPr>
          <w:rFonts w:hint="eastAsia"/>
          <w:b/>
          <w:sz w:val="28"/>
          <w:szCs w:val="28"/>
        </w:rPr>
      </w:pPr>
      <w:r>
        <w:rPr>
          <w:rFonts w:hint="eastAsia"/>
          <w:b/>
          <w:sz w:val="28"/>
          <w:szCs w:val="28"/>
        </w:rPr>
        <w:t>四、课程实施</w:t>
      </w:r>
    </w:p>
    <w:p>
      <w:pPr>
        <w:spacing w:line="360" w:lineRule="auto"/>
        <w:ind w:firstLine="422" w:firstLineChars="200"/>
        <w:rPr>
          <w:rFonts w:hint="eastAsia"/>
          <w:b/>
        </w:rPr>
      </w:pPr>
      <w:r>
        <w:rPr>
          <w:rFonts w:hint="eastAsia"/>
          <w:b/>
        </w:rPr>
        <w:t>（一）教学方法与教学手段</w:t>
      </w:r>
    </w:p>
    <w:p>
      <w:pPr>
        <w:spacing w:line="360" w:lineRule="auto"/>
        <w:ind w:firstLine="420" w:firstLineChars="200"/>
      </w:pPr>
      <w:r>
        <w:rPr>
          <w:rFonts w:hint="eastAsia"/>
        </w:rPr>
        <w:t>（</w:t>
      </w:r>
      <w:r>
        <w:t>1</w:t>
      </w:r>
      <w:r>
        <w:rPr>
          <w:rFonts w:hint="eastAsia"/>
        </w:rPr>
        <w:t>）课堂讲授突出重点和难点，采用讲授、提问、答疑等多种教学方法。</w:t>
      </w:r>
      <w:r>
        <w:t> </w:t>
      </w:r>
    </w:p>
    <w:p>
      <w:pPr>
        <w:spacing w:line="360" w:lineRule="auto"/>
        <w:ind w:firstLine="420" w:firstLineChars="200"/>
      </w:pPr>
      <w:r>
        <w:rPr>
          <w:rFonts w:hint="eastAsia"/>
        </w:rPr>
        <w:t>（2）引导学生自主性、研究性地学习，进行启发式教学，促进学生独立思考，鼓励学生创新性地学习和思维，积极参与课堂研讨；</w:t>
      </w:r>
      <w:r>
        <w:t> </w:t>
      </w:r>
    </w:p>
    <w:p>
      <w:pPr>
        <w:spacing w:line="360" w:lineRule="auto"/>
        <w:ind w:firstLine="420" w:firstLineChars="200"/>
        <w:rPr>
          <w:rFonts w:hint="eastAsia"/>
        </w:rPr>
      </w:pPr>
      <w:r>
        <w:rPr>
          <w:rFonts w:hint="eastAsia"/>
        </w:rPr>
        <w:t>（3）有适当的课后思考题，引导学生逐步接触本课程学科的发展实际和动向；</w:t>
      </w:r>
    </w:p>
    <w:p>
      <w:pPr>
        <w:spacing w:line="360" w:lineRule="auto"/>
        <w:ind w:firstLine="420" w:firstLineChars="200"/>
      </w:pPr>
      <w:r>
        <w:rPr>
          <w:rFonts w:hint="eastAsia"/>
        </w:rPr>
        <w:t>（4）针对制剂学课程的特点，在教学中按授课知识点制作课件，开展多媒体教学，针对国际国内制剂学发展的新形势、新案例，及时补充相关知识，争取同步传递学科的发展成果和动向；</w:t>
      </w:r>
    </w:p>
    <w:p>
      <w:pPr>
        <w:bidi w:val="0"/>
        <w:rPr>
          <w:rFonts w:hint="eastAsia"/>
          <w:b/>
          <w:bCs/>
          <w:sz w:val="24"/>
          <w:szCs w:val="24"/>
        </w:rPr>
      </w:pPr>
      <w:bookmarkStart w:id="240" w:name="_Toc20140"/>
      <w:r>
        <w:rPr>
          <w:rFonts w:hint="eastAsia"/>
          <w:b/>
          <w:bCs/>
          <w:sz w:val="24"/>
          <w:szCs w:val="24"/>
        </w:rPr>
        <w:t>（二）课程实施与保障</w:t>
      </w:r>
      <w:bookmarkEnd w:id="240"/>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691"/>
        <w:gridCol w:w="6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7" w:type="dxa"/>
            <w:gridSpan w:val="2"/>
            <w:tcBorders>
              <w:top w:val="single" w:color="auto" w:sz="8" w:space="0"/>
              <w:left w:val="single" w:color="auto" w:sz="8" w:space="0"/>
              <w:right w:val="single" w:color="auto" w:sz="8" w:space="0"/>
            </w:tcBorders>
            <w:noWrap w:val="0"/>
            <w:tcMar>
              <w:left w:w="28" w:type="dxa"/>
              <w:right w:w="28" w:type="dxa"/>
            </w:tcMar>
            <w:vAlign w:val="center"/>
          </w:tcPr>
          <w:p>
            <w:pPr>
              <w:jc w:val="center"/>
              <w:rPr>
                <w:szCs w:val="21"/>
              </w:rPr>
            </w:pPr>
            <w:r>
              <w:rPr>
                <w:bCs/>
                <w:szCs w:val="21"/>
              </w:rPr>
              <w:t>主要教学环节</w:t>
            </w:r>
          </w:p>
        </w:tc>
        <w:tc>
          <w:tcPr>
            <w:tcW w:w="6773" w:type="dxa"/>
            <w:tcBorders>
              <w:top w:val="single" w:color="auto" w:sz="8" w:space="0"/>
              <w:left w:val="single" w:color="auto" w:sz="8" w:space="0"/>
              <w:right w:val="single" w:color="auto" w:sz="8" w:space="0"/>
            </w:tcBorders>
            <w:noWrap w:val="0"/>
            <w:vAlign w:val="center"/>
          </w:tcPr>
          <w:p>
            <w:pPr>
              <w:jc w:val="center"/>
              <w:rPr>
                <w:szCs w:val="21"/>
              </w:rPr>
            </w:pPr>
            <w:r>
              <w:rPr>
                <w:bCs/>
                <w:szCs w:val="21"/>
              </w:rPr>
              <w:t>质量</w:t>
            </w:r>
            <w:r>
              <w:rPr>
                <w:rFonts w:hint="eastAsia"/>
                <w:bCs/>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left w:val="single" w:color="auto" w:sz="8" w:space="0"/>
            </w:tcBorders>
            <w:noWrap w:val="0"/>
            <w:vAlign w:val="center"/>
          </w:tcPr>
          <w:p>
            <w:pPr>
              <w:jc w:val="center"/>
              <w:rPr>
                <w:szCs w:val="21"/>
              </w:rPr>
            </w:pPr>
            <w:r>
              <w:rPr>
                <w:szCs w:val="21"/>
              </w:rPr>
              <w:t>1</w:t>
            </w:r>
          </w:p>
        </w:tc>
        <w:tc>
          <w:tcPr>
            <w:tcW w:w="1691" w:type="dxa"/>
            <w:noWrap w:val="0"/>
            <w:tcMar>
              <w:left w:w="28" w:type="dxa"/>
              <w:right w:w="28" w:type="dxa"/>
            </w:tcMar>
            <w:vAlign w:val="center"/>
          </w:tcPr>
          <w:p>
            <w:pPr>
              <w:jc w:val="center"/>
              <w:rPr>
                <w:szCs w:val="21"/>
              </w:rPr>
            </w:pPr>
            <w:r>
              <w:rPr>
                <w:szCs w:val="21"/>
              </w:rPr>
              <w:t>备课</w:t>
            </w:r>
          </w:p>
        </w:tc>
        <w:tc>
          <w:tcPr>
            <w:tcW w:w="6773" w:type="dxa"/>
            <w:tcBorders>
              <w:right w:val="single" w:color="auto" w:sz="8" w:space="0"/>
            </w:tcBorders>
            <w:noWrap w:val="0"/>
            <w:vAlign w:val="center"/>
          </w:tcPr>
          <w:p>
            <w:pPr>
              <w:rPr>
                <w:szCs w:val="21"/>
              </w:rPr>
            </w:pPr>
            <w:r>
              <w:rPr>
                <w:rFonts w:hint="eastAsia"/>
                <w:szCs w:val="21"/>
              </w:rPr>
              <w:t>（</w:t>
            </w:r>
            <w:r>
              <w:rPr>
                <w:szCs w:val="21"/>
              </w:rPr>
              <w:t>1</w:t>
            </w:r>
            <w:r>
              <w:rPr>
                <w:rFonts w:hint="eastAsia"/>
                <w:szCs w:val="21"/>
              </w:rPr>
              <w:t>）掌握所授课程在本专业人才培养过程中的地位和作用，钻研吃透教学大纲精神，明确本课程的教学目的、任务和要求，掌握本课程内容的深度、广度、重点和难点。</w:t>
            </w:r>
          </w:p>
          <w:p>
            <w:pPr>
              <w:rPr>
                <w:szCs w:val="21"/>
              </w:rPr>
            </w:pPr>
            <w:r>
              <w:rPr>
                <w:rFonts w:hint="eastAsia"/>
                <w:szCs w:val="21"/>
              </w:rPr>
              <w:t>（</w:t>
            </w:r>
            <w:r>
              <w:rPr>
                <w:szCs w:val="21"/>
              </w:rPr>
              <w:t>2</w:t>
            </w:r>
            <w:r>
              <w:rPr>
                <w:rFonts w:hint="eastAsia"/>
                <w:szCs w:val="21"/>
              </w:rPr>
              <w:t>）</w:t>
            </w:r>
            <w:r>
              <w:rPr>
                <w:szCs w:val="21"/>
              </w:rPr>
              <w:t>对学生在学习过程中易混淆</w:t>
            </w:r>
            <w:r>
              <w:rPr>
                <w:rFonts w:hint="eastAsia"/>
                <w:szCs w:val="21"/>
              </w:rPr>
              <w:t>、</w:t>
            </w:r>
            <w:r>
              <w:rPr>
                <w:szCs w:val="21"/>
              </w:rPr>
              <w:t>易出错或易疏忽的问题</w:t>
            </w:r>
            <w:r>
              <w:rPr>
                <w:rFonts w:hint="eastAsia"/>
                <w:szCs w:val="21"/>
              </w:rPr>
              <w:t>，</w:t>
            </w:r>
            <w:r>
              <w:rPr>
                <w:szCs w:val="21"/>
              </w:rPr>
              <w:t>能采取设问</w:t>
            </w:r>
            <w:r>
              <w:rPr>
                <w:rFonts w:hint="eastAsia"/>
                <w:szCs w:val="21"/>
              </w:rPr>
              <w:t>、</w:t>
            </w:r>
            <w:r>
              <w:rPr>
                <w:szCs w:val="21"/>
              </w:rPr>
              <w:t>质疑</w:t>
            </w:r>
            <w:r>
              <w:rPr>
                <w:rFonts w:hint="eastAsia"/>
                <w:szCs w:val="21"/>
              </w:rPr>
              <w:t>、</w:t>
            </w:r>
            <w:r>
              <w:rPr>
                <w:szCs w:val="21"/>
              </w:rPr>
              <w:t>比较</w:t>
            </w:r>
            <w:r>
              <w:rPr>
                <w:rFonts w:hint="eastAsia"/>
                <w:szCs w:val="21"/>
              </w:rPr>
              <w:t>、</w:t>
            </w:r>
            <w:r>
              <w:rPr>
                <w:szCs w:val="21"/>
              </w:rPr>
              <w:t>讨论等方法搞清楚</w:t>
            </w:r>
            <w:r>
              <w:rPr>
                <w:rFonts w:hint="eastAsia"/>
                <w:szCs w:val="21"/>
              </w:rPr>
              <w:t>；</w:t>
            </w:r>
            <w:r>
              <w:rPr>
                <w:szCs w:val="21"/>
              </w:rPr>
              <w:t>能采用讲授与自学</w:t>
            </w:r>
            <w:r>
              <w:rPr>
                <w:rFonts w:hint="eastAsia"/>
                <w:szCs w:val="21"/>
              </w:rPr>
              <w:t>、</w:t>
            </w:r>
            <w:r>
              <w:rPr>
                <w:szCs w:val="21"/>
              </w:rPr>
              <w:t>讨论与交流</w:t>
            </w:r>
            <w:r>
              <w:rPr>
                <w:rFonts w:hint="eastAsia"/>
                <w:szCs w:val="21"/>
              </w:rPr>
              <w:t>、</w:t>
            </w:r>
            <w:r>
              <w:rPr>
                <w:szCs w:val="21"/>
              </w:rPr>
              <w:t>理论学习与案例分析</w:t>
            </w:r>
            <w:r>
              <w:rPr>
                <w:rFonts w:hint="eastAsia"/>
                <w:szCs w:val="21"/>
              </w:rPr>
              <w:t>相结合的教学方法，注意因材施教和个体化教学。</w:t>
            </w:r>
          </w:p>
          <w:p>
            <w:pPr>
              <w:rPr>
                <w:szCs w:val="21"/>
              </w:rPr>
            </w:pPr>
            <w:r>
              <w:rPr>
                <w:rFonts w:hint="eastAsia"/>
                <w:szCs w:val="21"/>
              </w:rPr>
              <w:t>（3）根据学科专业特点积极采用现代化教学手段进行教学，并不断更新教学手段。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left w:val="single" w:color="auto" w:sz="8" w:space="0"/>
            </w:tcBorders>
            <w:noWrap w:val="0"/>
            <w:vAlign w:val="center"/>
          </w:tcPr>
          <w:p>
            <w:pPr>
              <w:jc w:val="center"/>
              <w:rPr>
                <w:szCs w:val="21"/>
              </w:rPr>
            </w:pPr>
            <w:r>
              <w:rPr>
                <w:szCs w:val="21"/>
              </w:rPr>
              <w:t>2</w:t>
            </w:r>
          </w:p>
        </w:tc>
        <w:tc>
          <w:tcPr>
            <w:tcW w:w="1691" w:type="dxa"/>
            <w:noWrap w:val="0"/>
            <w:tcMar>
              <w:left w:w="28" w:type="dxa"/>
              <w:right w:w="28" w:type="dxa"/>
            </w:tcMar>
            <w:vAlign w:val="center"/>
          </w:tcPr>
          <w:p>
            <w:pPr>
              <w:jc w:val="center"/>
              <w:rPr>
                <w:szCs w:val="21"/>
              </w:rPr>
            </w:pPr>
            <w:r>
              <w:rPr>
                <w:szCs w:val="21"/>
              </w:rPr>
              <w:t>讲授</w:t>
            </w:r>
          </w:p>
        </w:tc>
        <w:tc>
          <w:tcPr>
            <w:tcW w:w="6773" w:type="dxa"/>
            <w:tcBorders>
              <w:right w:val="single" w:color="auto" w:sz="8" w:space="0"/>
            </w:tcBorders>
            <w:noWrap w:val="0"/>
            <w:vAlign w:val="center"/>
          </w:tcPr>
          <w:p>
            <w:pPr>
              <w:rPr>
                <w:szCs w:val="21"/>
              </w:rPr>
            </w:pPr>
            <w:r>
              <w:rPr>
                <w:rFonts w:hint="eastAsia"/>
                <w:szCs w:val="21"/>
              </w:rPr>
              <w:t>（</w:t>
            </w:r>
            <w:r>
              <w:rPr>
                <w:szCs w:val="21"/>
              </w:rPr>
              <w:t>1</w:t>
            </w:r>
            <w:r>
              <w:rPr>
                <w:rFonts w:hint="eastAsia"/>
                <w:szCs w:val="21"/>
              </w:rPr>
              <w:t>）认真授课，严格按照授课计划开展教学活动。</w:t>
            </w:r>
          </w:p>
          <w:p>
            <w:pPr>
              <w:rPr>
                <w:rFonts w:hint="eastAsia"/>
                <w:szCs w:val="21"/>
              </w:rPr>
            </w:pPr>
            <w:r>
              <w:rPr>
                <w:rFonts w:hint="eastAsia"/>
                <w:szCs w:val="21"/>
              </w:rPr>
              <w:t>（2）教学内容正确，深度适宜，符合教学大纲要求，并重视联系生产、社会和生活实际。</w:t>
            </w:r>
          </w:p>
          <w:p>
            <w:pPr>
              <w:rPr>
                <w:rFonts w:hint="eastAsia"/>
                <w:szCs w:val="21"/>
              </w:rPr>
            </w:pPr>
            <w:r>
              <w:rPr>
                <w:rFonts w:hint="eastAsia"/>
                <w:szCs w:val="21"/>
              </w:rPr>
              <w:t>（3）教学方法灵活多样，启发性强，能激发学生的求知欲，活跃课堂气氛。</w:t>
            </w:r>
          </w:p>
          <w:p>
            <w:pPr>
              <w:rPr>
                <w:szCs w:val="21"/>
              </w:rPr>
            </w:pPr>
            <w:r>
              <w:rPr>
                <w:rFonts w:hint="eastAsia"/>
                <w:szCs w:val="21"/>
              </w:rPr>
              <w:t>（4）突出重点，根据教材内容体系与其他课程间的联系及实际需要，找准课程重点和课堂重点，在讲解时分清主次，有详有略。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left w:val="single" w:color="auto" w:sz="8" w:space="0"/>
            </w:tcBorders>
            <w:noWrap w:val="0"/>
            <w:vAlign w:val="center"/>
          </w:tcPr>
          <w:p>
            <w:pPr>
              <w:jc w:val="center"/>
              <w:rPr>
                <w:szCs w:val="21"/>
              </w:rPr>
            </w:pPr>
            <w:r>
              <w:rPr>
                <w:szCs w:val="21"/>
              </w:rPr>
              <w:t>3</w:t>
            </w:r>
          </w:p>
        </w:tc>
        <w:tc>
          <w:tcPr>
            <w:tcW w:w="1691" w:type="dxa"/>
            <w:noWrap w:val="0"/>
            <w:tcMar>
              <w:left w:w="28" w:type="dxa"/>
              <w:right w:w="28" w:type="dxa"/>
            </w:tcMar>
            <w:vAlign w:val="center"/>
          </w:tcPr>
          <w:p>
            <w:pPr>
              <w:jc w:val="center"/>
              <w:rPr>
                <w:szCs w:val="21"/>
              </w:rPr>
            </w:pPr>
            <w:r>
              <w:rPr>
                <w:szCs w:val="21"/>
              </w:rPr>
              <w:t>作业布置与批改</w:t>
            </w:r>
          </w:p>
        </w:tc>
        <w:tc>
          <w:tcPr>
            <w:tcW w:w="6773" w:type="dxa"/>
            <w:tcBorders>
              <w:right w:val="single" w:color="auto" w:sz="8" w:space="0"/>
            </w:tcBorders>
            <w:noWrap w:val="0"/>
            <w:vAlign w:val="center"/>
          </w:tcPr>
          <w:p>
            <w:pPr>
              <w:rPr>
                <w:rFonts w:hint="eastAsia"/>
                <w:szCs w:val="21"/>
              </w:rPr>
            </w:pPr>
            <w:r>
              <w:rPr>
                <w:rFonts w:hint="eastAsia"/>
                <w:szCs w:val="21"/>
              </w:rPr>
              <w:t>（1）布置作业应目的明确、循序渐进、难易适度、数量适中，符合教学大纲要求。</w:t>
            </w:r>
          </w:p>
          <w:p>
            <w:pPr>
              <w:rPr>
                <w:szCs w:val="21"/>
              </w:rPr>
            </w:pPr>
            <w:r>
              <w:rPr>
                <w:rFonts w:hint="eastAsia"/>
                <w:szCs w:val="21"/>
              </w:rPr>
              <w:t>（2）对学生完成的作业及时认真批改，作业的成绩应作为平时成绩的重要方面，以一定权重计入学生课程终评成绩。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left w:val="single" w:color="auto" w:sz="8" w:space="0"/>
            </w:tcBorders>
            <w:noWrap w:val="0"/>
            <w:vAlign w:val="center"/>
          </w:tcPr>
          <w:p>
            <w:pPr>
              <w:jc w:val="center"/>
              <w:rPr>
                <w:szCs w:val="21"/>
              </w:rPr>
            </w:pPr>
            <w:r>
              <w:rPr>
                <w:rFonts w:hint="eastAsia"/>
                <w:szCs w:val="21"/>
              </w:rPr>
              <w:t>4</w:t>
            </w:r>
          </w:p>
        </w:tc>
        <w:tc>
          <w:tcPr>
            <w:tcW w:w="1691" w:type="dxa"/>
            <w:noWrap w:val="0"/>
            <w:tcMar>
              <w:left w:w="28" w:type="dxa"/>
              <w:right w:w="28" w:type="dxa"/>
            </w:tcMar>
            <w:vAlign w:val="center"/>
          </w:tcPr>
          <w:p>
            <w:pPr>
              <w:jc w:val="center"/>
              <w:rPr>
                <w:szCs w:val="21"/>
              </w:rPr>
            </w:pPr>
            <w:r>
              <w:rPr>
                <w:szCs w:val="21"/>
              </w:rPr>
              <w:t>课外答疑</w:t>
            </w:r>
          </w:p>
        </w:tc>
        <w:tc>
          <w:tcPr>
            <w:tcW w:w="6773" w:type="dxa"/>
            <w:tcBorders>
              <w:right w:val="single" w:color="auto" w:sz="8" w:space="0"/>
            </w:tcBorders>
            <w:noWrap w:val="0"/>
            <w:vAlign w:val="center"/>
          </w:tcPr>
          <w:p>
            <w:pPr>
              <w:rPr>
                <w:rFonts w:hint="eastAsia"/>
                <w:szCs w:val="21"/>
              </w:rPr>
            </w:pPr>
            <w:r>
              <w:rPr>
                <w:rFonts w:hint="eastAsia"/>
                <w:szCs w:val="21"/>
              </w:rPr>
              <w:t>（1）认真做好辅导前的准备工作，对学生的学习情况进行了解和分析。</w:t>
            </w:r>
          </w:p>
          <w:p>
            <w:pPr>
              <w:rPr>
                <w:rFonts w:hint="eastAsia"/>
                <w:szCs w:val="21"/>
              </w:rPr>
            </w:pPr>
            <w:r>
              <w:rPr>
                <w:rFonts w:hint="eastAsia"/>
                <w:szCs w:val="21"/>
              </w:rPr>
              <w:t>（2）辅导时因材施教，辅导中注意对学生课外自学及学习方法的指导。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left w:val="single" w:color="auto" w:sz="8" w:space="0"/>
            </w:tcBorders>
            <w:noWrap w:val="0"/>
            <w:vAlign w:val="center"/>
          </w:tcPr>
          <w:p>
            <w:pPr>
              <w:jc w:val="center"/>
              <w:rPr>
                <w:szCs w:val="21"/>
              </w:rPr>
            </w:pPr>
            <w:r>
              <w:rPr>
                <w:rFonts w:hint="eastAsia"/>
                <w:szCs w:val="21"/>
              </w:rPr>
              <w:t>5</w:t>
            </w:r>
          </w:p>
        </w:tc>
        <w:tc>
          <w:tcPr>
            <w:tcW w:w="1691" w:type="dxa"/>
            <w:noWrap w:val="0"/>
            <w:tcMar>
              <w:left w:w="28" w:type="dxa"/>
              <w:right w:w="28" w:type="dxa"/>
            </w:tcMar>
            <w:vAlign w:val="center"/>
          </w:tcPr>
          <w:p>
            <w:pPr>
              <w:jc w:val="center"/>
              <w:rPr>
                <w:szCs w:val="21"/>
              </w:rPr>
            </w:pPr>
            <w:r>
              <w:rPr>
                <w:szCs w:val="21"/>
              </w:rPr>
              <w:t>成绩考核</w:t>
            </w:r>
          </w:p>
        </w:tc>
        <w:tc>
          <w:tcPr>
            <w:tcW w:w="6773" w:type="dxa"/>
            <w:tcBorders>
              <w:right w:val="single" w:color="auto" w:sz="8" w:space="0"/>
            </w:tcBorders>
            <w:noWrap w:val="0"/>
            <w:vAlign w:val="center"/>
          </w:tcPr>
          <w:p>
            <w:pPr>
              <w:rPr>
                <w:rFonts w:hint="eastAsia"/>
                <w:szCs w:val="21"/>
              </w:rPr>
            </w:pPr>
            <w:r>
              <w:rPr>
                <w:rFonts w:hint="eastAsia"/>
                <w:szCs w:val="21"/>
              </w:rPr>
              <w:t>（1）能促进和巩固教学效果，保证和提高教学质量。</w:t>
            </w:r>
          </w:p>
          <w:p>
            <w:pPr>
              <w:rPr>
                <w:rFonts w:hint="eastAsia"/>
                <w:szCs w:val="21"/>
              </w:rPr>
            </w:pPr>
            <w:r>
              <w:rPr>
                <w:rFonts w:hint="eastAsia"/>
                <w:szCs w:val="21"/>
              </w:rPr>
              <w:t>（2）对教学过程进行调控和平衡。</w:t>
            </w:r>
          </w:p>
          <w:p>
            <w:pPr>
              <w:rPr>
                <w:rFonts w:hint="eastAsia"/>
                <w:szCs w:val="21"/>
              </w:rPr>
            </w:pPr>
            <w:r>
              <w:rPr>
                <w:rFonts w:hint="eastAsia"/>
                <w:szCs w:val="21"/>
              </w:rPr>
              <w:t>（3）通过对考试质量的定性或定量分析，改进以后的考核，使之科学化、合理化。</w:t>
            </w:r>
          </w:p>
        </w:tc>
      </w:tr>
    </w:tbl>
    <w:p>
      <w:pPr>
        <w:spacing w:line="360" w:lineRule="auto"/>
        <w:ind w:firstLine="562" w:firstLineChars="200"/>
        <w:rPr>
          <w:b/>
          <w:sz w:val="28"/>
          <w:szCs w:val="28"/>
        </w:rPr>
      </w:pPr>
      <w:r>
        <w:rPr>
          <w:rFonts w:hint="eastAsia"/>
          <w:b/>
          <w:sz w:val="28"/>
          <w:szCs w:val="28"/>
        </w:rPr>
        <w:t>五、课程</w:t>
      </w:r>
      <w:r>
        <w:rPr>
          <w:b/>
          <w:sz w:val="28"/>
          <w:szCs w:val="28"/>
        </w:rPr>
        <w:t>考核</w:t>
      </w:r>
    </w:p>
    <w:p>
      <w:pPr>
        <w:spacing w:line="360" w:lineRule="auto"/>
        <w:ind w:firstLine="420" w:firstLineChars="200"/>
      </w:pPr>
      <w:r>
        <w:rPr>
          <w:rFonts w:hint="eastAsia"/>
        </w:rPr>
        <w:t>（一）</w:t>
      </w:r>
      <w:r>
        <w:t>课程考核包括期末考试、平时作业和</w:t>
      </w:r>
      <w:r>
        <w:rPr>
          <w:rFonts w:hint="eastAsia"/>
        </w:rPr>
        <w:t>考勤及课堂练习等</w:t>
      </w:r>
      <w:r>
        <w:t>，期</w:t>
      </w:r>
      <w:r>
        <w:rPr>
          <w:rFonts w:hint="eastAsia"/>
        </w:rPr>
        <w:t>末</w:t>
      </w:r>
      <w:r>
        <w:t>考试采用</w:t>
      </w:r>
      <w:r>
        <w:rPr>
          <w:rFonts w:hint="eastAsia"/>
        </w:rPr>
        <w:t>开卷方式</w:t>
      </w:r>
      <w:r>
        <w:t>。</w:t>
      </w:r>
    </w:p>
    <w:p>
      <w:pPr>
        <w:spacing w:line="360" w:lineRule="auto"/>
        <w:ind w:firstLine="420" w:firstLineChars="200"/>
        <w:rPr>
          <w:rFonts w:hint="eastAsia"/>
        </w:rPr>
      </w:pPr>
      <w:r>
        <w:rPr>
          <w:rFonts w:hint="eastAsia"/>
        </w:rPr>
        <w:t>（二）</w:t>
      </w:r>
      <w:r>
        <w:t>课程</w:t>
      </w:r>
      <w:r>
        <w:rPr>
          <w:rFonts w:hint="eastAsia"/>
        </w:rPr>
        <w:t>总评</w:t>
      </w:r>
      <w:r>
        <w:t>成绩=平时成绩</w:t>
      </w:r>
      <w:r>
        <w:rPr>
          <w:rFonts w:ascii="Times New Roman" w:hAnsi="Times New Roman" w:cs="Times New Roman"/>
        </w:rPr>
        <w:t>×60% +期末考试成绩×40%</w:t>
      </w:r>
      <w:r>
        <w:t>。具体内容和比例</w:t>
      </w:r>
      <w:r>
        <w:rPr>
          <w:rFonts w:hint="eastAsia"/>
        </w:rPr>
        <w:t>如表所示。</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7"/>
        <w:gridCol w:w="1162"/>
        <w:gridCol w:w="671"/>
        <w:gridCol w:w="5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 w:type="pct"/>
            <w:shd w:val="clear" w:color="auto" w:fill="FFFFFF"/>
            <w:noWrap w:val="0"/>
            <w:tcMar>
              <w:left w:w="57" w:type="dxa"/>
              <w:right w:w="57" w:type="dxa"/>
            </w:tcMar>
            <w:vAlign w:val="center"/>
          </w:tcPr>
          <w:p>
            <w:pPr>
              <w:pStyle w:val="14"/>
              <w:widowControl w:val="0"/>
              <w:jc w:val="center"/>
              <w:rPr>
                <w:rFonts w:ascii="Times New Roman" w:hAnsi="Times New Roman" w:eastAsia="宋体" w:cs="Times New Roman"/>
                <w:kern w:val="2"/>
                <w:sz w:val="21"/>
              </w:rPr>
            </w:pPr>
            <w:r>
              <w:rPr>
                <w:rFonts w:ascii="Times New Roman" w:hAnsi="Times New Roman" w:eastAsia="宋体" w:cs="Times New Roman"/>
                <w:kern w:val="2"/>
                <w:sz w:val="21"/>
              </w:rPr>
              <w:t>成绩组成</w:t>
            </w:r>
          </w:p>
        </w:tc>
        <w:tc>
          <w:tcPr>
            <w:tcW w:w="686" w:type="pct"/>
            <w:shd w:val="clear" w:color="auto" w:fill="FFFFFF"/>
            <w:noWrap w:val="0"/>
            <w:vAlign w:val="center"/>
          </w:tcPr>
          <w:p>
            <w:pPr>
              <w:pStyle w:val="14"/>
              <w:widowControl w:val="0"/>
              <w:jc w:val="center"/>
              <w:rPr>
                <w:rFonts w:ascii="Times New Roman" w:hAnsi="Times New Roman" w:eastAsia="宋体" w:cs="Times New Roman"/>
                <w:kern w:val="2"/>
                <w:sz w:val="21"/>
              </w:rPr>
            </w:pPr>
            <w:r>
              <w:rPr>
                <w:rFonts w:ascii="Times New Roman" w:hAnsi="Times New Roman" w:eastAsia="宋体" w:cs="Times New Roman"/>
                <w:kern w:val="2"/>
                <w:sz w:val="21"/>
              </w:rPr>
              <w:t>考核/评价环节</w:t>
            </w:r>
          </w:p>
        </w:tc>
        <w:tc>
          <w:tcPr>
            <w:tcW w:w="396" w:type="pct"/>
            <w:shd w:val="clear" w:color="auto" w:fill="FFFFFF"/>
            <w:noWrap w:val="0"/>
            <w:vAlign w:val="center"/>
          </w:tcPr>
          <w:p>
            <w:pPr>
              <w:pStyle w:val="14"/>
              <w:widowControl w:val="0"/>
              <w:jc w:val="center"/>
              <w:rPr>
                <w:rFonts w:ascii="Times New Roman" w:hAnsi="Times New Roman" w:eastAsia="宋体" w:cs="Times New Roman"/>
                <w:kern w:val="2"/>
                <w:sz w:val="21"/>
              </w:rPr>
            </w:pPr>
            <w:r>
              <w:rPr>
                <w:rFonts w:hint="eastAsia" w:ascii="Times New Roman" w:hAnsi="Times New Roman" w:eastAsia="宋体" w:cs="Times New Roman"/>
                <w:kern w:val="2"/>
                <w:sz w:val="21"/>
              </w:rPr>
              <w:t>权重</w:t>
            </w:r>
          </w:p>
        </w:tc>
        <w:tc>
          <w:tcPr>
            <w:tcW w:w="3465" w:type="pct"/>
            <w:shd w:val="clear" w:color="auto" w:fill="FFFFFF"/>
            <w:noWrap w:val="0"/>
            <w:vAlign w:val="center"/>
          </w:tcPr>
          <w:p>
            <w:pPr>
              <w:pStyle w:val="14"/>
              <w:widowControl w:val="0"/>
              <w:jc w:val="center"/>
              <w:rPr>
                <w:rFonts w:ascii="Times New Roman" w:hAnsi="Times New Roman" w:eastAsia="宋体" w:cs="Times New Roman"/>
                <w:kern w:val="2"/>
                <w:sz w:val="21"/>
              </w:rPr>
            </w:pPr>
            <w:r>
              <w:rPr>
                <w:rFonts w:ascii="Times New Roman" w:hAnsi="Times New Roman" w:eastAsia="宋体" w:cs="Times New Roman"/>
                <w:kern w:val="2"/>
                <w:sz w:val="21"/>
              </w:rPr>
              <w:t>考核/评价细则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453" w:type="pct"/>
            <w:vMerge w:val="restart"/>
            <w:noWrap w:val="0"/>
            <w:tcMar>
              <w:left w:w="57" w:type="dxa"/>
              <w:right w:w="57" w:type="dxa"/>
            </w:tcMar>
            <w:vAlign w:val="center"/>
          </w:tcPr>
          <w:p>
            <w:pPr>
              <w:pStyle w:val="14"/>
              <w:widowControl w:val="0"/>
              <w:jc w:val="center"/>
              <w:rPr>
                <w:rFonts w:ascii="Times New Roman" w:hAnsi="Times New Roman" w:eastAsia="宋体" w:cs="Times New Roman"/>
                <w:kern w:val="2"/>
                <w:sz w:val="21"/>
              </w:rPr>
            </w:pPr>
            <w:r>
              <w:rPr>
                <w:rFonts w:ascii="Times New Roman" w:hAnsi="Times New Roman" w:eastAsia="宋体" w:cs="Times New Roman"/>
                <w:kern w:val="2"/>
                <w:sz w:val="21"/>
              </w:rPr>
              <w:t>平时成绩</w:t>
            </w:r>
          </w:p>
        </w:tc>
        <w:tc>
          <w:tcPr>
            <w:tcW w:w="686" w:type="pct"/>
            <w:noWrap w:val="0"/>
            <w:vAlign w:val="center"/>
          </w:tcPr>
          <w:p>
            <w:pPr>
              <w:pStyle w:val="14"/>
              <w:widowControl w:val="0"/>
              <w:jc w:val="center"/>
              <w:rPr>
                <w:rFonts w:ascii="Times New Roman" w:hAnsi="Times New Roman" w:eastAsia="宋体" w:cs="Times New Roman"/>
                <w:kern w:val="2"/>
                <w:sz w:val="21"/>
              </w:rPr>
            </w:pPr>
            <w:r>
              <w:rPr>
                <w:rFonts w:ascii="Times New Roman" w:hAnsi="Times New Roman" w:eastAsia="宋体" w:cs="Times New Roman"/>
                <w:kern w:val="2"/>
                <w:sz w:val="21"/>
              </w:rPr>
              <w:t>平时作业</w:t>
            </w:r>
          </w:p>
        </w:tc>
        <w:tc>
          <w:tcPr>
            <w:tcW w:w="396" w:type="pct"/>
            <w:noWrap w:val="0"/>
            <w:vAlign w:val="center"/>
          </w:tcPr>
          <w:p>
            <w:pPr>
              <w:pStyle w:val="14"/>
              <w:widowControl w:val="0"/>
              <w:jc w:val="center"/>
              <w:rPr>
                <w:rFonts w:ascii="Times New Roman" w:hAnsi="Times New Roman" w:eastAsia="宋体" w:cs="Times New Roman"/>
                <w:kern w:val="2"/>
                <w:sz w:val="21"/>
              </w:rPr>
            </w:pPr>
            <w:r>
              <w:rPr>
                <w:rFonts w:ascii="Times New Roman" w:hAnsi="Times New Roman" w:eastAsia="宋体" w:cs="Times New Roman"/>
                <w:kern w:val="2"/>
                <w:sz w:val="21"/>
              </w:rPr>
              <w:t>30%</w:t>
            </w:r>
          </w:p>
        </w:tc>
        <w:tc>
          <w:tcPr>
            <w:tcW w:w="3465" w:type="pct"/>
            <w:noWrap w:val="0"/>
            <w:vAlign w:val="center"/>
          </w:tcPr>
          <w:p>
            <w:pPr>
              <w:pStyle w:val="14"/>
              <w:widowControl w:val="0"/>
              <w:jc w:val="both"/>
              <w:rPr>
                <w:rFonts w:ascii="Times New Roman" w:hAnsi="Times New Roman" w:eastAsia="宋体" w:cs="Times New Roman"/>
                <w:kern w:val="2"/>
                <w:sz w:val="21"/>
              </w:rPr>
            </w:pPr>
            <w:r>
              <w:rPr>
                <w:rFonts w:ascii="Times New Roman" w:hAnsi="Times New Roman" w:eastAsia="宋体" w:cs="Times New Roman"/>
                <w:kern w:val="2"/>
                <w:sz w:val="21"/>
              </w:rPr>
              <w:t>课后完成</w:t>
            </w:r>
            <w:r>
              <w:rPr>
                <w:rFonts w:hint="eastAsia" w:ascii="Times New Roman" w:hAnsi="Times New Roman" w:eastAsia="宋体" w:cs="Times New Roman"/>
                <w:kern w:val="2"/>
                <w:sz w:val="21"/>
              </w:rPr>
              <w:t>主题讨论或</w:t>
            </w:r>
            <w:r>
              <w:rPr>
                <w:rFonts w:ascii="Times New Roman" w:hAnsi="Times New Roman" w:eastAsia="宋体" w:cs="Times New Roman"/>
                <w:kern w:val="2"/>
                <w:sz w:val="21"/>
              </w:rPr>
              <w:t>2-5个习题，主要考核学生对每节课知识点的</w:t>
            </w:r>
            <w:r>
              <w:rPr>
                <w:rFonts w:hint="eastAsia" w:ascii="Times New Roman" w:hAnsi="Times New Roman" w:eastAsia="宋体" w:cs="Times New Roman"/>
                <w:kern w:val="2"/>
                <w:sz w:val="21"/>
              </w:rPr>
              <w:t>预习、</w:t>
            </w:r>
            <w:r>
              <w:rPr>
                <w:rFonts w:ascii="Times New Roman" w:hAnsi="Times New Roman" w:eastAsia="宋体" w:cs="Times New Roman"/>
                <w:kern w:val="2"/>
                <w:sz w:val="21"/>
              </w:rPr>
              <w:t>复习、理解和掌握程度，计算全部作业的平均成绩再按30%计入总成绩。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453" w:type="pct"/>
            <w:vMerge w:val="continue"/>
            <w:noWrap w:val="0"/>
            <w:tcMar>
              <w:left w:w="57" w:type="dxa"/>
              <w:right w:w="57" w:type="dxa"/>
            </w:tcMar>
            <w:vAlign w:val="center"/>
          </w:tcPr>
          <w:p>
            <w:pPr>
              <w:pStyle w:val="14"/>
              <w:widowControl w:val="0"/>
              <w:jc w:val="center"/>
              <w:rPr>
                <w:rFonts w:ascii="Times New Roman" w:hAnsi="Times New Roman" w:eastAsia="宋体" w:cs="Times New Roman"/>
                <w:kern w:val="2"/>
                <w:sz w:val="21"/>
              </w:rPr>
            </w:pPr>
          </w:p>
        </w:tc>
        <w:tc>
          <w:tcPr>
            <w:tcW w:w="686" w:type="pct"/>
            <w:noWrap w:val="0"/>
            <w:vAlign w:val="center"/>
          </w:tcPr>
          <w:p>
            <w:pPr>
              <w:pStyle w:val="14"/>
              <w:widowControl w:val="0"/>
              <w:jc w:val="center"/>
              <w:rPr>
                <w:rFonts w:hint="eastAsia" w:ascii="Times New Roman" w:hAnsi="Times New Roman" w:eastAsia="宋体" w:cs="Times New Roman"/>
                <w:kern w:val="2"/>
                <w:sz w:val="21"/>
              </w:rPr>
            </w:pPr>
            <w:r>
              <w:rPr>
                <w:rFonts w:hint="eastAsia" w:ascii="Times New Roman" w:hAnsi="Times New Roman" w:eastAsia="宋体" w:cs="Times New Roman"/>
                <w:kern w:val="2"/>
                <w:sz w:val="21"/>
              </w:rPr>
              <w:t>考勤、</w:t>
            </w:r>
          </w:p>
          <w:p>
            <w:pPr>
              <w:pStyle w:val="14"/>
              <w:widowControl w:val="0"/>
              <w:jc w:val="center"/>
              <w:rPr>
                <w:rFonts w:hint="eastAsia" w:ascii="Times New Roman" w:hAnsi="Times New Roman" w:eastAsia="宋体" w:cs="Times New Roman"/>
                <w:kern w:val="2"/>
                <w:sz w:val="21"/>
              </w:rPr>
            </w:pPr>
            <w:r>
              <w:rPr>
                <w:rFonts w:ascii="Times New Roman" w:hAnsi="Times New Roman" w:eastAsia="宋体" w:cs="Times New Roman"/>
                <w:kern w:val="2"/>
                <w:sz w:val="21"/>
              </w:rPr>
              <w:t>课堂</w:t>
            </w:r>
            <w:r>
              <w:rPr>
                <w:rFonts w:hint="eastAsia" w:ascii="Times New Roman" w:hAnsi="Times New Roman" w:eastAsia="宋体" w:cs="Times New Roman"/>
                <w:kern w:val="2"/>
                <w:sz w:val="21"/>
              </w:rPr>
              <w:t>表现及</w:t>
            </w:r>
            <w:r>
              <w:rPr>
                <w:rFonts w:ascii="Times New Roman" w:hAnsi="Times New Roman" w:eastAsia="宋体" w:cs="Times New Roman"/>
                <w:kern w:val="2"/>
                <w:sz w:val="21"/>
              </w:rPr>
              <w:t>练习</w:t>
            </w:r>
          </w:p>
        </w:tc>
        <w:tc>
          <w:tcPr>
            <w:tcW w:w="396" w:type="pct"/>
            <w:noWrap w:val="0"/>
            <w:vAlign w:val="center"/>
          </w:tcPr>
          <w:p>
            <w:pPr>
              <w:pStyle w:val="14"/>
              <w:widowControl w:val="0"/>
              <w:jc w:val="center"/>
              <w:rPr>
                <w:rFonts w:ascii="Times New Roman" w:hAnsi="Times New Roman" w:eastAsia="宋体" w:cs="Times New Roman"/>
                <w:kern w:val="2"/>
                <w:sz w:val="21"/>
              </w:rPr>
            </w:pPr>
            <w:r>
              <w:rPr>
                <w:rFonts w:ascii="Times New Roman" w:hAnsi="Times New Roman" w:eastAsia="宋体" w:cs="Times New Roman"/>
                <w:kern w:val="2"/>
                <w:sz w:val="21"/>
              </w:rPr>
              <w:t>30%</w:t>
            </w:r>
          </w:p>
        </w:tc>
        <w:tc>
          <w:tcPr>
            <w:tcW w:w="3465" w:type="pct"/>
            <w:noWrap w:val="0"/>
            <w:vAlign w:val="center"/>
          </w:tcPr>
          <w:p>
            <w:pPr>
              <w:pStyle w:val="14"/>
              <w:widowControl w:val="0"/>
              <w:jc w:val="both"/>
              <w:rPr>
                <w:rFonts w:ascii="Times New Roman" w:hAnsi="Times New Roman" w:eastAsia="宋体" w:cs="Times New Roman"/>
                <w:kern w:val="2"/>
                <w:sz w:val="21"/>
                <w:szCs w:val="21"/>
              </w:rPr>
            </w:pPr>
            <w:r>
              <w:rPr>
                <w:rFonts w:ascii="Times New Roman" w:hAnsi="Times New Roman" w:eastAsia="宋体" w:cs="Times New Roman"/>
                <w:color w:val="000000"/>
                <w:kern w:val="2"/>
                <w:sz w:val="21"/>
                <w:szCs w:val="21"/>
              </w:rPr>
              <w:t>以随机的形式，在每章内容进行中或结束后，随堂测试1-3题，主要考核学生课堂的听课效果和课后及时复习消化本章知识的能力</w:t>
            </w:r>
            <w:r>
              <w:rPr>
                <w:rFonts w:ascii="Times New Roman" w:hAnsi="Times New Roman" w:eastAsia="宋体" w:cs="Times New Roman"/>
                <w:kern w:val="2"/>
                <w:sz w:val="21"/>
                <w:szCs w:val="21"/>
              </w:rPr>
              <w:t>，结合平时</w:t>
            </w:r>
            <w:r>
              <w:rPr>
                <w:rFonts w:hint="eastAsia" w:ascii="Times New Roman" w:hAnsi="Times New Roman" w:eastAsia="宋体" w:cs="Times New Roman"/>
                <w:kern w:val="2"/>
                <w:sz w:val="21"/>
                <w:szCs w:val="21"/>
              </w:rPr>
              <w:t>考勤及课堂表现</w:t>
            </w:r>
            <w:r>
              <w:rPr>
                <w:rFonts w:ascii="Times New Roman" w:hAnsi="Times New Roman" w:eastAsia="宋体" w:cs="Times New Roman"/>
                <w:kern w:val="2"/>
                <w:sz w:val="21"/>
                <w:szCs w:val="21"/>
              </w:rPr>
              <w:t>，最后按30%计入课程总成绩。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5" w:hRule="atLeast"/>
          <w:jc w:val="center"/>
        </w:trPr>
        <w:tc>
          <w:tcPr>
            <w:tcW w:w="453" w:type="pct"/>
            <w:noWrap w:val="0"/>
            <w:tcMar>
              <w:left w:w="57" w:type="dxa"/>
              <w:right w:w="57" w:type="dxa"/>
            </w:tcMar>
            <w:vAlign w:val="center"/>
          </w:tcPr>
          <w:p>
            <w:pPr>
              <w:pStyle w:val="14"/>
              <w:widowControl w:val="0"/>
              <w:jc w:val="center"/>
              <w:rPr>
                <w:rFonts w:ascii="Times New Roman" w:hAnsi="Times New Roman" w:eastAsia="宋体" w:cs="Times New Roman"/>
                <w:kern w:val="2"/>
                <w:sz w:val="21"/>
              </w:rPr>
            </w:pPr>
            <w:r>
              <w:rPr>
                <w:rFonts w:ascii="Times New Roman" w:hAnsi="Times New Roman" w:eastAsia="宋体" w:cs="Times New Roman"/>
                <w:kern w:val="2"/>
                <w:sz w:val="21"/>
              </w:rPr>
              <w:t>期末考试</w:t>
            </w:r>
          </w:p>
          <w:p>
            <w:pPr>
              <w:pStyle w:val="14"/>
              <w:widowControl w:val="0"/>
              <w:jc w:val="center"/>
              <w:rPr>
                <w:rFonts w:ascii="Times New Roman" w:hAnsi="Times New Roman" w:eastAsia="宋体" w:cs="Times New Roman"/>
                <w:kern w:val="2"/>
                <w:sz w:val="21"/>
              </w:rPr>
            </w:pPr>
          </w:p>
        </w:tc>
        <w:tc>
          <w:tcPr>
            <w:tcW w:w="686" w:type="pct"/>
            <w:noWrap w:val="0"/>
            <w:vAlign w:val="center"/>
          </w:tcPr>
          <w:p>
            <w:pPr>
              <w:pStyle w:val="14"/>
              <w:widowControl w:val="0"/>
              <w:jc w:val="center"/>
              <w:rPr>
                <w:rFonts w:hint="eastAsia" w:ascii="Times New Roman" w:hAnsi="Times New Roman" w:eastAsia="宋体" w:cs="Times New Roman"/>
                <w:kern w:val="2"/>
                <w:sz w:val="21"/>
              </w:rPr>
            </w:pPr>
            <w:r>
              <w:rPr>
                <w:rFonts w:ascii="Times New Roman" w:hAnsi="Times New Roman" w:eastAsia="宋体" w:cs="Times New Roman"/>
                <w:kern w:val="2"/>
                <w:sz w:val="21"/>
              </w:rPr>
              <w:t>期末考试</w:t>
            </w:r>
          </w:p>
          <w:p>
            <w:pPr>
              <w:pStyle w:val="14"/>
              <w:widowControl w:val="0"/>
              <w:jc w:val="center"/>
              <w:rPr>
                <w:rFonts w:ascii="Times New Roman" w:hAnsi="Times New Roman" w:eastAsia="宋体" w:cs="Times New Roman"/>
                <w:kern w:val="2"/>
                <w:sz w:val="21"/>
              </w:rPr>
            </w:pPr>
            <w:r>
              <w:rPr>
                <w:rFonts w:hint="eastAsia" w:ascii="Times New Roman" w:hAnsi="Times New Roman" w:eastAsia="宋体" w:cs="Times New Roman"/>
                <w:kern w:val="2"/>
                <w:sz w:val="21"/>
              </w:rPr>
              <w:t>卷面</w:t>
            </w:r>
            <w:r>
              <w:rPr>
                <w:rFonts w:ascii="Times New Roman" w:hAnsi="Times New Roman" w:eastAsia="宋体" w:cs="Times New Roman"/>
                <w:kern w:val="2"/>
                <w:sz w:val="21"/>
              </w:rPr>
              <w:t>成绩</w:t>
            </w:r>
          </w:p>
        </w:tc>
        <w:tc>
          <w:tcPr>
            <w:tcW w:w="396" w:type="pct"/>
            <w:noWrap w:val="0"/>
            <w:vAlign w:val="center"/>
          </w:tcPr>
          <w:p>
            <w:pPr>
              <w:pStyle w:val="14"/>
              <w:widowControl w:val="0"/>
              <w:jc w:val="center"/>
              <w:rPr>
                <w:rFonts w:ascii="Times New Roman" w:hAnsi="Times New Roman" w:eastAsia="宋体" w:cs="Times New Roman"/>
                <w:kern w:val="2"/>
                <w:sz w:val="21"/>
              </w:rPr>
            </w:pPr>
            <w:r>
              <w:rPr>
                <w:rFonts w:ascii="Times New Roman" w:hAnsi="Times New Roman" w:eastAsia="宋体" w:cs="Times New Roman"/>
                <w:kern w:val="2"/>
                <w:sz w:val="21"/>
              </w:rPr>
              <w:t>40%</w:t>
            </w:r>
          </w:p>
        </w:tc>
        <w:tc>
          <w:tcPr>
            <w:tcW w:w="3465" w:type="pct"/>
            <w:noWrap w:val="0"/>
            <w:vAlign w:val="center"/>
          </w:tcPr>
          <w:p>
            <w:pPr>
              <w:pStyle w:val="14"/>
              <w:widowControl w:val="0"/>
              <w:jc w:val="both"/>
              <w:rPr>
                <w:rFonts w:ascii="Times New Roman" w:hAnsi="Times New Roman" w:eastAsia="宋体" w:cs="Times New Roman"/>
                <w:color w:val="000000"/>
                <w:kern w:val="2"/>
                <w:sz w:val="21"/>
                <w:szCs w:val="21"/>
              </w:rPr>
            </w:pPr>
            <w:r>
              <w:rPr>
                <w:rFonts w:ascii="Times New Roman" w:hAnsi="Times New Roman" w:eastAsia="宋体" w:cs="Times New Roman"/>
                <w:color w:val="000000"/>
                <w:kern w:val="2"/>
                <w:sz w:val="21"/>
                <w:szCs w:val="21"/>
              </w:rPr>
              <w:t>试卷题型包括填空题</w:t>
            </w:r>
            <w:r>
              <w:rPr>
                <w:rFonts w:hint="eastAsia" w:ascii="Times New Roman" w:hAnsi="Times New Roman" w:eastAsia="宋体" w:cs="Times New Roman"/>
                <w:color w:val="000000"/>
                <w:kern w:val="2"/>
                <w:sz w:val="21"/>
                <w:szCs w:val="21"/>
              </w:rPr>
              <w:t>和</w:t>
            </w:r>
            <w:r>
              <w:rPr>
                <w:rFonts w:ascii="Times New Roman" w:hAnsi="Times New Roman" w:eastAsia="宋体" w:cs="Times New Roman"/>
                <w:color w:val="000000"/>
                <w:kern w:val="2"/>
                <w:sz w:val="21"/>
                <w:szCs w:val="21"/>
              </w:rPr>
              <w:t>简答题，以卷面成绩的40%计入课程总成绩。其中考</w:t>
            </w:r>
            <w:r>
              <w:rPr>
                <w:rFonts w:hint="eastAsia" w:ascii="Times New Roman" w:hAnsi="Times New Roman" w:eastAsia="宋体" w:cs="Times New Roman"/>
                <w:color w:val="000000"/>
                <w:kern w:val="2"/>
                <w:sz w:val="21"/>
                <w:szCs w:val="21"/>
              </w:rPr>
              <w:t>药物剂型概念及原理相</w:t>
            </w:r>
            <w:r>
              <w:rPr>
                <w:rFonts w:ascii="Times New Roman" w:hAnsi="Times New Roman" w:eastAsia="宋体" w:cs="Times New Roman"/>
                <w:color w:val="000000"/>
                <w:kern w:val="2"/>
                <w:sz w:val="21"/>
                <w:szCs w:val="21"/>
              </w:rPr>
              <w:t>关知识占30%，；考核</w:t>
            </w:r>
            <w:r>
              <w:rPr>
                <w:rFonts w:hint="eastAsia" w:ascii="Times New Roman" w:hAnsi="Times New Roman" w:eastAsia="宋体" w:cs="Times New Roman"/>
                <w:color w:val="000000"/>
                <w:kern w:val="2"/>
                <w:sz w:val="21"/>
                <w:szCs w:val="21"/>
              </w:rPr>
              <w:t>药物制剂制备过程和质量控制标准相</w:t>
            </w:r>
            <w:r>
              <w:rPr>
                <w:rFonts w:ascii="Times New Roman" w:hAnsi="Times New Roman" w:eastAsia="宋体" w:cs="Times New Roman"/>
                <w:color w:val="000000"/>
                <w:kern w:val="2"/>
                <w:sz w:val="21"/>
                <w:szCs w:val="21"/>
              </w:rPr>
              <w:t>关内容占40%；考</w:t>
            </w:r>
            <w:r>
              <w:rPr>
                <w:rFonts w:hint="eastAsia" w:ascii="Times New Roman" w:hAnsi="Times New Roman" w:eastAsia="宋体" w:cs="Times New Roman"/>
                <w:color w:val="000000"/>
                <w:kern w:val="2"/>
                <w:sz w:val="21"/>
                <w:szCs w:val="21"/>
              </w:rPr>
              <w:t>常见新剂型的特点及制备方法相</w:t>
            </w:r>
            <w:r>
              <w:rPr>
                <w:rFonts w:ascii="Times New Roman" w:hAnsi="Times New Roman" w:eastAsia="宋体" w:cs="Times New Roman"/>
                <w:color w:val="000000"/>
                <w:kern w:val="2"/>
                <w:sz w:val="21"/>
                <w:szCs w:val="21"/>
              </w:rPr>
              <w:t>关内容占20%；考</w:t>
            </w:r>
            <w:r>
              <w:rPr>
                <w:rFonts w:hint="eastAsia" w:ascii="Times New Roman" w:hAnsi="Times New Roman" w:eastAsia="宋体" w:cs="Times New Roman"/>
                <w:color w:val="000000"/>
                <w:kern w:val="2"/>
                <w:sz w:val="21"/>
                <w:szCs w:val="21"/>
              </w:rPr>
              <w:t>其他</w:t>
            </w:r>
            <w:r>
              <w:rPr>
                <w:rFonts w:ascii="Times New Roman" w:hAnsi="Times New Roman" w:eastAsia="宋体" w:cs="Times New Roman"/>
                <w:color w:val="000000"/>
                <w:kern w:val="2"/>
                <w:sz w:val="21"/>
                <w:szCs w:val="21"/>
              </w:rPr>
              <w:t>相关内容占10%。</w:t>
            </w:r>
          </w:p>
        </w:tc>
      </w:tr>
    </w:tbl>
    <w:p>
      <w:pPr>
        <w:spacing w:line="360" w:lineRule="auto"/>
        <w:ind w:firstLine="420" w:firstLineChars="200"/>
      </w:pPr>
    </w:p>
    <w:p>
      <w:pPr>
        <w:spacing w:line="360" w:lineRule="auto"/>
        <w:ind w:firstLine="562" w:firstLineChars="200"/>
        <w:rPr>
          <w:rFonts w:hint="eastAsia"/>
          <w:b/>
          <w:sz w:val="28"/>
          <w:szCs w:val="28"/>
        </w:rPr>
      </w:pPr>
      <w:r>
        <w:rPr>
          <w:rFonts w:hint="eastAsia"/>
          <w:b/>
          <w:sz w:val="28"/>
          <w:szCs w:val="28"/>
        </w:rPr>
        <w:t>六</w:t>
      </w:r>
      <w:r>
        <w:rPr>
          <w:b/>
          <w:sz w:val="28"/>
          <w:szCs w:val="28"/>
        </w:rPr>
        <w:t>、</w:t>
      </w:r>
      <w:r>
        <w:rPr>
          <w:rFonts w:hint="eastAsia"/>
          <w:b/>
          <w:sz w:val="28"/>
          <w:szCs w:val="28"/>
        </w:rPr>
        <w:t>有关说明</w:t>
      </w:r>
    </w:p>
    <w:p>
      <w:pPr>
        <w:bidi w:val="0"/>
        <w:rPr>
          <w:rFonts w:hint="eastAsia"/>
          <w:b/>
          <w:bCs/>
          <w:sz w:val="24"/>
          <w:szCs w:val="24"/>
        </w:rPr>
      </w:pPr>
      <w:bookmarkStart w:id="241" w:name="_Toc13477"/>
      <w:r>
        <w:rPr>
          <w:rFonts w:hint="eastAsia"/>
          <w:b/>
          <w:bCs/>
          <w:sz w:val="24"/>
          <w:szCs w:val="24"/>
        </w:rPr>
        <w:t>（一）持续改进</w:t>
      </w:r>
      <w:bookmarkEnd w:id="241"/>
    </w:p>
    <w:p>
      <w:pPr>
        <w:spacing w:line="360" w:lineRule="auto"/>
        <w:ind w:firstLine="420" w:firstLineChars="200"/>
        <w:rPr>
          <w:szCs w:val="22"/>
        </w:rPr>
      </w:pPr>
      <w:r>
        <w:rPr>
          <w:szCs w:val="22"/>
        </w:rPr>
        <w:t>本课程根据学生作业、课堂讨论、平时考核情况和学生、教学督导等</w:t>
      </w:r>
      <w:r>
        <w:rPr>
          <w:rFonts w:hint="eastAsia"/>
          <w:szCs w:val="22"/>
        </w:rPr>
        <w:t>的</w:t>
      </w:r>
      <w:r>
        <w:rPr>
          <w:szCs w:val="22"/>
        </w:rPr>
        <w:t>反馈，及时对教学中</w:t>
      </w:r>
      <w:r>
        <w:rPr>
          <w:rFonts w:hint="eastAsia"/>
          <w:szCs w:val="22"/>
        </w:rPr>
        <w:t>的</w:t>
      </w:r>
      <w:r>
        <w:rPr>
          <w:szCs w:val="22"/>
        </w:rPr>
        <w:t>不足之处进行改进，并在下一轮课程教学中</w:t>
      </w:r>
      <w:r>
        <w:rPr>
          <w:rFonts w:hint="eastAsia"/>
          <w:szCs w:val="22"/>
        </w:rPr>
        <w:t>整改完善</w:t>
      </w:r>
      <w:r>
        <w:rPr>
          <w:szCs w:val="22"/>
        </w:rPr>
        <w:t>，确保相应毕业要求指标点达成。</w:t>
      </w:r>
    </w:p>
    <w:p>
      <w:pPr>
        <w:bidi w:val="0"/>
        <w:rPr>
          <w:rFonts w:hint="eastAsia"/>
          <w:b/>
          <w:bCs/>
          <w:sz w:val="24"/>
          <w:szCs w:val="24"/>
        </w:rPr>
      </w:pPr>
      <w:bookmarkStart w:id="242" w:name="_Toc20067"/>
      <w:r>
        <w:rPr>
          <w:rFonts w:hint="eastAsia"/>
          <w:b/>
          <w:bCs/>
          <w:sz w:val="24"/>
          <w:szCs w:val="24"/>
        </w:rPr>
        <w:t>（二）</w:t>
      </w:r>
      <w:r>
        <w:rPr>
          <w:b/>
          <w:bCs/>
          <w:sz w:val="24"/>
          <w:szCs w:val="24"/>
        </w:rPr>
        <w:t>参考书目及学习资料</w:t>
      </w:r>
      <w:bookmarkEnd w:id="242"/>
    </w:p>
    <w:p>
      <w:pPr>
        <w:spacing w:line="360" w:lineRule="auto"/>
        <w:ind w:left="420"/>
      </w:pPr>
      <w:r>
        <w:t xml:space="preserve">1. </w:t>
      </w:r>
      <w:r>
        <w:rPr>
          <w:rFonts w:hint="eastAsia"/>
        </w:rPr>
        <w:t>屠锡德</w:t>
      </w:r>
      <w:r>
        <w:t xml:space="preserve">    </w:t>
      </w:r>
      <w:r>
        <w:rPr>
          <w:rFonts w:hint="eastAsia"/>
        </w:rPr>
        <w:t>药剂学</w:t>
      </w:r>
      <w:r>
        <w:t xml:space="preserve">                </w:t>
      </w:r>
      <w:r>
        <w:rPr>
          <w:rFonts w:hint="eastAsia"/>
        </w:rPr>
        <w:t>人民卫生</w:t>
      </w:r>
      <w:r>
        <w:t>出版社</w:t>
      </w:r>
    </w:p>
    <w:p>
      <w:pPr>
        <w:spacing w:line="360" w:lineRule="auto"/>
        <w:ind w:left="420"/>
      </w:pPr>
      <w:r>
        <w:t xml:space="preserve">2. </w:t>
      </w:r>
      <w:r>
        <w:rPr>
          <w:rFonts w:hint="eastAsia"/>
        </w:rPr>
        <w:t>毕殿洲    药剂学</w:t>
      </w:r>
      <w:r>
        <w:t xml:space="preserve">                </w:t>
      </w:r>
      <w:r>
        <w:rPr>
          <w:rFonts w:hint="eastAsia"/>
        </w:rPr>
        <w:t>人民卫生</w:t>
      </w:r>
      <w:r>
        <w:t>出版社</w:t>
      </w:r>
    </w:p>
    <w:p>
      <w:pPr>
        <w:spacing w:line="360" w:lineRule="auto"/>
        <w:ind w:left="420"/>
      </w:pPr>
      <w:r>
        <w:t xml:space="preserve">3. </w:t>
      </w:r>
      <w:r>
        <w:rPr>
          <w:rFonts w:hint="eastAsia"/>
        </w:rPr>
        <w:t>陆彬      药剂学。              中国医药科技出版社</w:t>
      </w:r>
    </w:p>
    <w:p>
      <w:pPr>
        <w:spacing w:line="360" w:lineRule="auto"/>
        <w:ind w:left="420"/>
        <w:rPr>
          <w:rFonts w:hint="eastAsia"/>
        </w:rPr>
      </w:pPr>
    </w:p>
    <w:p>
      <w:pPr>
        <w:autoSpaceDE w:val="0"/>
        <w:autoSpaceDN w:val="0"/>
        <w:adjustRightInd w:val="0"/>
        <w:spacing w:line="360" w:lineRule="auto"/>
        <w:ind w:firstLine="420" w:firstLineChars="200"/>
        <w:rPr>
          <w:szCs w:val="21"/>
        </w:rPr>
      </w:pPr>
      <w:r>
        <w:rPr>
          <w:rFonts w:hint="eastAsia"/>
        </w:rPr>
        <w:t xml:space="preserve">                                                         </w:t>
      </w:r>
      <w:r>
        <w:rPr>
          <w:szCs w:val="21"/>
        </w:rPr>
        <w:t>执笔人： 丁琳琳</w:t>
      </w:r>
    </w:p>
    <w:p>
      <w:pPr>
        <w:autoSpaceDE w:val="0"/>
        <w:autoSpaceDN w:val="0"/>
        <w:adjustRightInd w:val="0"/>
        <w:spacing w:line="360" w:lineRule="auto"/>
        <w:ind w:firstLine="4935" w:firstLineChars="2350"/>
        <w:jc w:val="right"/>
        <w:rPr>
          <w:rFonts w:ascii="Times New Roman" w:hAnsi="Times New Roman"/>
          <w:szCs w:val="21"/>
        </w:rPr>
      </w:pPr>
      <w:r>
        <w:rPr>
          <w:rFonts w:ascii="Times New Roman" w:hAnsi="Times New Roman"/>
          <w:szCs w:val="21"/>
        </w:rPr>
        <w:t>审定人：</w:t>
      </w:r>
      <w:r>
        <w:rPr>
          <w:rFonts w:hint="eastAsia" w:ascii="Times New Roman" w:hAnsi="Times New Roman"/>
          <w:szCs w:val="21"/>
        </w:rPr>
        <w:t>魏雪娇</w:t>
      </w:r>
    </w:p>
    <w:p>
      <w:pPr>
        <w:autoSpaceDE w:val="0"/>
        <w:autoSpaceDN w:val="0"/>
        <w:adjustRightInd w:val="0"/>
        <w:spacing w:line="360" w:lineRule="auto"/>
        <w:ind w:firstLine="4935" w:firstLineChars="2350"/>
        <w:jc w:val="right"/>
        <w:rPr>
          <w:rFonts w:ascii="Times New Roman" w:hAnsi="Times New Roman"/>
          <w:szCs w:val="21"/>
        </w:rPr>
      </w:pPr>
      <w:r>
        <w:rPr>
          <w:rFonts w:hint="eastAsia" w:ascii="Times New Roman" w:hAnsi="Times New Roman"/>
          <w:szCs w:val="21"/>
        </w:rPr>
        <w:t>审批</w:t>
      </w:r>
      <w:r>
        <w:rPr>
          <w:rFonts w:ascii="Times New Roman" w:hAnsi="Times New Roman"/>
          <w:szCs w:val="21"/>
        </w:rPr>
        <w:t>人：吴泽颖</w:t>
      </w:r>
    </w:p>
    <w:p>
      <w:pPr>
        <w:autoSpaceDE w:val="0"/>
        <w:autoSpaceDN w:val="0"/>
        <w:adjustRightInd w:val="0"/>
        <w:spacing w:line="360" w:lineRule="auto"/>
        <w:ind w:firstLine="4935" w:firstLineChars="2350"/>
        <w:jc w:val="right"/>
        <w:rPr>
          <w:rFonts w:hint="eastAsia" w:ascii="Times New Roman" w:hAnsi="Times New Roman"/>
          <w:szCs w:val="21"/>
        </w:rPr>
      </w:pPr>
      <w:r>
        <w:rPr>
          <w:rFonts w:hint="eastAsia" w:ascii="Times New Roman" w:hAnsi="Times New Roman"/>
          <w:szCs w:val="21"/>
        </w:rPr>
        <w:t>2021年</w:t>
      </w:r>
      <w:r>
        <w:rPr>
          <w:rFonts w:hint="eastAsia"/>
          <w:szCs w:val="21"/>
          <w:lang w:val="en-US" w:eastAsia="zh-CN"/>
        </w:rPr>
        <w:t>9</w:t>
      </w:r>
      <w:r>
        <w:rPr>
          <w:rFonts w:hint="eastAsia" w:ascii="Times New Roman" w:hAnsi="Times New Roman"/>
          <w:szCs w:val="21"/>
        </w:rPr>
        <w:t>月1日</w:t>
      </w:r>
    </w:p>
    <w:p>
      <w:pPr>
        <w:autoSpaceDE w:val="0"/>
        <w:autoSpaceDN w:val="0"/>
        <w:adjustRightInd w:val="0"/>
        <w:spacing w:line="360" w:lineRule="auto"/>
        <w:ind w:firstLine="4935" w:firstLineChars="2350"/>
        <w:jc w:val="right"/>
        <w:rPr>
          <w:rFonts w:hint="eastAsia" w:ascii="Times New Roman" w:hAnsi="Times New Roman"/>
          <w:szCs w:val="21"/>
        </w:rPr>
      </w:pPr>
    </w:p>
    <w:p>
      <w:pPr>
        <w:autoSpaceDE w:val="0"/>
        <w:autoSpaceDN w:val="0"/>
        <w:adjustRightInd w:val="0"/>
        <w:spacing w:line="360" w:lineRule="auto"/>
        <w:ind w:firstLine="4935" w:firstLineChars="2350"/>
        <w:jc w:val="right"/>
        <w:rPr>
          <w:rFonts w:hint="eastAsia" w:ascii="Times New Roman" w:hAnsi="Times New Roman"/>
          <w:szCs w:val="21"/>
        </w:rPr>
      </w:pPr>
    </w:p>
    <w:p>
      <w:pPr>
        <w:autoSpaceDE w:val="0"/>
        <w:autoSpaceDN w:val="0"/>
        <w:adjustRightInd w:val="0"/>
        <w:spacing w:line="360" w:lineRule="auto"/>
        <w:ind w:firstLine="4935" w:firstLineChars="2350"/>
        <w:jc w:val="right"/>
        <w:rPr>
          <w:rFonts w:hint="eastAsia" w:ascii="Times New Roman" w:hAnsi="Times New Roman"/>
          <w:szCs w:val="21"/>
        </w:rPr>
      </w:pPr>
    </w:p>
    <w:p>
      <w:pPr>
        <w:autoSpaceDE w:val="0"/>
        <w:autoSpaceDN w:val="0"/>
        <w:adjustRightInd w:val="0"/>
        <w:spacing w:line="360" w:lineRule="auto"/>
        <w:ind w:firstLine="4935" w:firstLineChars="2350"/>
        <w:jc w:val="right"/>
        <w:rPr>
          <w:rFonts w:hint="eastAsia" w:ascii="Times New Roman" w:hAnsi="Times New Roman"/>
          <w:szCs w:val="21"/>
        </w:rPr>
      </w:pPr>
    </w:p>
    <w:p>
      <w:pPr>
        <w:autoSpaceDE w:val="0"/>
        <w:autoSpaceDN w:val="0"/>
        <w:adjustRightInd w:val="0"/>
        <w:spacing w:line="360" w:lineRule="auto"/>
        <w:ind w:firstLine="4935" w:firstLineChars="2350"/>
        <w:jc w:val="right"/>
        <w:rPr>
          <w:rFonts w:hint="eastAsia" w:ascii="Times New Roman" w:hAnsi="Times New Roman"/>
          <w:szCs w:val="21"/>
        </w:rPr>
      </w:pPr>
    </w:p>
    <w:p>
      <w:pPr>
        <w:autoSpaceDE w:val="0"/>
        <w:autoSpaceDN w:val="0"/>
        <w:adjustRightInd w:val="0"/>
        <w:spacing w:line="360" w:lineRule="auto"/>
        <w:ind w:firstLine="4935" w:firstLineChars="2350"/>
        <w:jc w:val="right"/>
        <w:rPr>
          <w:rFonts w:hint="eastAsia" w:ascii="Times New Roman" w:hAnsi="Times New Roman"/>
          <w:szCs w:val="21"/>
        </w:rPr>
      </w:pPr>
    </w:p>
    <w:p>
      <w:pPr>
        <w:autoSpaceDE w:val="0"/>
        <w:autoSpaceDN w:val="0"/>
        <w:adjustRightInd w:val="0"/>
        <w:spacing w:line="360" w:lineRule="auto"/>
        <w:ind w:firstLine="4935" w:firstLineChars="2350"/>
        <w:jc w:val="right"/>
        <w:rPr>
          <w:rFonts w:hint="eastAsia" w:ascii="Times New Roman" w:hAnsi="Times New Roman"/>
          <w:szCs w:val="21"/>
        </w:rPr>
      </w:pPr>
    </w:p>
    <w:p>
      <w:pPr>
        <w:autoSpaceDE w:val="0"/>
        <w:autoSpaceDN w:val="0"/>
        <w:adjustRightInd w:val="0"/>
        <w:spacing w:line="360" w:lineRule="auto"/>
        <w:ind w:firstLine="4935" w:firstLineChars="2350"/>
        <w:jc w:val="right"/>
        <w:rPr>
          <w:rFonts w:hint="eastAsia" w:ascii="Times New Roman" w:hAnsi="Times New Roman"/>
          <w:szCs w:val="21"/>
        </w:rPr>
      </w:pPr>
    </w:p>
    <w:p>
      <w:pPr>
        <w:autoSpaceDE w:val="0"/>
        <w:autoSpaceDN w:val="0"/>
        <w:adjustRightInd w:val="0"/>
        <w:spacing w:line="360" w:lineRule="auto"/>
        <w:ind w:firstLine="4935" w:firstLineChars="2350"/>
        <w:jc w:val="right"/>
        <w:rPr>
          <w:rFonts w:hint="eastAsia" w:ascii="Times New Roman" w:hAnsi="Times New Roman"/>
          <w:szCs w:val="21"/>
        </w:rPr>
      </w:pPr>
    </w:p>
    <w:p>
      <w:pPr>
        <w:autoSpaceDE w:val="0"/>
        <w:autoSpaceDN w:val="0"/>
        <w:adjustRightInd w:val="0"/>
        <w:spacing w:line="360" w:lineRule="auto"/>
        <w:ind w:firstLine="4935" w:firstLineChars="2350"/>
        <w:jc w:val="right"/>
        <w:rPr>
          <w:rFonts w:hint="eastAsia" w:ascii="Times New Roman" w:hAnsi="Times New Roman"/>
          <w:szCs w:val="21"/>
        </w:rPr>
      </w:pPr>
    </w:p>
    <w:p>
      <w:pPr>
        <w:autoSpaceDE w:val="0"/>
        <w:autoSpaceDN w:val="0"/>
        <w:adjustRightInd w:val="0"/>
        <w:spacing w:line="360" w:lineRule="auto"/>
        <w:ind w:firstLine="4935" w:firstLineChars="2350"/>
        <w:jc w:val="right"/>
        <w:rPr>
          <w:rFonts w:hint="eastAsia" w:ascii="Times New Roman" w:hAnsi="Times New Roman"/>
          <w:szCs w:val="21"/>
        </w:rPr>
      </w:pPr>
    </w:p>
    <w:p>
      <w:pPr>
        <w:pStyle w:val="3"/>
        <w:bidi w:val="0"/>
        <w:jc w:val="center"/>
      </w:pPr>
      <w:bookmarkStart w:id="243" w:name="_Toc57384488"/>
      <w:bookmarkStart w:id="244" w:name="_Toc57364630"/>
      <w:bookmarkStart w:id="245" w:name="_Toc19290"/>
      <w:bookmarkStart w:id="246" w:name="_Toc57621338"/>
      <w:bookmarkStart w:id="247" w:name="_Toc57384881"/>
      <w:bookmarkStart w:id="248" w:name="_Toc57387680"/>
      <w:bookmarkStart w:id="249" w:name="_Toc57386065"/>
      <w:bookmarkStart w:id="250" w:name="_Toc57387411"/>
      <w:bookmarkStart w:id="251" w:name="_Toc2883"/>
      <w:bookmarkStart w:id="252" w:name="_Toc57385502"/>
      <w:r>
        <w:rPr>
          <w:rFonts w:hint="eastAsia"/>
        </w:rPr>
        <w:t>实验室认证认可(双语)（Q）</w:t>
      </w:r>
      <w:r>
        <w:t>课程教学大纲</w:t>
      </w:r>
      <w:bookmarkEnd w:id="243"/>
      <w:bookmarkEnd w:id="244"/>
      <w:bookmarkEnd w:id="245"/>
      <w:bookmarkEnd w:id="246"/>
      <w:bookmarkEnd w:id="247"/>
      <w:bookmarkEnd w:id="248"/>
      <w:bookmarkEnd w:id="249"/>
      <w:bookmarkEnd w:id="250"/>
      <w:bookmarkEnd w:id="251"/>
      <w:bookmarkEnd w:id="252"/>
    </w:p>
    <w:p>
      <w:pPr>
        <w:spacing w:line="312" w:lineRule="auto"/>
        <w:jc w:val="center"/>
        <w:rPr>
          <w:rFonts w:ascii="Times New Roman" w:hAnsi="Times New Roman" w:eastAsia="宋体" w:cs="Times New Roman"/>
          <w:b/>
          <w:bCs/>
          <w:sz w:val="30"/>
        </w:rPr>
      </w:pPr>
      <w:r>
        <w:rPr>
          <w:rFonts w:ascii="Times New Roman" w:hAnsi="Times New Roman" w:eastAsia="宋体" w:cs="Times New Roman"/>
          <w:b/>
          <w:bCs/>
          <w:sz w:val="30"/>
        </w:rPr>
        <w:t>（</w:t>
      </w:r>
      <w:r>
        <w:rPr>
          <w:rFonts w:hint="eastAsia" w:ascii="Times New Roman" w:hAnsi="Times New Roman" w:eastAsia="宋体" w:cs="Times New Roman"/>
          <w:sz w:val="30"/>
          <w:szCs w:val="30"/>
        </w:rPr>
        <w:t>L</w:t>
      </w:r>
      <w:r>
        <w:rPr>
          <w:rFonts w:ascii="Times New Roman" w:hAnsi="Times New Roman" w:eastAsia="宋体" w:cs="Times New Roman"/>
          <w:sz w:val="30"/>
          <w:szCs w:val="30"/>
        </w:rPr>
        <w:t>aboratory Accreditation</w:t>
      </w:r>
      <w:r>
        <w:rPr>
          <w:rFonts w:ascii="Times New Roman" w:hAnsi="Times New Roman" w:eastAsia="宋体" w:cs="Times New Roman"/>
          <w:b/>
          <w:bCs/>
          <w:sz w:val="30"/>
        </w:rPr>
        <w:t>）</w:t>
      </w:r>
    </w:p>
    <w:p>
      <w:pPr>
        <w:spacing w:line="360" w:lineRule="auto"/>
        <w:ind w:firstLine="551" w:firstLineChars="196"/>
        <w:rPr>
          <w:rFonts w:hint="eastAsia" w:ascii="Times New Roman" w:hAnsi="Times New Roman" w:eastAsia="宋体" w:cs="Times New Roman"/>
          <w:b/>
          <w:sz w:val="28"/>
          <w:szCs w:val="28"/>
        </w:rPr>
      </w:pPr>
      <w:r>
        <w:rPr>
          <w:rFonts w:ascii="Times New Roman" w:hAnsi="Times New Roman" w:eastAsia="宋体" w:cs="Times New Roman"/>
          <w:b/>
          <w:sz w:val="28"/>
          <w:szCs w:val="28"/>
        </w:rPr>
        <w:t>一、课程概况</w:t>
      </w:r>
    </w:p>
    <w:p>
      <w:pPr>
        <w:spacing w:line="360" w:lineRule="auto"/>
        <w:ind w:firstLine="482" w:firstLineChars="200"/>
        <w:rPr>
          <w:rFonts w:ascii="Times New Roman" w:hAnsi="Times New Roman" w:eastAsia="宋体" w:cs="Times New Roman"/>
          <w:b/>
          <w:sz w:val="28"/>
          <w:szCs w:val="28"/>
        </w:rPr>
      </w:pPr>
      <w:r>
        <w:rPr>
          <w:rFonts w:ascii="宋体" w:hAnsi="宋体" w:eastAsia="宋体" w:cs="Times New Roman"/>
          <w:b/>
          <w:bCs/>
          <w:kern w:val="0"/>
          <w:sz w:val="24"/>
        </w:rPr>
        <w:t>课程代码</w:t>
      </w:r>
      <w:r>
        <w:rPr>
          <w:rFonts w:ascii="宋体" w:hAnsi="宋体" w:eastAsia="宋体" w:cs="Times New Roman"/>
          <w:b/>
          <w:kern w:val="0"/>
          <w:sz w:val="24"/>
        </w:rPr>
        <w:t>：</w:t>
      </w:r>
      <w:r>
        <w:rPr>
          <w:rFonts w:hint="eastAsia" w:ascii="宋体" w:hAnsi="宋体" w:eastAsia="宋体" w:cs="Times New Roman"/>
          <w:b/>
          <w:kern w:val="0"/>
          <w:sz w:val="24"/>
        </w:rPr>
        <w:t>2</w:t>
      </w:r>
      <w:r>
        <w:rPr>
          <w:rFonts w:ascii="宋体" w:hAnsi="宋体" w:eastAsia="宋体" w:cs="Times New Roman"/>
          <w:b/>
          <w:kern w:val="0"/>
          <w:sz w:val="24"/>
        </w:rPr>
        <w:t>501021</w:t>
      </w:r>
    </w:p>
    <w:p>
      <w:pPr>
        <w:spacing w:line="360" w:lineRule="auto"/>
        <w:ind w:firstLine="482" w:firstLineChars="200"/>
        <w:rPr>
          <w:rFonts w:ascii="宋体" w:hAnsi="宋体" w:eastAsia="宋体" w:cs="Times New Roman"/>
          <w:b/>
          <w:kern w:val="0"/>
          <w:sz w:val="24"/>
        </w:rPr>
      </w:pPr>
      <w:r>
        <w:rPr>
          <w:rFonts w:ascii="宋体" w:hAnsi="宋体" w:eastAsia="宋体" w:cs="Times New Roman"/>
          <w:b/>
          <w:bCs/>
          <w:kern w:val="0"/>
          <w:sz w:val="24"/>
        </w:rPr>
        <w:t>学    分</w:t>
      </w:r>
      <w:r>
        <w:rPr>
          <w:rFonts w:ascii="宋体" w:hAnsi="宋体" w:eastAsia="宋体" w:cs="Times New Roman"/>
          <w:b/>
          <w:kern w:val="0"/>
          <w:sz w:val="24"/>
        </w:rPr>
        <w:t>： 2</w:t>
      </w:r>
    </w:p>
    <w:p>
      <w:pPr>
        <w:spacing w:line="360" w:lineRule="auto"/>
        <w:ind w:firstLine="482" w:firstLineChars="200"/>
        <w:rPr>
          <w:rFonts w:ascii="宋体" w:hAnsi="宋体" w:eastAsia="宋体" w:cs="Times New Roman"/>
          <w:kern w:val="0"/>
          <w:sz w:val="24"/>
        </w:rPr>
      </w:pPr>
      <w:r>
        <w:rPr>
          <w:rFonts w:ascii="宋体" w:hAnsi="宋体" w:eastAsia="宋体" w:cs="Times New Roman"/>
          <w:b/>
          <w:bCs/>
          <w:kern w:val="0"/>
          <w:sz w:val="24"/>
        </w:rPr>
        <w:t>学    时</w:t>
      </w:r>
      <w:r>
        <w:rPr>
          <w:rFonts w:ascii="宋体" w:hAnsi="宋体" w:eastAsia="宋体" w:cs="Times New Roman"/>
          <w:b/>
          <w:kern w:val="0"/>
          <w:sz w:val="24"/>
        </w:rPr>
        <w:t>：</w:t>
      </w:r>
      <w:r>
        <w:rPr>
          <w:rFonts w:ascii="宋体" w:hAnsi="宋体" w:eastAsia="宋体" w:cs="Times New Roman"/>
          <w:kern w:val="0"/>
          <w:sz w:val="24"/>
        </w:rPr>
        <w:t xml:space="preserve"> </w:t>
      </w:r>
      <w:r>
        <w:rPr>
          <w:rFonts w:hint="eastAsia" w:ascii="宋体" w:hAnsi="宋体" w:eastAsia="宋体" w:cs="Times New Roman"/>
          <w:kern w:val="0"/>
          <w:sz w:val="24"/>
        </w:rPr>
        <w:t>32</w:t>
      </w:r>
      <w:r>
        <w:rPr>
          <w:rFonts w:ascii="宋体" w:hAnsi="宋体" w:eastAsia="宋体" w:cs="Times New Roman"/>
          <w:kern w:val="0"/>
          <w:sz w:val="24"/>
        </w:rPr>
        <w:t>（其中：讲授学时</w:t>
      </w:r>
      <w:r>
        <w:rPr>
          <w:rFonts w:hint="eastAsia" w:ascii="宋体" w:hAnsi="宋体" w:eastAsia="宋体" w:cs="Times New Roman"/>
          <w:kern w:val="0"/>
          <w:sz w:val="24"/>
        </w:rPr>
        <w:t>32，</w:t>
      </w:r>
      <w:r>
        <w:rPr>
          <w:rFonts w:ascii="宋体" w:hAnsi="宋体" w:eastAsia="宋体" w:cs="Times New Roman"/>
          <w:kern w:val="0"/>
          <w:sz w:val="24"/>
        </w:rPr>
        <w:t xml:space="preserve"> 实验学时</w:t>
      </w:r>
      <w:r>
        <w:rPr>
          <w:rFonts w:hint="eastAsia" w:ascii="宋体" w:hAnsi="宋体" w:eastAsia="宋体" w:cs="Times New Roman"/>
          <w:kern w:val="0"/>
          <w:sz w:val="24"/>
        </w:rPr>
        <w:t>0，</w:t>
      </w:r>
      <w:r>
        <w:rPr>
          <w:rFonts w:ascii="宋体" w:hAnsi="宋体" w:eastAsia="宋体" w:cs="Times New Roman"/>
          <w:kern w:val="0"/>
          <w:sz w:val="24"/>
        </w:rPr>
        <w:t>上机学时</w:t>
      </w:r>
      <w:r>
        <w:rPr>
          <w:rFonts w:hint="eastAsia" w:ascii="宋体" w:hAnsi="宋体" w:eastAsia="宋体" w:cs="Times New Roman"/>
          <w:kern w:val="0"/>
          <w:sz w:val="24"/>
        </w:rPr>
        <w:t>0</w:t>
      </w:r>
      <w:r>
        <w:rPr>
          <w:rFonts w:ascii="宋体" w:hAnsi="宋体" w:eastAsia="宋体" w:cs="Times New Roman"/>
          <w:kern w:val="0"/>
          <w:sz w:val="24"/>
        </w:rPr>
        <w:t xml:space="preserve"> ）</w:t>
      </w:r>
    </w:p>
    <w:p>
      <w:pPr>
        <w:spacing w:line="360" w:lineRule="auto"/>
        <w:ind w:firstLine="482" w:firstLineChars="200"/>
        <w:rPr>
          <w:rFonts w:ascii="宋体" w:hAnsi="宋体" w:eastAsia="宋体" w:cs="Times New Roman"/>
          <w:b/>
          <w:bCs/>
          <w:kern w:val="0"/>
          <w:sz w:val="24"/>
        </w:rPr>
      </w:pPr>
      <w:r>
        <w:rPr>
          <w:rFonts w:ascii="宋体" w:hAnsi="宋体" w:eastAsia="宋体" w:cs="Times New Roman"/>
          <w:b/>
          <w:bCs/>
          <w:kern w:val="0"/>
          <w:sz w:val="24"/>
        </w:rPr>
        <w:t>先修课程</w:t>
      </w:r>
      <w:r>
        <w:rPr>
          <w:rFonts w:ascii="宋体" w:hAnsi="宋体" w:eastAsia="宋体" w:cs="Times New Roman"/>
          <w:b/>
          <w:kern w:val="0"/>
          <w:sz w:val="24"/>
        </w:rPr>
        <w:t>：</w:t>
      </w:r>
      <w:r>
        <w:rPr>
          <w:rFonts w:hint="eastAsia" w:ascii="宋体" w:hAnsi="宋体" w:eastAsia="宋体" w:cs="Times New Roman"/>
          <w:b/>
          <w:kern w:val="0"/>
          <w:sz w:val="24"/>
        </w:rPr>
        <w:t>分析化学</w:t>
      </w:r>
    </w:p>
    <w:p>
      <w:pPr>
        <w:spacing w:line="360" w:lineRule="auto"/>
        <w:ind w:firstLine="482" w:firstLineChars="200"/>
        <w:rPr>
          <w:rFonts w:ascii="宋体" w:hAnsi="宋体" w:eastAsia="宋体" w:cs="Times New Roman"/>
          <w:kern w:val="0"/>
          <w:sz w:val="24"/>
        </w:rPr>
      </w:pPr>
      <w:r>
        <w:rPr>
          <w:rFonts w:ascii="宋体" w:hAnsi="宋体" w:eastAsia="宋体" w:cs="Times New Roman"/>
          <w:b/>
          <w:bCs/>
          <w:kern w:val="0"/>
          <w:sz w:val="24"/>
        </w:rPr>
        <w:t>适用专业</w:t>
      </w:r>
      <w:r>
        <w:rPr>
          <w:rFonts w:ascii="宋体" w:hAnsi="宋体" w:eastAsia="宋体" w:cs="Times New Roman"/>
          <w:b/>
          <w:kern w:val="0"/>
          <w:sz w:val="24"/>
        </w:rPr>
        <w:t>：</w:t>
      </w:r>
      <w:r>
        <w:rPr>
          <w:rFonts w:hint="eastAsia" w:ascii="宋体" w:hAnsi="宋体" w:eastAsia="宋体" w:cs="Times New Roman"/>
          <w:b/>
          <w:kern w:val="0"/>
          <w:sz w:val="24"/>
        </w:rPr>
        <w:t>化学工程与工艺</w:t>
      </w:r>
      <w:r>
        <w:rPr>
          <w:rFonts w:ascii="宋体" w:hAnsi="宋体" w:eastAsia="宋体" w:cs="Times New Roman"/>
          <w:kern w:val="0"/>
          <w:sz w:val="24"/>
        </w:rPr>
        <w:t xml:space="preserve">                          </w:t>
      </w:r>
    </w:p>
    <w:p>
      <w:pPr>
        <w:spacing w:line="360" w:lineRule="auto"/>
        <w:ind w:firstLine="482" w:firstLineChars="200"/>
        <w:rPr>
          <w:rFonts w:ascii="宋体" w:hAnsi="宋体" w:eastAsia="宋体" w:cs="Times New Roman"/>
          <w:kern w:val="0"/>
          <w:sz w:val="24"/>
        </w:rPr>
      </w:pPr>
      <w:r>
        <w:rPr>
          <w:rFonts w:ascii="宋体" w:hAnsi="宋体" w:eastAsia="宋体" w:cs="Times New Roman"/>
          <w:b/>
          <w:bCs/>
          <w:kern w:val="0"/>
          <w:sz w:val="24"/>
        </w:rPr>
        <w:t>教</w:t>
      </w:r>
      <w:r>
        <w:rPr>
          <w:rFonts w:hint="eastAsia" w:ascii="宋体" w:hAnsi="宋体" w:eastAsia="宋体" w:cs="Times New Roman"/>
          <w:b/>
          <w:bCs/>
          <w:kern w:val="0"/>
          <w:sz w:val="24"/>
        </w:rPr>
        <w:t xml:space="preserve">   </w:t>
      </w:r>
      <w:r>
        <w:rPr>
          <w:rFonts w:ascii="宋体" w:hAnsi="宋体" w:eastAsia="宋体" w:cs="Times New Roman"/>
          <w:b/>
          <w:bCs/>
          <w:kern w:val="0"/>
          <w:sz w:val="24"/>
        </w:rPr>
        <w:t>材</w:t>
      </w:r>
      <w:r>
        <w:rPr>
          <w:rFonts w:ascii="宋体" w:hAnsi="宋体" w:eastAsia="宋体" w:cs="Times New Roman"/>
          <w:b/>
          <w:kern w:val="0"/>
          <w:sz w:val="24"/>
        </w:rPr>
        <w:t>：</w:t>
      </w:r>
      <w:r>
        <w:rPr>
          <w:rFonts w:ascii="宋体" w:hAnsi="宋体" w:eastAsia="宋体" w:cs="Times New Roman"/>
          <w:kern w:val="0"/>
          <w:sz w:val="24"/>
        </w:rPr>
        <w:t>《</w:t>
      </w:r>
      <w:r>
        <w:rPr>
          <w:rFonts w:hint="eastAsia" w:ascii="宋体" w:hAnsi="宋体" w:eastAsia="宋体" w:cs="Times New Roman"/>
          <w:bCs/>
          <w:kern w:val="0"/>
          <w:sz w:val="24"/>
        </w:rPr>
        <w:t>实验室认可与管理基础知识</w:t>
      </w:r>
      <w:r>
        <w:rPr>
          <w:rFonts w:ascii="宋体" w:hAnsi="宋体" w:eastAsia="宋体" w:cs="Times New Roman"/>
          <w:kern w:val="0"/>
          <w:sz w:val="24"/>
        </w:rPr>
        <w:t>》</w:t>
      </w:r>
      <w:r>
        <w:rPr>
          <w:rFonts w:ascii="Times New Roman" w:hAnsi="Times New Roman" w:eastAsia="宋体" w:cs="Times New Roman"/>
          <w:kern w:val="0"/>
          <w:sz w:val="24"/>
        </w:rPr>
        <w:t>，</w:t>
      </w:r>
      <w:r>
        <w:rPr>
          <w:rFonts w:hint="eastAsia" w:ascii="Times New Roman" w:hAnsi="Times New Roman" w:eastAsia="宋体" w:cs="Times New Roman"/>
          <w:bCs/>
          <w:kern w:val="0"/>
          <w:sz w:val="24"/>
        </w:rPr>
        <w:t>中国实验室国家认可委员会编</w:t>
      </w:r>
      <w:r>
        <w:rPr>
          <w:rFonts w:ascii="Times New Roman" w:hAnsi="Times New Roman" w:eastAsia="宋体" w:cs="Times New Roman"/>
          <w:kern w:val="0"/>
          <w:sz w:val="24"/>
        </w:rPr>
        <w:t>，</w:t>
      </w:r>
      <w:r>
        <w:rPr>
          <w:rFonts w:hint="eastAsia" w:ascii="Times New Roman" w:hAnsi="Times New Roman" w:eastAsia="宋体" w:cs="Times New Roman"/>
          <w:kern w:val="0"/>
          <w:sz w:val="24"/>
        </w:rPr>
        <w:t>中国计量出版社</w:t>
      </w:r>
    </w:p>
    <w:p>
      <w:pPr>
        <w:spacing w:line="360" w:lineRule="auto"/>
        <w:ind w:firstLine="482" w:firstLineChars="200"/>
        <w:rPr>
          <w:rFonts w:ascii="宋体" w:hAnsi="宋体" w:eastAsia="宋体" w:cs="Times New Roman"/>
          <w:kern w:val="0"/>
          <w:sz w:val="24"/>
        </w:rPr>
      </w:pPr>
      <w:r>
        <w:rPr>
          <w:rFonts w:ascii="宋体" w:hAnsi="宋体" w:eastAsia="宋体" w:cs="Times New Roman"/>
          <w:b/>
          <w:bCs/>
          <w:kern w:val="0"/>
          <w:sz w:val="24"/>
        </w:rPr>
        <w:t>课程归口：</w:t>
      </w:r>
      <w:r>
        <w:rPr>
          <w:rFonts w:hint="eastAsia" w:ascii="宋体" w:hAnsi="宋体" w:eastAsia="宋体" w:cs="Times New Roman"/>
          <w:bCs/>
          <w:kern w:val="0"/>
          <w:sz w:val="24"/>
        </w:rPr>
        <w:t>化工与材料</w:t>
      </w:r>
      <w:r>
        <w:rPr>
          <w:rFonts w:ascii="宋体" w:hAnsi="宋体" w:eastAsia="宋体" w:cs="Times New Roman"/>
          <w:kern w:val="0"/>
          <w:sz w:val="24"/>
        </w:rPr>
        <w:t>学院</w:t>
      </w:r>
    </w:p>
    <w:p>
      <w:pPr>
        <w:spacing w:line="360" w:lineRule="auto"/>
        <w:ind w:firstLine="482" w:firstLineChars="200"/>
        <w:rPr>
          <w:rFonts w:ascii="宋体" w:hAnsi="宋体" w:eastAsia="宋体" w:cs="Times New Roman"/>
          <w:kern w:val="0"/>
          <w:sz w:val="24"/>
        </w:rPr>
      </w:pPr>
      <w:r>
        <w:rPr>
          <w:rFonts w:ascii="Times New Roman" w:hAnsi="Times New Roman" w:eastAsia="宋体" w:cs="Times New Roman"/>
          <w:b/>
          <w:bCs/>
          <w:kern w:val="0"/>
          <w:sz w:val="24"/>
        </w:rPr>
        <w:t>课程团队：</w:t>
      </w:r>
      <w:r>
        <w:rPr>
          <w:rFonts w:hint="eastAsia" w:ascii="Times New Roman" w:hAnsi="Times New Roman" w:eastAsia="宋体" w:cs="Times New Roman"/>
          <w:kern w:val="0"/>
          <w:sz w:val="24"/>
        </w:rPr>
        <w:t>吴泽颖、丁琳琳、魏雪姣、王玮、张震威、李殷等</w:t>
      </w:r>
    </w:p>
    <w:p>
      <w:pPr>
        <w:autoSpaceDE w:val="0"/>
        <w:autoSpaceDN w:val="0"/>
        <w:adjustRightInd w:val="0"/>
        <w:spacing w:line="360" w:lineRule="auto"/>
        <w:ind w:firstLine="482" w:firstLineChars="200"/>
        <w:jc w:val="left"/>
        <w:rPr>
          <w:rFonts w:ascii="Times New Roman" w:hAnsi="Times New Roman" w:eastAsia="宋体" w:cs="Times New Roman"/>
          <w:sz w:val="24"/>
        </w:rPr>
      </w:pPr>
      <w:r>
        <w:rPr>
          <w:rFonts w:hint="eastAsia" w:ascii="宋体" w:hAnsi="宋体" w:eastAsia="宋体" w:cs="Times New Roman"/>
          <w:b/>
          <w:bCs/>
          <w:kern w:val="0"/>
          <w:sz w:val="24"/>
        </w:rPr>
        <w:t>课程的性质与任务：</w:t>
      </w:r>
      <w:r>
        <w:rPr>
          <w:rFonts w:hint="eastAsia" w:ascii="Times New Roman" w:hAnsi="Times New Roman" w:eastAsia="宋体" w:cs="Times New Roman"/>
          <w:kern w:val="0"/>
          <w:sz w:val="24"/>
        </w:rPr>
        <w:t>本课程</w:t>
      </w:r>
      <w:r>
        <w:rPr>
          <w:rFonts w:ascii="Times New Roman" w:hAnsi="Times New Roman" w:eastAsia="宋体" w:cs="Times New Roman"/>
          <w:kern w:val="0"/>
          <w:sz w:val="24"/>
        </w:rPr>
        <w:t>是</w:t>
      </w:r>
      <w:r>
        <w:rPr>
          <w:rFonts w:hint="eastAsia" w:ascii="宋体" w:hAnsi="宋体" w:eastAsia="宋体" w:cs="Times New Roman"/>
          <w:bCs/>
          <w:kern w:val="0"/>
          <w:sz w:val="24"/>
        </w:rPr>
        <w:t>化学工程与工艺</w:t>
      </w:r>
      <w:r>
        <w:rPr>
          <w:rFonts w:ascii="Times New Roman" w:hAnsi="Times New Roman" w:eastAsia="宋体" w:cs="Times New Roman"/>
          <w:kern w:val="0"/>
          <w:sz w:val="24"/>
        </w:rPr>
        <w:t>专业的</w:t>
      </w:r>
      <w:r>
        <w:rPr>
          <w:rFonts w:hint="eastAsia" w:ascii="Times New Roman" w:hAnsi="Times New Roman" w:eastAsia="宋体" w:cs="Times New Roman"/>
          <w:kern w:val="0"/>
          <w:sz w:val="24"/>
        </w:rPr>
        <w:t>专业选修</w:t>
      </w:r>
      <w:r>
        <w:rPr>
          <w:rFonts w:ascii="Times New Roman" w:hAnsi="Times New Roman" w:eastAsia="宋体" w:cs="Times New Roman"/>
          <w:kern w:val="0"/>
          <w:sz w:val="24"/>
        </w:rPr>
        <w:t>课</w:t>
      </w:r>
      <w:r>
        <w:rPr>
          <w:rFonts w:ascii="Times New Roman" w:hAnsi="Times New Roman" w:eastAsia="宋体" w:cs="Times New Roman"/>
          <w:sz w:val="24"/>
        </w:rPr>
        <w:t>。通过本课程的学习，</w:t>
      </w:r>
      <w:r>
        <w:rPr>
          <w:rFonts w:hint="eastAsia" w:ascii="Times New Roman" w:hAnsi="Times New Roman" w:eastAsia="宋体" w:cs="Times New Roman"/>
          <w:sz w:val="24"/>
        </w:rPr>
        <w:t>使学生在已学过化学分析等课程的基础上，学习和掌握学生实验室认证认可的知识基础，全面了解实验室认证认可体系，掌握实验室管理的要求，顺利实现由学校到职场的过渡。</w:t>
      </w:r>
    </w:p>
    <w:p>
      <w:pPr>
        <w:spacing w:line="360" w:lineRule="auto"/>
        <w:ind w:firstLine="562" w:firstLineChars="200"/>
        <w:rPr>
          <w:rFonts w:ascii="Times New Roman" w:hAnsi="Times New Roman" w:eastAsia="宋体" w:cs="Times New Roman"/>
          <w:b/>
          <w:sz w:val="28"/>
          <w:szCs w:val="28"/>
        </w:rPr>
      </w:pPr>
      <w:r>
        <w:rPr>
          <w:rFonts w:hint="eastAsia" w:ascii="Times New Roman" w:hAnsi="Times New Roman" w:eastAsia="宋体" w:cs="Times New Roman"/>
          <w:b/>
          <w:sz w:val="28"/>
          <w:szCs w:val="28"/>
        </w:rPr>
        <w:t>二</w:t>
      </w:r>
      <w:r>
        <w:rPr>
          <w:rFonts w:ascii="Times New Roman" w:hAnsi="Times New Roman" w:eastAsia="宋体" w:cs="Times New Roman"/>
          <w:b/>
          <w:sz w:val="28"/>
          <w:szCs w:val="28"/>
        </w:rPr>
        <w:t>、课程目标及对毕业要求观测点的支撑</w:t>
      </w:r>
    </w:p>
    <w:p>
      <w:pPr>
        <w:spacing w:line="360" w:lineRule="auto"/>
        <w:ind w:firstLine="482"/>
        <w:jc w:val="left"/>
        <w:rPr>
          <w:rFonts w:hint="eastAsia" w:ascii="Times New Roman" w:hAnsi="Times New Roman" w:eastAsia="宋体" w:cs="Times New Roman"/>
          <w:sz w:val="24"/>
        </w:rPr>
      </w:pPr>
      <w:r>
        <w:rPr>
          <w:rFonts w:hint="eastAsia" w:ascii="Times New Roman" w:hAnsi="Times New Roman" w:eastAsia="宋体" w:cs="Times New Roman"/>
          <w:sz w:val="24"/>
        </w:rPr>
        <w:t>目标</w:t>
      </w:r>
      <w:r>
        <w:rPr>
          <w:rFonts w:ascii="Times New Roman" w:hAnsi="Times New Roman" w:eastAsia="宋体" w:cs="Times New Roman"/>
          <w:sz w:val="24"/>
        </w:rPr>
        <w:t>1.</w:t>
      </w:r>
      <w:r>
        <w:rPr>
          <w:rFonts w:hint="eastAsia" w:ascii="Times New Roman" w:hAnsi="Times New Roman" w:eastAsia="宋体" w:cs="Times New Roman"/>
        </w:rPr>
        <w:t xml:space="preserve"> </w:t>
      </w:r>
      <w:r>
        <w:rPr>
          <w:rFonts w:hint="eastAsia" w:ascii="Times New Roman" w:hAnsi="Times New Roman" w:eastAsia="宋体" w:cs="Times New Roman"/>
          <w:sz w:val="24"/>
        </w:rPr>
        <w:t>具有道德文化素养和社会责任感，在工作中自觉遵守职业道德和规范。</w:t>
      </w:r>
    </w:p>
    <w:p>
      <w:pPr>
        <w:spacing w:line="360" w:lineRule="auto"/>
        <w:ind w:firstLine="482"/>
        <w:jc w:val="left"/>
        <w:rPr>
          <w:rFonts w:ascii="Times New Roman" w:hAnsi="Times New Roman" w:eastAsia="宋体" w:cs="Times New Roman"/>
          <w:sz w:val="24"/>
        </w:rPr>
      </w:pPr>
      <w:r>
        <w:rPr>
          <w:rFonts w:hint="eastAsia" w:ascii="Times New Roman" w:hAnsi="Times New Roman" w:eastAsia="宋体" w:cs="Times New Roman"/>
          <w:sz w:val="24"/>
        </w:rPr>
        <w:t>目标</w:t>
      </w:r>
      <w:r>
        <w:rPr>
          <w:rFonts w:ascii="Times New Roman" w:hAnsi="Times New Roman" w:eastAsia="宋体" w:cs="Times New Roman"/>
          <w:sz w:val="24"/>
        </w:rPr>
        <w:t xml:space="preserve">2. </w:t>
      </w:r>
      <w:r>
        <w:rPr>
          <w:rFonts w:hint="eastAsia" w:ascii="Times New Roman" w:hAnsi="Times New Roman" w:eastAsia="宋体" w:cs="Times New Roman"/>
          <w:sz w:val="24"/>
        </w:rPr>
        <w:t>具备良好的专业综合素养，能够综合运用化学工程与工艺基础理论和专业知识，针对化学工程与工艺领域的复杂工程问题，设计有效的技术解决方案。</w:t>
      </w:r>
    </w:p>
    <w:p>
      <w:pPr>
        <w:spacing w:line="360" w:lineRule="auto"/>
        <w:ind w:firstLine="482"/>
        <w:jc w:val="left"/>
        <w:rPr>
          <w:rFonts w:ascii="Times New Roman" w:hAnsi="Times New Roman" w:eastAsia="宋体" w:cs="Times New Roman"/>
          <w:sz w:val="24"/>
        </w:rPr>
      </w:pPr>
      <w:r>
        <w:rPr>
          <w:rFonts w:hint="eastAsia" w:ascii="Times New Roman" w:hAnsi="Times New Roman" w:eastAsia="宋体" w:cs="Times New Roman"/>
          <w:sz w:val="24"/>
        </w:rPr>
        <w:t>目标</w:t>
      </w:r>
      <w:r>
        <w:rPr>
          <w:rFonts w:ascii="Times New Roman" w:hAnsi="Times New Roman" w:eastAsia="宋体" w:cs="Times New Roman"/>
          <w:sz w:val="24"/>
        </w:rPr>
        <w:t xml:space="preserve">3. </w:t>
      </w:r>
      <w:r>
        <w:rPr>
          <w:rFonts w:hint="eastAsia" w:ascii="Times New Roman" w:hAnsi="Times New Roman" w:eastAsia="宋体" w:cs="Times New Roman"/>
          <w:sz w:val="24"/>
        </w:rPr>
        <w:t>具有独立从事工艺开发、产品研发、工程设计和应用及项目管理等工作的能力。</w:t>
      </w:r>
    </w:p>
    <w:p>
      <w:pPr>
        <w:spacing w:line="360" w:lineRule="auto"/>
        <w:ind w:firstLine="482"/>
        <w:jc w:val="left"/>
        <w:rPr>
          <w:rFonts w:ascii="Times New Roman" w:hAnsi="Times New Roman" w:eastAsia="宋体" w:cs="Times New Roman"/>
          <w:sz w:val="24"/>
        </w:rPr>
      </w:pPr>
      <w:r>
        <w:rPr>
          <w:rFonts w:hint="eastAsia" w:ascii="Times New Roman" w:hAnsi="Times New Roman" w:eastAsia="宋体" w:cs="Times New Roman"/>
          <w:sz w:val="24"/>
        </w:rPr>
        <w:t>目标4</w:t>
      </w:r>
      <w:r>
        <w:rPr>
          <w:rFonts w:ascii="Times New Roman" w:hAnsi="Times New Roman" w:eastAsia="宋体" w:cs="Times New Roman"/>
          <w:sz w:val="24"/>
        </w:rPr>
        <w:t xml:space="preserve">. </w:t>
      </w:r>
      <w:r>
        <w:rPr>
          <w:rFonts w:hint="eastAsia" w:ascii="Times New Roman" w:hAnsi="Times New Roman" w:eastAsia="宋体" w:cs="Times New Roman"/>
          <w:sz w:val="24"/>
        </w:rPr>
        <w:t>具有良好的沟通和团队合作能力，适应化工、制药、环境和材料工程等相关企业的团队工作环境，能够组织和实施工程项目，并有一定的国际化视野。</w:t>
      </w:r>
    </w:p>
    <w:tbl>
      <w:tblPr>
        <w:tblStyle w:val="10"/>
        <w:tblpPr w:leftFromText="180" w:rightFromText="180" w:vertAnchor="text" w:horzAnchor="page" w:tblpX="1447" w:tblpY="629"/>
        <w:tblOverlap w:val="never"/>
        <w:tblW w:w="9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118"/>
        <w:gridCol w:w="2292"/>
        <w:gridCol w:w="3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738" w:type="dxa"/>
            <w:noWrap/>
            <w:vAlign w:val="center"/>
          </w:tcPr>
          <w:p>
            <w:pPr>
              <w:widowControl/>
              <w:jc w:val="center"/>
              <w:rPr>
                <w:rFonts w:ascii="Times New Roman" w:hAnsi="Times New Roman" w:eastAsia="宋体" w:cs="Times New Roman"/>
                <w:b/>
                <w:bCs/>
                <w:kern w:val="0"/>
                <w:szCs w:val="21"/>
              </w:rPr>
            </w:pPr>
            <w:r>
              <w:rPr>
                <w:rFonts w:ascii="Times New Roman" w:hAnsi="Times New Roman" w:eastAsia="宋体" w:cs="Times New Roman"/>
                <w:b/>
                <w:bCs/>
                <w:kern w:val="0"/>
                <w:szCs w:val="21"/>
              </w:rPr>
              <w:t>序号</w:t>
            </w:r>
          </w:p>
        </w:tc>
        <w:tc>
          <w:tcPr>
            <w:tcW w:w="3118" w:type="dxa"/>
            <w:noWrap/>
            <w:vAlign w:val="center"/>
          </w:tcPr>
          <w:p>
            <w:pPr>
              <w:widowControl/>
              <w:jc w:val="center"/>
              <w:rPr>
                <w:rFonts w:ascii="Times New Roman" w:hAnsi="Times New Roman" w:eastAsia="宋体" w:cs="Times New Roman"/>
                <w:b/>
                <w:bCs/>
                <w:kern w:val="0"/>
                <w:szCs w:val="21"/>
              </w:rPr>
            </w:pPr>
            <w:r>
              <w:rPr>
                <w:rFonts w:ascii="Times New Roman" w:hAnsi="Times New Roman" w:eastAsia="宋体" w:cs="Times New Roman"/>
                <w:b/>
                <w:bCs/>
                <w:kern w:val="0"/>
                <w:szCs w:val="21"/>
              </w:rPr>
              <w:t>课程目标</w:t>
            </w:r>
          </w:p>
          <w:p>
            <w:pPr>
              <w:widowControl/>
              <w:jc w:val="center"/>
              <w:rPr>
                <w:rFonts w:ascii="Times New Roman" w:hAnsi="Times New Roman" w:eastAsia="宋体" w:cs="Times New Roman"/>
                <w:b/>
                <w:bCs/>
                <w:kern w:val="0"/>
                <w:szCs w:val="21"/>
              </w:rPr>
            </w:pPr>
          </w:p>
        </w:tc>
        <w:tc>
          <w:tcPr>
            <w:tcW w:w="2292" w:type="dxa"/>
            <w:noWrap/>
            <w:vAlign w:val="center"/>
          </w:tcPr>
          <w:p>
            <w:pPr>
              <w:widowControl/>
              <w:jc w:val="center"/>
              <w:rPr>
                <w:rFonts w:ascii="Times New Roman" w:hAnsi="Times New Roman" w:eastAsia="宋体" w:cs="Times New Roman"/>
                <w:b/>
                <w:bCs/>
                <w:kern w:val="0"/>
                <w:szCs w:val="21"/>
              </w:rPr>
            </w:pPr>
            <w:r>
              <w:rPr>
                <w:rFonts w:ascii="Times New Roman" w:hAnsi="Times New Roman" w:eastAsia="宋体" w:cs="Times New Roman"/>
                <w:b/>
                <w:bCs/>
                <w:kern w:val="0"/>
                <w:szCs w:val="21"/>
              </w:rPr>
              <w:t>支撑毕业要求观测点</w:t>
            </w:r>
          </w:p>
        </w:tc>
        <w:tc>
          <w:tcPr>
            <w:tcW w:w="3066" w:type="dxa"/>
            <w:noWrap/>
            <w:vAlign w:val="center"/>
          </w:tcPr>
          <w:p>
            <w:pPr>
              <w:widowControl/>
              <w:jc w:val="center"/>
              <w:rPr>
                <w:rFonts w:ascii="Times New Roman" w:hAnsi="Times New Roman" w:eastAsia="宋体" w:cs="Times New Roman"/>
                <w:b/>
                <w:bCs/>
                <w:kern w:val="0"/>
                <w:szCs w:val="21"/>
              </w:rPr>
            </w:pPr>
            <w:r>
              <w:rPr>
                <w:rFonts w:ascii="Times New Roman" w:hAnsi="Times New Roman" w:eastAsia="宋体" w:cs="Times New Roman"/>
                <w:b/>
                <w:bCs/>
                <w:kern w:val="0"/>
                <w:szCs w:val="21"/>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738" w:type="dxa"/>
            <w:noWrap/>
            <w:vAlign w:val="center"/>
          </w:tcPr>
          <w:p>
            <w:pPr>
              <w:widowControl/>
              <w:jc w:val="center"/>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1</w:t>
            </w:r>
          </w:p>
        </w:tc>
        <w:tc>
          <w:tcPr>
            <w:tcW w:w="3118" w:type="dxa"/>
            <w:noWrap/>
            <w:vAlign w:val="center"/>
          </w:tcPr>
          <w:p>
            <w:pPr>
              <w:widowControl/>
              <w:rPr>
                <w:rFonts w:hint="eastAsia" w:ascii="Times New Roman" w:hAnsi="Times New Roman" w:eastAsia="宋体" w:cs="Times New Roman"/>
                <w:color w:val="000000"/>
                <w:kern w:val="0"/>
                <w:szCs w:val="21"/>
              </w:rPr>
            </w:pPr>
            <w:r>
              <w:rPr>
                <w:rFonts w:ascii="Times New Roman" w:hAnsi="Times New Roman" w:eastAsia="宋体" w:cs="Times New Roman"/>
                <w:b/>
                <w:kern w:val="0"/>
                <w:szCs w:val="21"/>
              </w:rPr>
              <w:t>目标</w:t>
            </w:r>
            <w:r>
              <w:rPr>
                <w:rFonts w:hint="eastAsia" w:ascii="Times New Roman" w:hAnsi="Times New Roman" w:eastAsia="宋体" w:cs="Times New Roman"/>
                <w:b/>
                <w:kern w:val="0"/>
                <w:szCs w:val="21"/>
              </w:rPr>
              <w:t>1</w:t>
            </w:r>
            <w:r>
              <w:rPr>
                <w:rFonts w:ascii="Times New Roman" w:hAnsi="Times New Roman" w:eastAsia="宋体" w:cs="Times New Roman"/>
                <w:b/>
                <w:kern w:val="0"/>
                <w:szCs w:val="21"/>
              </w:rPr>
              <w:t>：</w:t>
            </w:r>
            <w:r>
              <w:rPr>
                <w:rFonts w:hint="eastAsia" w:ascii="Times New Roman" w:hAnsi="Times New Roman" w:eastAsia="宋体" w:cs="Times New Roman"/>
                <w:color w:val="000000"/>
                <w:kern w:val="0"/>
                <w:szCs w:val="21"/>
              </w:rPr>
              <w:t>具有良好的沟通和团队合作能力，适应化工、制药、环境和材料工程等相关企业的团队工作环境，能够组织和实施工程项目，并有一定的国际化视野。</w:t>
            </w:r>
          </w:p>
        </w:tc>
        <w:tc>
          <w:tcPr>
            <w:tcW w:w="2292" w:type="dxa"/>
            <w:noWrap/>
            <w:vAlign w:val="center"/>
          </w:tcPr>
          <w:p>
            <w:pPr>
              <w:widowControl/>
              <w:rPr>
                <w:rFonts w:ascii="Times New Roman" w:hAnsi="Times New Roman" w:eastAsia="宋体" w:cs="Times New Roman"/>
                <w:b/>
                <w:kern w:val="0"/>
                <w:szCs w:val="21"/>
              </w:rPr>
            </w:pPr>
            <w:r>
              <w:rPr>
                <w:rFonts w:hint="eastAsia" w:ascii="Times New Roman" w:hAnsi="Times New Roman" w:eastAsia="宋体" w:cs="Times New Roman"/>
                <w:b/>
                <w:bCs/>
                <w:color w:val="000000"/>
                <w:kern w:val="0"/>
              </w:rPr>
              <w:t>观测点</w:t>
            </w:r>
            <w:r>
              <w:rPr>
                <w:rFonts w:ascii="Times New Roman" w:hAnsi="Times New Roman" w:eastAsia="宋体" w:cs="Times New Roman"/>
                <w:b/>
                <w:bCs/>
                <w:color w:val="000000"/>
                <w:kern w:val="0"/>
              </w:rPr>
              <w:t>9</w:t>
            </w:r>
            <w:r>
              <w:rPr>
                <w:rFonts w:hint="eastAsia" w:ascii="Times New Roman" w:hAnsi="Times New Roman" w:eastAsia="宋体" w:cs="Times New Roman"/>
                <w:b/>
                <w:bCs/>
                <w:color w:val="000000"/>
                <w:kern w:val="0"/>
              </w:rPr>
              <w:t>.</w:t>
            </w:r>
            <w:r>
              <w:rPr>
                <w:rFonts w:ascii="Times New Roman" w:hAnsi="Times New Roman" w:eastAsia="宋体" w:cs="Times New Roman"/>
                <w:b/>
                <w:bCs/>
                <w:color w:val="000000"/>
                <w:kern w:val="0"/>
              </w:rPr>
              <w:t>2</w:t>
            </w:r>
            <w:r>
              <w:rPr>
                <w:rFonts w:hint="eastAsia" w:ascii="Times New Roman" w:hAnsi="Times New Roman" w:eastAsia="宋体" w:cs="Times New Roman"/>
                <w:b/>
                <w:bCs/>
                <w:color w:val="000000"/>
                <w:kern w:val="0"/>
              </w:rPr>
              <w:t>：</w:t>
            </w:r>
            <w:r>
              <w:rPr>
                <w:rFonts w:ascii="Times New Roman" w:hAnsi="Times New Roman" w:eastAsia="宋体" w:cs="Times New Roman"/>
                <w:color w:val="000000"/>
                <w:kern w:val="0"/>
              </w:rPr>
              <w:t>能够胜任团队成员的角色和责任，能独立完成团队分配的任务</w:t>
            </w:r>
          </w:p>
        </w:tc>
        <w:tc>
          <w:tcPr>
            <w:tcW w:w="3066" w:type="dxa"/>
            <w:noWrap/>
            <w:vAlign w:val="center"/>
          </w:tcPr>
          <w:p>
            <w:pPr>
              <w:widowControl/>
              <w:rPr>
                <w:rFonts w:ascii="Times New Roman" w:hAnsi="Times New Roman" w:eastAsia="宋体" w:cs="Times New Roman"/>
                <w:b/>
                <w:color w:val="000000"/>
                <w:kern w:val="0"/>
                <w:szCs w:val="21"/>
              </w:rPr>
            </w:pPr>
            <w:r>
              <w:rPr>
                <w:rFonts w:ascii="Times New Roman" w:hAnsi="Times New Roman" w:eastAsia="宋体" w:cs="Times New Roman"/>
                <w:b/>
                <w:bCs/>
                <w:color w:val="000000"/>
                <w:kern w:val="0"/>
              </w:rPr>
              <w:t>毕业要求9：</w:t>
            </w:r>
            <w:r>
              <w:rPr>
                <w:rFonts w:ascii="Times New Roman" w:hAnsi="Times New Roman" w:eastAsia="宋体" w:cs="Times New Roman"/>
                <w:color w:val="000000"/>
                <w:kern w:val="0"/>
              </w:rPr>
              <w:t>个人和团队：能够在多学科背景下的团队中承担个体、团队成员以及负责人的角色。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738" w:type="dxa"/>
            <w:noWrap/>
            <w:vAlign w:val="center"/>
          </w:tcPr>
          <w:p>
            <w:pPr>
              <w:widowControl/>
              <w:jc w:val="center"/>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2</w:t>
            </w:r>
          </w:p>
        </w:tc>
        <w:tc>
          <w:tcPr>
            <w:tcW w:w="3118" w:type="dxa"/>
            <w:noWrap/>
            <w:vAlign w:val="center"/>
          </w:tcPr>
          <w:p>
            <w:pPr>
              <w:widowControl/>
              <w:rPr>
                <w:rFonts w:hint="eastAsia" w:ascii="Times New Roman" w:hAnsi="Times New Roman" w:eastAsia="宋体" w:cs="Times New Roman"/>
                <w:color w:val="000000"/>
                <w:kern w:val="0"/>
                <w:szCs w:val="21"/>
              </w:rPr>
            </w:pPr>
            <w:r>
              <w:rPr>
                <w:rFonts w:ascii="Times New Roman" w:hAnsi="Times New Roman" w:eastAsia="宋体" w:cs="Times New Roman"/>
                <w:b/>
                <w:kern w:val="0"/>
                <w:szCs w:val="21"/>
              </w:rPr>
              <w:t>目标</w:t>
            </w:r>
            <w:r>
              <w:rPr>
                <w:rFonts w:hint="eastAsia" w:ascii="Times New Roman" w:hAnsi="Times New Roman" w:eastAsia="宋体" w:cs="Times New Roman"/>
                <w:b/>
                <w:kern w:val="0"/>
                <w:szCs w:val="21"/>
              </w:rPr>
              <w:t>2</w:t>
            </w:r>
            <w:r>
              <w:rPr>
                <w:rFonts w:ascii="Times New Roman" w:hAnsi="Times New Roman" w:eastAsia="宋体" w:cs="Times New Roman"/>
                <w:b/>
                <w:kern w:val="0"/>
                <w:szCs w:val="21"/>
              </w:rPr>
              <w:t>：</w:t>
            </w:r>
            <w:r>
              <w:rPr>
                <w:rFonts w:hint="eastAsia" w:ascii="Times New Roman" w:hAnsi="Times New Roman" w:eastAsia="宋体" w:cs="Times New Roman"/>
                <w:color w:val="000000"/>
                <w:kern w:val="0"/>
                <w:szCs w:val="21"/>
              </w:rPr>
              <w:t>具有独立从事工艺开发、产品研发、工程设计和应用及项目管理等工作的能力。</w:t>
            </w:r>
          </w:p>
          <w:p>
            <w:pPr>
              <w:widowControl/>
              <w:rPr>
                <w:rFonts w:ascii="Times New Roman" w:hAnsi="Times New Roman" w:eastAsia="宋体" w:cs="Times New Roman"/>
                <w:b/>
                <w:kern w:val="0"/>
                <w:szCs w:val="21"/>
              </w:rPr>
            </w:pPr>
          </w:p>
        </w:tc>
        <w:tc>
          <w:tcPr>
            <w:tcW w:w="2292" w:type="dxa"/>
            <w:noWrap/>
            <w:vAlign w:val="center"/>
          </w:tcPr>
          <w:p>
            <w:pPr>
              <w:widowControl/>
              <w:rPr>
                <w:rFonts w:ascii="Times New Roman" w:hAnsi="Times New Roman" w:eastAsia="宋体" w:cs="Times New Roman"/>
                <w:color w:val="000000"/>
                <w:kern w:val="0"/>
              </w:rPr>
            </w:pPr>
            <w:r>
              <w:rPr>
                <w:rFonts w:hint="eastAsia" w:ascii="Times New Roman" w:hAnsi="Times New Roman" w:eastAsia="宋体" w:cs="Times New Roman"/>
                <w:b/>
                <w:bCs/>
                <w:color w:val="000000"/>
                <w:kern w:val="0"/>
              </w:rPr>
              <w:t>观测点</w:t>
            </w:r>
            <w:r>
              <w:rPr>
                <w:rFonts w:hint="eastAsia" w:ascii="Times New Roman" w:hAnsi="Times New Roman" w:eastAsia="宋体" w:cs="Times New Roman"/>
                <w:b/>
                <w:bCs/>
              </w:rPr>
              <w:t>11.1：</w:t>
            </w:r>
            <w:r>
              <w:rPr>
                <w:rFonts w:ascii="Times New Roman" w:hAnsi="Times New Roman" w:eastAsia="宋体" w:cs="Times New Roman"/>
                <w:color w:val="000000"/>
                <w:kern w:val="0"/>
              </w:rPr>
              <w:t>掌握化工管理及经济学相关的知识</w:t>
            </w:r>
            <w:r>
              <w:rPr>
                <w:rFonts w:hint="eastAsia" w:ascii="Times New Roman" w:hAnsi="Times New Roman" w:eastAsia="宋体" w:cs="Times New Roman"/>
              </w:rPr>
              <w:t>。</w:t>
            </w:r>
          </w:p>
        </w:tc>
        <w:tc>
          <w:tcPr>
            <w:tcW w:w="3066" w:type="dxa"/>
            <w:noWrap/>
            <w:vAlign w:val="center"/>
          </w:tcPr>
          <w:p>
            <w:pPr>
              <w:widowControl/>
              <w:rPr>
                <w:rFonts w:ascii="Times New Roman" w:hAnsi="Times New Roman" w:eastAsia="宋体" w:cs="Times New Roman"/>
                <w:color w:val="000000"/>
                <w:kern w:val="0"/>
              </w:rPr>
            </w:pPr>
            <w:r>
              <w:rPr>
                <w:rFonts w:hint="eastAsia" w:ascii="Times New Roman" w:hAnsi="Times New Roman" w:eastAsia="宋体" w:cs="Times New Roman"/>
                <w:b/>
                <w:bCs/>
                <w:color w:val="000000"/>
                <w:kern w:val="0"/>
              </w:rPr>
              <w:t>毕业要求11：</w:t>
            </w:r>
            <w:r>
              <w:rPr>
                <w:rFonts w:ascii="Times New Roman" w:hAnsi="Times New Roman" w:eastAsia="宋体" w:cs="Times New Roman"/>
                <w:color w:val="000000"/>
                <w:kern w:val="0"/>
              </w:rPr>
              <w:t>项目管理：理解并掌握</w:t>
            </w:r>
            <w:r>
              <w:rPr>
                <w:rFonts w:ascii="Times New Roman" w:hAnsi="Times New Roman" w:eastAsia="宋体" w:cs="Times New Roman"/>
                <w:szCs w:val="21"/>
              </w:rPr>
              <w:t>化学工程与工艺领域</w:t>
            </w:r>
            <w:r>
              <w:rPr>
                <w:rFonts w:ascii="Times New Roman" w:hAnsi="Times New Roman" w:eastAsia="宋体" w:cs="Times New Roman"/>
                <w:color w:val="000000"/>
                <w:kern w:val="0"/>
              </w:rPr>
              <w:t>工程管理原理与经济决策方法，并能在多学科环境中应用。</w:t>
            </w:r>
          </w:p>
        </w:tc>
      </w:tr>
    </w:tbl>
    <w:p>
      <w:pPr>
        <w:spacing w:line="360" w:lineRule="auto"/>
        <w:jc w:val="left"/>
        <w:rPr>
          <w:rFonts w:hint="eastAsia" w:ascii="Times New Roman" w:hAnsi="Times New Roman" w:eastAsia="宋体" w:cs="Times New Roman"/>
          <w:sz w:val="24"/>
        </w:rPr>
      </w:pPr>
    </w:p>
    <w:p>
      <w:pPr>
        <w:spacing w:line="360" w:lineRule="auto"/>
        <w:rPr>
          <w:rFonts w:ascii="Times New Roman" w:hAnsi="Times New Roman" w:eastAsia="宋体" w:cs="Times New Roman"/>
          <w:b/>
          <w:sz w:val="28"/>
          <w:szCs w:val="28"/>
        </w:rPr>
      </w:pPr>
      <w:r>
        <w:rPr>
          <w:rFonts w:hint="eastAsia" w:ascii="Times New Roman" w:hAnsi="Times New Roman" w:eastAsia="宋体" w:cs="Times New Roman"/>
          <w:b/>
          <w:sz w:val="28"/>
          <w:szCs w:val="28"/>
        </w:rPr>
        <w:t>三</w:t>
      </w:r>
      <w:r>
        <w:rPr>
          <w:rFonts w:ascii="Times New Roman" w:hAnsi="Times New Roman" w:eastAsia="宋体" w:cs="Times New Roman"/>
          <w:b/>
          <w:sz w:val="28"/>
          <w:szCs w:val="28"/>
        </w:rPr>
        <w:t>、课程内容及要求</w:t>
      </w:r>
    </w:p>
    <w:tbl>
      <w:tblPr>
        <w:tblStyle w:val="10"/>
        <w:tblW w:w="9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2616"/>
        <w:gridCol w:w="1130"/>
        <w:gridCol w:w="2405"/>
        <w:gridCol w:w="720"/>
        <w:gridCol w:w="604"/>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0"/>
            <w:vAlign w:val="center"/>
          </w:tcPr>
          <w:p>
            <w:pPr>
              <w:jc w:val="center"/>
              <w:rPr>
                <w:rFonts w:ascii="Times New Roman" w:hAnsi="Times New Roman" w:eastAsia="宋体" w:cs="Times New Roman"/>
                <w:b/>
                <w:bCs/>
                <w:szCs w:val="21"/>
              </w:rPr>
            </w:pPr>
            <w:r>
              <w:rPr>
                <w:rFonts w:ascii="Times New Roman" w:hAnsi="Times New Roman" w:eastAsia="宋体" w:cs="Times New Roman"/>
                <w:b/>
                <w:bCs/>
                <w:szCs w:val="21"/>
              </w:rPr>
              <w:t>序号</w:t>
            </w:r>
          </w:p>
        </w:tc>
        <w:tc>
          <w:tcPr>
            <w:tcW w:w="2616" w:type="dxa"/>
            <w:noWrap w:val="0"/>
            <w:vAlign w:val="center"/>
          </w:tcPr>
          <w:p>
            <w:pPr>
              <w:jc w:val="center"/>
              <w:rPr>
                <w:rFonts w:ascii="Times New Roman" w:hAnsi="Times New Roman" w:eastAsia="宋体" w:cs="Times New Roman"/>
                <w:b/>
                <w:bCs/>
                <w:szCs w:val="21"/>
              </w:rPr>
            </w:pPr>
            <w:r>
              <w:rPr>
                <w:rFonts w:ascii="Times New Roman" w:hAnsi="Times New Roman" w:eastAsia="宋体" w:cs="Times New Roman"/>
                <w:b/>
                <w:bCs/>
                <w:szCs w:val="21"/>
              </w:rPr>
              <w:t>教学内容</w:t>
            </w:r>
          </w:p>
        </w:tc>
        <w:tc>
          <w:tcPr>
            <w:tcW w:w="1130" w:type="dxa"/>
            <w:noWrap w:val="0"/>
            <w:vAlign w:val="center"/>
          </w:tcPr>
          <w:p>
            <w:pPr>
              <w:jc w:val="center"/>
              <w:rPr>
                <w:rFonts w:ascii="Times New Roman" w:hAnsi="Times New Roman" w:eastAsia="宋体" w:cs="Times New Roman"/>
                <w:b/>
                <w:bCs/>
                <w:szCs w:val="21"/>
              </w:rPr>
            </w:pPr>
            <w:r>
              <w:rPr>
                <w:rFonts w:ascii="Times New Roman" w:hAnsi="Times New Roman" w:eastAsia="宋体" w:cs="Times New Roman"/>
                <w:b/>
                <w:bCs/>
                <w:szCs w:val="21"/>
              </w:rPr>
              <w:t>思政元素</w:t>
            </w:r>
          </w:p>
        </w:tc>
        <w:tc>
          <w:tcPr>
            <w:tcW w:w="2405" w:type="dxa"/>
            <w:noWrap w:val="0"/>
            <w:vAlign w:val="center"/>
          </w:tcPr>
          <w:p>
            <w:pPr>
              <w:jc w:val="center"/>
              <w:rPr>
                <w:rFonts w:ascii="Times New Roman" w:hAnsi="Times New Roman" w:eastAsia="宋体" w:cs="Times New Roman"/>
                <w:b/>
                <w:bCs/>
                <w:szCs w:val="21"/>
              </w:rPr>
            </w:pPr>
            <w:r>
              <w:rPr>
                <w:rFonts w:ascii="Times New Roman" w:hAnsi="Times New Roman" w:eastAsia="宋体" w:cs="Times New Roman"/>
                <w:b/>
                <w:bCs/>
                <w:szCs w:val="21"/>
              </w:rPr>
              <w:t>预期学习成果</w:t>
            </w:r>
          </w:p>
        </w:tc>
        <w:tc>
          <w:tcPr>
            <w:tcW w:w="720" w:type="dxa"/>
            <w:noWrap w:val="0"/>
            <w:vAlign w:val="center"/>
          </w:tcPr>
          <w:p>
            <w:pPr>
              <w:jc w:val="center"/>
              <w:rPr>
                <w:rFonts w:ascii="Times New Roman" w:hAnsi="Times New Roman" w:eastAsia="宋体" w:cs="Times New Roman"/>
                <w:b/>
                <w:bCs/>
                <w:szCs w:val="21"/>
              </w:rPr>
            </w:pPr>
            <w:r>
              <w:rPr>
                <w:rFonts w:ascii="Times New Roman" w:hAnsi="Times New Roman" w:eastAsia="宋体" w:cs="Times New Roman"/>
                <w:b/>
                <w:bCs/>
                <w:szCs w:val="21"/>
              </w:rPr>
              <w:t>教学学时</w:t>
            </w:r>
          </w:p>
        </w:tc>
        <w:tc>
          <w:tcPr>
            <w:tcW w:w="604" w:type="dxa"/>
            <w:noWrap w:val="0"/>
            <w:vAlign w:val="center"/>
          </w:tcPr>
          <w:p>
            <w:pPr>
              <w:jc w:val="center"/>
              <w:rPr>
                <w:rFonts w:ascii="Times New Roman" w:hAnsi="Times New Roman" w:eastAsia="宋体" w:cs="Times New Roman"/>
                <w:b/>
                <w:bCs/>
                <w:szCs w:val="21"/>
              </w:rPr>
            </w:pPr>
            <w:r>
              <w:rPr>
                <w:rFonts w:ascii="Times New Roman" w:hAnsi="Times New Roman" w:eastAsia="宋体" w:cs="Times New Roman"/>
                <w:b/>
                <w:bCs/>
                <w:szCs w:val="21"/>
              </w:rPr>
              <w:t>教学方式</w:t>
            </w:r>
          </w:p>
        </w:tc>
        <w:tc>
          <w:tcPr>
            <w:tcW w:w="921" w:type="dxa"/>
            <w:noWrap w:val="0"/>
            <w:vAlign w:val="center"/>
          </w:tcPr>
          <w:p>
            <w:pPr>
              <w:jc w:val="center"/>
              <w:rPr>
                <w:rFonts w:ascii="Times New Roman" w:hAnsi="Times New Roman" w:eastAsia="宋体" w:cs="Times New Roman"/>
                <w:b/>
                <w:bCs/>
                <w:szCs w:val="21"/>
              </w:rPr>
            </w:pPr>
            <w:r>
              <w:rPr>
                <w:rFonts w:ascii="Times New Roman" w:hAnsi="Times New Roman" w:eastAsia="宋体" w:cs="Times New Roman"/>
                <w:b/>
                <w:bCs/>
                <w:szCs w:val="21"/>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0"/>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w:t>
            </w:r>
          </w:p>
        </w:tc>
        <w:tc>
          <w:tcPr>
            <w:tcW w:w="2616" w:type="dxa"/>
            <w:noWrap w:val="0"/>
            <w:vAlign w:val="center"/>
          </w:tcPr>
          <w:p>
            <w:pPr>
              <w:ind w:firstLine="422" w:firstLineChars="200"/>
              <w:rPr>
                <w:rFonts w:hint="eastAsia" w:ascii="Times New Roman" w:hAnsi="Times New Roman" w:eastAsia="宋体" w:cs="Times New Roman"/>
                <w:b/>
                <w:kern w:val="0"/>
                <w:szCs w:val="21"/>
              </w:rPr>
            </w:pPr>
            <w:r>
              <w:rPr>
                <w:rFonts w:hint="eastAsia" w:ascii="Times New Roman" w:hAnsi="Times New Roman" w:eastAsia="宋体" w:cs="Times New Roman"/>
                <w:b/>
                <w:kern w:val="0"/>
                <w:szCs w:val="21"/>
              </w:rPr>
              <w:t>实验室认可概论：</w:t>
            </w:r>
            <w:r>
              <w:rPr>
                <w:rFonts w:ascii="Times New Roman" w:hAnsi="Times New Roman" w:eastAsia="宋体" w:cs="Times New Roman"/>
                <w:szCs w:val="21"/>
              </w:rPr>
              <w:t>（1）</w:t>
            </w:r>
            <w:r>
              <w:rPr>
                <w:rFonts w:hint="eastAsia" w:ascii="Times New Roman" w:hAnsi="Times New Roman" w:eastAsia="宋体" w:cs="Times New Roman"/>
                <w:szCs w:val="21"/>
              </w:rPr>
              <w:t>合格评定的概念；</w:t>
            </w:r>
            <w:r>
              <w:rPr>
                <w:rFonts w:ascii="Times New Roman" w:hAnsi="Times New Roman" w:eastAsia="宋体" w:cs="Times New Roman"/>
                <w:szCs w:val="21"/>
              </w:rPr>
              <w:t>（2）</w:t>
            </w:r>
            <w:r>
              <w:rPr>
                <w:rFonts w:hint="eastAsia" w:ascii="Times New Roman" w:hAnsi="Times New Roman" w:eastAsia="宋体" w:cs="Times New Roman"/>
                <w:szCs w:val="21"/>
              </w:rPr>
              <w:t>实验室认可的概念；（3）国内外实验室认可的发展。</w:t>
            </w:r>
          </w:p>
          <w:p>
            <w:pPr>
              <w:ind w:firstLine="422" w:firstLineChars="200"/>
              <w:rPr>
                <w:rFonts w:hint="eastAsia" w:ascii="Times New Roman" w:hAnsi="Times New Roman" w:eastAsia="宋体" w:cs="Times New Roman"/>
                <w:kern w:val="0"/>
                <w:szCs w:val="21"/>
              </w:rPr>
            </w:pPr>
            <w:r>
              <w:rPr>
                <w:rFonts w:ascii="Times New Roman" w:hAnsi="Times New Roman" w:eastAsia="宋体" w:cs="Times New Roman"/>
                <w:b/>
                <w:kern w:val="0"/>
                <w:szCs w:val="21"/>
              </w:rPr>
              <w:t>重点和难点：</w:t>
            </w:r>
            <w:r>
              <w:rPr>
                <w:rFonts w:ascii="Times New Roman" w:hAnsi="Times New Roman" w:eastAsia="宋体" w:cs="Times New Roman"/>
                <w:szCs w:val="21"/>
              </w:rPr>
              <w:t>（1）</w:t>
            </w:r>
            <w:r>
              <w:rPr>
                <w:rFonts w:hint="eastAsia" w:ascii="Times New Roman" w:hAnsi="Times New Roman" w:eastAsia="宋体" w:cs="Times New Roman"/>
                <w:szCs w:val="21"/>
              </w:rPr>
              <w:t>了解合格评定和实验室认可的概念；</w:t>
            </w:r>
            <w:r>
              <w:rPr>
                <w:rFonts w:ascii="Times New Roman" w:hAnsi="Times New Roman" w:eastAsia="宋体" w:cs="Times New Roman"/>
                <w:szCs w:val="21"/>
              </w:rPr>
              <w:t>（2）</w:t>
            </w:r>
            <w:r>
              <w:rPr>
                <w:rFonts w:hint="eastAsia" w:ascii="Times New Roman" w:hAnsi="Times New Roman" w:eastAsia="宋体" w:cs="Times New Roman"/>
                <w:szCs w:val="21"/>
              </w:rPr>
              <w:t>了解我国及国外实验室认可的发展概况</w:t>
            </w:r>
            <w:r>
              <w:rPr>
                <w:rFonts w:hint="eastAsia" w:ascii="Times New Roman" w:hAnsi="Times New Roman" w:eastAsia="宋体" w:cs="Times New Roman"/>
                <w:bCs/>
                <w:kern w:val="0"/>
                <w:szCs w:val="21"/>
              </w:rPr>
              <w:t>。</w:t>
            </w:r>
          </w:p>
        </w:tc>
        <w:tc>
          <w:tcPr>
            <w:tcW w:w="1130" w:type="dxa"/>
            <w:noWrap w:val="0"/>
            <w:vAlign w:val="center"/>
          </w:tcPr>
          <w:p>
            <w:pPr>
              <w:autoSpaceDE w:val="0"/>
              <w:autoSpaceDN w:val="0"/>
              <w:adjustRightInd w:val="0"/>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正确使用仪器设备、处理化学试剂的重要性，培养学生具备安全意识和环保意识。</w:t>
            </w:r>
          </w:p>
        </w:tc>
        <w:tc>
          <w:tcPr>
            <w:tcW w:w="2405" w:type="dxa"/>
            <w:noWrap w:val="0"/>
            <w:vAlign w:val="center"/>
          </w:tcPr>
          <w:p>
            <w:pPr>
              <w:spacing w:line="400" w:lineRule="exact"/>
              <w:rPr>
                <w:rFonts w:ascii="Times New Roman" w:hAnsi="Times New Roman" w:eastAsia="宋体" w:cs="Times New Roman"/>
                <w:kern w:val="0"/>
                <w:szCs w:val="21"/>
              </w:rPr>
            </w:pPr>
            <w:r>
              <w:rPr>
                <w:rFonts w:ascii="Times New Roman" w:hAnsi="Times New Roman" w:eastAsia="宋体" w:cs="Times New Roman"/>
                <w:kern w:val="0"/>
                <w:szCs w:val="21"/>
              </w:rPr>
              <w:t>能够</w:t>
            </w:r>
            <w:r>
              <w:rPr>
                <w:rFonts w:hint="eastAsia" w:ascii="Times New Roman" w:hAnsi="Times New Roman" w:eastAsia="宋体" w:cs="Times New Roman"/>
                <w:kern w:val="0"/>
                <w:szCs w:val="21"/>
              </w:rPr>
              <w:t>了解分析实验室认可定义；能够理解准备、保存和使用分析试样的要求和方法；能够了解实验室基本要素：水、仪器、试剂的使用要求。</w:t>
            </w:r>
          </w:p>
        </w:tc>
        <w:tc>
          <w:tcPr>
            <w:tcW w:w="720" w:type="dxa"/>
            <w:noWrap w:val="0"/>
            <w:vAlign w:val="center"/>
          </w:tcPr>
          <w:p>
            <w:pPr>
              <w:spacing w:line="312" w:lineRule="auto"/>
              <w:jc w:val="center"/>
              <w:rPr>
                <w:rFonts w:hint="eastAsia" w:ascii="Times New Roman" w:hAnsi="Times New Roman" w:eastAsia="宋体" w:cs="Times New Roman"/>
                <w:szCs w:val="21"/>
              </w:rPr>
            </w:pPr>
            <w:r>
              <w:rPr>
                <w:rFonts w:hint="eastAsia" w:ascii="Times New Roman" w:hAnsi="Times New Roman" w:eastAsia="宋体" w:cs="Times New Roman"/>
                <w:szCs w:val="21"/>
              </w:rPr>
              <w:t>2（讲授）</w:t>
            </w:r>
          </w:p>
        </w:tc>
        <w:tc>
          <w:tcPr>
            <w:tcW w:w="604" w:type="dxa"/>
            <w:noWrap w:val="0"/>
            <w:vAlign w:val="center"/>
          </w:tcPr>
          <w:p>
            <w:pPr>
              <w:rPr>
                <w:rFonts w:ascii="Times New Roman" w:hAnsi="Times New Roman" w:eastAsia="宋体" w:cs="Times New Roman"/>
                <w:szCs w:val="21"/>
              </w:rPr>
            </w:pPr>
            <w:r>
              <w:rPr>
                <w:rFonts w:ascii="Times New Roman" w:hAnsi="Times New Roman" w:eastAsia="宋体" w:cs="Times New Roman"/>
                <w:szCs w:val="21"/>
              </w:rPr>
              <w:t>讲授/讨论等</w:t>
            </w:r>
          </w:p>
        </w:tc>
        <w:tc>
          <w:tcPr>
            <w:tcW w:w="921" w:type="dxa"/>
            <w:noWrap w:val="0"/>
            <w:vAlign w:val="center"/>
          </w:tcPr>
          <w:p>
            <w:pPr>
              <w:jc w:val="center"/>
              <w:rPr>
                <w:rFonts w:hint="eastAsia" w:ascii="Times New Roman" w:hAnsi="Times New Roman" w:eastAsia="宋体" w:cs="Times New Roman"/>
                <w:kern w:val="0"/>
                <w:szCs w:val="21"/>
              </w:rPr>
            </w:pPr>
            <w:r>
              <w:rPr>
                <w:rFonts w:ascii="Times New Roman" w:hAnsi="Times New Roman" w:eastAsia="宋体" w:cs="Times New Roman"/>
                <w:b/>
                <w:kern w:val="0"/>
                <w:szCs w:val="21"/>
              </w:rPr>
              <w:t>目标</w:t>
            </w:r>
            <w:r>
              <w:rPr>
                <w:rFonts w:hint="eastAsia" w:ascii="Times New Roman" w:hAnsi="Times New Roman" w:eastAsia="宋体" w:cs="Times New Roman"/>
                <w:b/>
                <w:kern w:val="0"/>
                <w:szCs w:val="21"/>
              </w:rPr>
              <w:t>1</w:t>
            </w:r>
          </w:p>
          <w:p>
            <w:pPr>
              <w:jc w:val="center"/>
              <w:rPr>
                <w:rFonts w:ascii="Times New Roman" w:hAnsi="Times New Roman" w:eastAsia="宋体" w:cs="Times New Roman"/>
                <w:szCs w:val="21"/>
              </w:rPr>
            </w:pPr>
            <w:r>
              <w:rPr>
                <w:rFonts w:ascii="Times New Roman" w:hAnsi="Times New Roman" w:eastAsia="宋体" w:cs="Times New Roman"/>
                <w:b/>
                <w:kern w:val="0"/>
                <w:szCs w:val="21"/>
              </w:rPr>
              <w:t>目标</w:t>
            </w:r>
            <w:r>
              <w:rPr>
                <w:rFonts w:hint="eastAsia" w:ascii="Times New Roman" w:hAnsi="Times New Roman" w:eastAsia="宋体" w:cs="Times New Roman"/>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0"/>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w:t>
            </w:r>
          </w:p>
        </w:tc>
        <w:tc>
          <w:tcPr>
            <w:tcW w:w="2616" w:type="dxa"/>
            <w:noWrap w:val="0"/>
            <w:vAlign w:val="center"/>
          </w:tcPr>
          <w:p>
            <w:pPr>
              <w:rPr>
                <w:rFonts w:hint="eastAsia" w:ascii="Times New Roman" w:hAnsi="Times New Roman" w:eastAsia="宋体" w:cs="Times New Roman"/>
                <w:bCs/>
                <w:kern w:val="0"/>
                <w:szCs w:val="21"/>
              </w:rPr>
            </w:pPr>
            <w:r>
              <w:rPr>
                <w:rFonts w:hint="eastAsia" w:ascii="Times New Roman" w:hAnsi="Times New Roman" w:eastAsia="宋体" w:cs="Times New Roman"/>
                <w:b/>
                <w:szCs w:val="21"/>
              </w:rPr>
              <w:t>实验室认可基础知识</w:t>
            </w:r>
            <w:r>
              <w:rPr>
                <w:rFonts w:hint="eastAsia" w:ascii="Times New Roman" w:hAnsi="Times New Roman" w:eastAsia="宋体" w:cs="Times New Roman"/>
                <w:b/>
                <w:kern w:val="0"/>
                <w:szCs w:val="21"/>
              </w:rPr>
              <w:t>：</w:t>
            </w:r>
            <w:r>
              <w:rPr>
                <w:rFonts w:hint="eastAsia" w:ascii="Times New Roman" w:hAnsi="Times New Roman" w:eastAsia="宋体" w:cs="Times New Roman"/>
                <w:bCs/>
                <w:kern w:val="0"/>
                <w:szCs w:val="21"/>
              </w:rPr>
              <w:t>（1）认可常用术语；（2）法定计量单位；（3）统计技术基础知识；（4）抽样技术基础知识；（5）数据处理和测量误差；（6）测量不确定度基础知识；（7）量值溯源与校准；（8）能力验证；（9）内部质量控制。</w:t>
            </w:r>
          </w:p>
          <w:p>
            <w:pPr>
              <w:rPr>
                <w:rFonts w:hint="eastAsia" w:ascii="Times New Roman" w:hAnsi="Times New Roman" w:eastAsia="宋体" w:cs="Times New Roman"/>
                <w:kern w:val="0"/>
                <w:szCs w:val="21"/>
              </w:rPr>
            </w:pPr>
            <w:r>
              <w:rPr>
                <w:rFonts w:ascii="Times New Roman" w:hAnsi="Times New Roman" w:eastAsia="宋体" w:cs="Times New Roman"/>
                <w:b/>
                <w:kern w:val="0"/>
                <w:szCs w:val="21"/>
              </w:rPr>
              <w:t>重点和难点：</w:t>
            </w:r>
            <w:r>
              <w:rPr>
                <w:rFonts w:hint="eastAsia" w:ascii="Times New Roman" w:hAnsi="Times New Roman" w:eastAsia="宋体" w:cs="Times New Roman"/>
                <w:kern w:val="0"/>
                <w:szCs w:val="21"/>
              </w:rPr>
              <w:t>（1）了解实验室认可必备的基础知识；（2）掌握抽样技术基础知识和数据处理；（3）掌握测量不确定度基础知识和量值溯源；（4）了解内部质量控制的过程。</w:t>
            </w:r>
          </w:p>
        </w:tc>
        <w:tc>
          <w:tcPr>
            <w:tcW w:w="1130" w:type="dxa"/>
            <w:noWrap w:val="0"/>
            <w:vAlign w:val="center"/>
          </w:tcPr>
          <w:p>
            <w:pPr>
              <w:rPr>
                <w:rFonts w:hint="eastAsia" w:ascii="Times New Roman" w:hAnsi="Times New Roman" w:eastAsia="宋体" w:cs="Times New Roman"/>
                <w:szCs w:val="21"/>
              </w:rPr>
            </w:pPr>
            <w:r>
              <w:rPr>
                <w:rFonts w:hint="eastAsia" w:ascii="Times New Roman" w:hAnsi="Times New Roman" w:eastAsia="宋体" w:cs="Times New Roman"/>
                <w:szCs w:val="21"/>
              </w:rPr>
              <w:t>正确的方法选择及数据处理对分析结果的重要性，培养学生具备职业道德和敬业精神。</w:t>
            </w:r>
          </w:p>
        </w:tc>
        <w:tc>
          <w:tcPr>
            <w:tcW w:w="2405" w:type="dxa"/>
            <w:noWrap w:val="0"/>
            <w:vAlign w:val="center"/>
          </w:tcPr>
          <w:p>
            <w:pPr>
              <w:rPr>
                <w:rFonts w:ascii="Times New Roman" w:hAnsi="Times New Roman" w:eastAsia="宋体" w:cs="Times New Roman"/>
                <w:szCs w:val="21"/>
              </w:rPr>
            </w:pPr>
            <w:r>
              <w:rPr>
                <w:rFonts w:ascii="Times New Roman" w:hAnsi="Times New Roman" w:eastAsia="宋体" w:cs="Times New Roman"/>
                <w:kern w:val="0"/>
                <w:szCs w:val="21"/>
              </w:rPr>
              <w:t>能够理解</w:t>
            </w:r>
            <w:r>
              <w:rPr>
                <w:rFonts w:hint="eastAsia" w:ascii="Times New Roman" w:hAnsi="Times New Roman" w:eastAsia="宋体" w:cs="Times New Roman"/>
              </w:rPr>
              <w:t>实验室的管理水平、技术水准是否规范与实验室控制的各个重要技术环节有密切的关系。</w:t>
            </w:r>
            <w:r>
              <w:rPr>
                <w:rFonts w:hint="eastAsia" w:ascii="Times New Roman" w:hAnsi="Times New Roman" w:eastAsia="宋体" w:cs="Times New Roman"/>
                <w:kern w:val="0"/>
                <w:szCs w:val="21"/>
              </w:rPr>
              <w:t>。</w:t>
            </w:r>
          </w:p>
        </w:tc>
        <w:tc>
          <w:tcPr>
            <w:tcW w:w="720" w:type="dxa"/>
            <w:noWrap w:val="0"/>
            <w:vAlign w:val="center"/>
          </w:tcPr>
          <w:p>
            <w:pPr>
              <w:spacing w:line="312" w:lineRule="auto"/>
              <w:jc w:val="center"/>
              <w:rPr>
                <w:rFonts w:ascii="Times New Roman" w:hAnsi="Times New Roman" w:eastAsia="宋体" w:cs="Times New Roman"/>
                <w:szCs w:val="21"/>
              </w:rPr>
            </w:pPr>
            <w:r>
              <w:rPr>
                <w:rFonts w:hint="eastAsia" w:ascii="Times New Roman" w:hAnsi="Times New Roman" w:eastAsia="宋体" w:cs="Times New Roman"/>
                <w:szCs w:val="21"/>
              </w:rPr>
              <w:t>10（讲授）</w:t>
            </w:r>
          </w:p>
        </w:tc>
        <w:tc>
          <w:tcPr>
            <w:tcW w:w="604" w:type="dxa"/>
            <w:noWrap w:val="0"/>
            <w:vAlign w:val="center"/>
          </w:tcPr>
          <w:p>
            <w:pPr>
              <w:rPr>
                <w:rFonts w:ascii="Times New Roman" w:hAnsi="Times New Roman" w:eastAsia="宋体" w:cs="Times New Roman"/>
                <w:szCs w:val="21"/>
              </w:rPr>
            </w:pPr>
            <w:r>
              <w:rPr>
                <w:rFonts w:ascii="Times New Roman" w:hAnsi="Times New Roman" w:eastAsia="宋体" w:cs="Times New Roman"/>
                <w:szCs w:val="21"/>
              </w:rPr>
              <w:t>讲授/讨论等</w:t>
            </w:r>
          </w:p>
        </w:tc>
        <w:tc>
          <w:tcPr>
            <w:tcW w:w="921" w:type="dxa"/>
            <w:noWrap w:val="0"/>
            <w:vAlign w:val="center"/>
          </w:tcPr>
          <w:p>
            <w:pPr>
              <w:jc w:val="center"/>
              <w:rPr>
                <w:rFonts w:hint="eastAsia" w:ascii="Times New Roman" w:hAnsi="Times New Roman" w:eastAsia="宋体" w:cs="Times New Roman"/>
                <w:kern w:val="0"/>
                <w:szCs w:val="21"/>
              </w:rPr>
            </w:pPr>
            <w:r>
              <w:rPr>
                <w:rFonts w:ascii="Times New Roman" w:hAnsi="Times New Roman" w:eastAsia="宋体" w:cs="Times New Roman"/>
                <w:b/>
                <w:kern w:val="0"/>
                <w:szCs w:val="21"/>
              </w:rPr>
              <w:t>目标</w:t>
            </w:r>
            <w:r>
              <w:rPr>
                <w:rFonts w:hint="eastAsia" w:ascii="Times New Roman" w:hAnsi="Times New Roman" w:eastAsia="宋体" w:cs="Times New Roman"/>
                <w:b/>
                <w:kern w:val="0"/>
                <w:szCs w:val="21"/>
              </w:rPr>
              <w:t>1</w:t>
            </w:r>
          </w:p>
          <w:p>
            <w:pPr>
              <w:jc w:val="center"/>
              <w:rPr>
                <w:rFonts w:hint="eastAsia" w:ascii="Times New Roman" w:hAnsi="Times New Roman" w:eastAsia="宋体" w:cs="Times New Roman"/>
                <w:szCs w:val="21"/>
              </w:rPr>
            </w:pPr>
            <w:r>
              <w:rPr>
                <w:rFonts w:ascii="Times New Roman" w:hAnsi="Times New Roman" w:eastAsia="宋体" w:cs="Times New Roman"/>
                <w:b/>
                <w:kern w:val="0"/>
                <w:szCs w:val="21"/>
              </w:rPr>
              <w:t>目标</w:t>
            </w:r>
            <w:r>
              <w:rPr>
                <w:rFonts w:hint="eastAsia" w:ascii="Times New Roman" w:hAnsi="Times New Roman" w:eastAsia="宋体" w:cs="Times New Roman"/>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0"/>
            <w:vAlign w:val="center"/>
          </w:tcPr>
          <w:p>
            <w:pPr>
              <w:jc w:val="center"/>
              <w:rPr>
                <w:rFonts w:ascii="Times New Roman" w:hAnsi="Times New Roman" w:eastAsia="宋体" w:cs="Times New Roman"/>
                <w:szCs w:val="21"/>
              </w:rPr>
            </w:pPr>
            <w:r>
              <w:rPr>
                <w:rFonts w:ascii="Times New Roman" w:hAnsi="Times New Roman" w:eastAsia="宋体" w:cs="Times New Roman"/>
                <w:szCs w:val="21"/>
              </w:rPr>
              <w:t>3</w:t>
            </w:r>
          </w:p>
        </w:tc>
        <w:tc>
          <w:tcPr>
            <w:tcW w:w="2616" w:type="dxa"/>
            <w:noWrap w:val="0"/>
            <w:vAlign w:val="center"/>
          </w:tcPr>
          <w:p>
            <w:pPr>
              <w:rPr>
                <w:rFonts w:hint="eastAsia" w:ascii="Times New Roman" w:hAnsi="Times New Roman" w:eastAsia="宋体" w:cs="Times New Roman"/>
                <w:kern w:val="0"/>
                <w:szCs w:val="21"/>
              </w:rPr>
            </w:pPr>
            <w:r>
              <w:rPr>
                <w:rFonts w:hint="eastAsia" w:ascii="Times New Roman" w:hAnsi="Times New Roman" w:eastAsia="宋体" w:cs="Times New Roman"/>
                <w:b/>
                <w:szCs w:val="21"/>
              </w:rPr>
              <w:t>实验室认可准则</w:t>
            </w:r>
            <w:r>
              <w:rPr>
                <w:rFonts w:hint="eastAsia" w:ascii="Times New Roman" w:hAnsi="Times New Roman" w:eastAsia="宋体" w:cs="Times New Roman"/>
                <w:b/>
                <w:kern w:val="0"/>
                <w:szCs w:val="21"/>
              </w:rPr>
              <w:t>：</w:t>
            </w:r>
            <w:r>
              <w:rPr>
                <w:rFonts w:hint="eastAsia" w:ascii="Times New Roman" w:hAnsi="Times New Roman" w:eastAsia="宋体" w:cs="Times New Roman"/>
                <w:kern w:val="0"/>
                <w:szCs w:val="21"/>
              </w:rPr>
              <w:t>（1）实验室认可准则；（2）认可范围、术语和定义；（3）认可管理要素；（4）认可技术要素。</w:t>
            </w:r>
          </w:p>
          <w:p>
            <w:pPr>
              <w:rPr>
                <w:rFonts w:hint="eastAsia" w:ascii="Times New Roman" w:hAnsi="Times New Roman" w:eastAsia="宋体" w:cs="Times New Roman"/>
                <w:kern w:val="0"/>
                <w:szCs w:val="21"/>
              </w:rPr>
            </w:pPr>
            <w:r>
              <w:rPr>
                <w:rFonts w:ascii="Times New Roman" w:hAnsi="Times New Roman" w:eastAsia="宋体" w:cs="Times New Roman"/>
                <w:b/>
                <w:kern w:val="0"/>
                <w:szCs w:val="21"/>
              </w:rPr>
              <w:t>重点和难点：</w:t>
            </w:r>
            <w:r>
              <w:rPr>
                <w:rFonts w:hint="eastAsia" w:ascii="Times New Roman" w:hAnsi="Times New Roman" w:eastAsia="宋体" w:cs="Times New Roman"/>
                <w:kern w:val="0"/>
                <w:szCs w:val="21"/>
              </w:rPr>
              <w:t>（1）正确理解实验室认可准则各条款的要求；（2）了解实验室认可准则的实施要求。</w:t>
            </w:r>
          </w:p>
        </w:tc>
        <w:tc>
          <w:tcPr>
            <w:tcW w:w="1130" w:type="dxa"/>
            <w:noWrap w:val="0"/>
            <w:vAlign w:val="center"/>
          </w:tcPr>
          <w:p>
            <w:pPr>
              <w:rPr>
                <w:rFonts w:ascii="Times New Roman" w:hAnsi="Times New Roman" w:eastAsia="宋体" w:cs="Times New Roman"/>
                <w:szCs w:val="21"/>
              </w:rPr>
            </w:pPr>
            <w:r>
              <w:rPr>
                <w:rFonts w:hint="eastAsia" w:ascii="Times New Roman" w:hAnsi="Times New Roman" w:eastAsia="宋体" w:cs="Times New Roman"/>
                <w:szCs w:val="21"/>
              </w:rPr>
              <w:t>正确的理解认可准则要素的重要性，培养学生具备职业道德和敬业精神。</w:t>
            </w:r>
          </w:p>
        </w:tc>
        <w:tc>
          <w:tcPr>
            <w:tcW w:w="2405" w:type="dxa"/>
            <w:noWrap w:val="0"/>
            <w:vAlign w:val="center"/>
          </w:tcPr>
          <w:p>
            <w:pPr>
              <w:rPr>
                <w:rFonts w:ascii="Times New Roman" w:hAnsi="Times New Roman" w:eastAsia="宋体" w:cs="Times New Roman"/>
                <w:szCs w:val="21"/>
              </w:rPr>
            </w:pPr>
            <w:r>
              <w:rPr>
                <w:rFonts w:ascii="Times New Roman" w:hAnsi="Times New Roman" w:eastAsia="宋体" w:cs="Times New Roman"/>
                <w:kern w:val="0"/>
                <w:szCs w:val="21"/>
              </w:rPr>
              <w:t>能够理解</w:t>
            </w:r>
            <w:r>
              <w:rPr>
                <w:rFonts w:hint="eastAsia" w:ascii="Times New Roman" w:hAnsi="Times New Roman" w:eastAsia="宋体" w:cs="Times New Roman"/>
              </w:rPr>
              <w:t>检测和校准实验室能力认可的基本认可准则：《检测和校准实验室能力的通用要求》</w:t>
            </w:r>
            <w:r>
              <w:rPr>
                <w:rFonts w:hint="eastAsia" w:ascii="宋体" w:hAnsi="宋体" w:eastAsia="宋体" w:cs="Times New Roman"/>
              </w:rPr>
              <w:t>﹝</w:t>
            </w:r>
            <w:r>
              <w:rPr>
                <w:rFonts w:hint="eastAsia" w:ascii="Times New Roman" w:hAnsi="Times New Roman" w:eastAsia="宋体" w:cs="Times New Roman"/>
              </w:rPr>
              <w:t>I</w:t>
            </w:r>
            <w:r>
              <w:rPr>
                <w:rFonts w:ascii="Times New Roman" w:hAnsi="Times New Roman" w:eastAsia="宋体" w:cs="Times New Roman"/>
              </w:rPr>
              <w:t>SO/IEC</w:t>
            </w:r>
            <w:r>
              <w:rPr>
                <w:rFonts w:hint="eastAsia" w:ascii="Times New Roman" w:hAnsi="Times New Roman" w:eastAsia="宋体" w:cs="Times New Roman"/>
              </w:rPr>
              <w:t>（F</w:t>
            </w:r>
            <w:r>
              <w:rPr>
                <w:rFonts w:ascii="Times New Roman" w:hAnsi="Times New Roman" w:eastAsia="宋体" w:cs="Times New Roman"/>
              </w:rPr>
              <w:t>DIS</w:t>
            </w:r>
            <w:r>
              <w:rPr>
                <w:rFonts w:hint="eastAsia" w:ascii="Times New Roman" w:hAnsi="Times New Roman" w:eastAsia="宋体" w:cs="Times New Roman"/>
              </w:rPr>
              <w:t>）</w:t>
            </w:r>
            <w:r>
              <w:rPr>
                <w:rFonts w:ascii="Times New Roman" w:hAnsi="Times New Roman" w:eastAsia="宋体" w:cs="Times New Roman"/>
              </w:rPr>
              <w:t>17025:</w:t>
            </w:r>
            <w:r>
              <w:rPr>
                <w:rFonts w:hint="eastAsia" w:ascii="Times New Roman" w:hAnsi="Times New Roman" w:eastAsia="宋体" w:cs="Times New Roman"/>
              </w:rPr>
              <w:t>2017</w:t>
            </w:r>
            <w:r>
              <w:rPr>
                <w:rFonts w:hint="eastAsia" w:ascii="宋体" w:hAnsi="宋体" w:eastAsia="宋体" w:cs="Times New Roman"/>
              </w:rPr>
              <w:t>﹞</w:t>
            </w:r>
            <w:r>
              <w:rPr>
                <w:rFonts w:hint="eastAsia" w:ascii="Times New Roman" w:hAnsi="Times New Roman" w:eastAsia="宋体" w:cs="Times New Roman"/>
              </w:rPr>
              <w:t>中的要求 ，体系由人（管理人员及检测人员）、机（仪器及设备）、样（试样及样品）、法（方法及标准）、环（测试环境）</w:t>
            </w:r>
            <w:r>
              <w:rPr>
                <w:rFonts w:hint="eastAsia" w:ascii="Times New Roman" w:hAnsi="Times New Roman" w:eastAsia="宋体" w:cs="Times New Roman"/>
                <w:kern w:val="0"/>
                <w:szCs w:val="21"/>
              </w:rPr>
              <w:t>。</w:t>
            </w:r>
          </w:p>
        </w:tc>
        <w:tc>
          <w:tcPr>
            <w:tcW w:w="720" w:type="dxa"/>
            <w:noWrap w:val="0"/>
            <w:vAlign w:val="center"/>
          </w:tcPr>
          <w:p>
            <w:pPr>
              <w:spacing w:line="312" w:lineRule="auto"/>
              <w:jc w:val="center"/>
              <w:rPr>
                <w:rFonts w:ascii="Times New Roman" w:hAnsi="Times New Roman" w:eastAsia="宋体" w:cs="Times New Roman"/>
                <w:szCs w:val="21"/>
              </w:rPr>
            </w:pPr>
            <w:r>
              <w:rPr>
                <w:rFonts w:hint="eastAsia" w:ascii="Times New Roman" w:hAnsi="Times New Roman" w:eastAsia="宋体" w:cs="Times New Roman"/>
                <w:szCs w:val="21"/>
              </w:rPr>
              <w:t>4（讲授）</w:t>
            </w:r>
          </w:p>
        </w:tc>
        <w:tc>
          <w:tcPr>
            <w:tcW w:w="604" w:type="dxa"/>
            <w:noWrap w:val="0"/>
            <w:vAlign w:val="center"/>
          </w:tcPr>
          <w:p>
            <w:pPr>
              <w:rPr>
                <w:rFonts w:ascii="Times New Roman" w:hAnsi="Times New Roman" w:eastAsia="宋体" w:cs="Times New Roman"/>
                <w:szCs w:val="21"/>
              </w:rPr>
            </w:pPr>
            <w:r>
              <w:rPr>
                <w:rFonts w:ascii="Times New Roman" w:hAnsi="Times New Roman" w:eastAsia="宋体" w:cs="Times New Roman"/>
                <w:szCs w:val="21"/>
              </w:rPr>
              <w:t>讲授/讨论/等</w:t>
            </w:r>
          </w:p>
        </w:tc>
        <w:tc>
          <w:tcPr>
            <w:tcW w:w="921" w:type="dxa"/>
            <w:noWrap w:val="0"/>
            <w:vAlign w:val="center"/>
          </w:tcPr>
          <w:p>
            <w:pPr>
              <w:jc w:val="center"/>
              <w:rPr>
                <w:rFonts w:hint="eastAsia" w:ascii="Times New Roman" w:hAnsi="Times New Roman" w:eastAsia="宋体" w:cs="Times New Roman"/>
                <w:kern w:val="0"/>
                <w:szCs w:val="21"/>
              </w:rPr>
            </w:pPr>
            <w:r>
              <w:rPr>
                <w:rFonts w:ascii="Times New Roman" w:hAnsi="Times New Roman" w:eastAsia="宋体" w:cs="Times New Roman"/>
                <w:b/>
                <w:kern w:val="0"/>
                <w:szCs w:val="21"/>
              </w:rPr>
              <w:t>目标</w:t>
            </w:r>
            <w:r>
              <w:rPr>
                <w:rFonts w:hint="eastAsia" w:ascii="Times New Roman" w:hAnsi="Times New Roman" w:eastAsia="宋体" w:cs="Times New Roman"/>
                <w:b/>
                <w:kern w:val="0"/>
                <w:szCs w:val="21"/>
              </w:rPr>
              <w:t>1</w:t>
            </w:r>
          </w:p>
          <w:p>
            <w:pPr>
              <w:jc w:val="center"/>
              <w:rPr>
                <w:rFonts w:ascii="Times New Roman" w:hAnsi="Times New Roman" w:eastAsia="宋体" w:cs="Times New Roman"/>
                <w:szCs w:val="21"/>
              </w:rPr>
            </w:pPr>
            <w:r>
              <w:rPr>
                <w:rFonts w:ascii="Times New Roman" w:hAnsi="Times New Roman" w:eastAsia="宋体" w:cs="Times New Roman"/>
                <w:b/>
                <w:kern w:val="0"/>
                <w:szCs w:val="21"/>
              </w:rPr>
              <w:t>目标</w:t>
            </w:r>
            <w:r>
              <w:rPr>
                <w:rFonts w:hint="eastAsia" w:ascii="Times New Roman" w:hAnsi="Times New Roman" w:eastAsia="宋体" w:cs="Times New Roman"/>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0"/>
            <w:vAlign w:val="center"/>
          </w:tcPr>
          <w:p>
            <w:pPr>
              <w:jc w:val="center"/>
              <w:rPr>
                <w:rFonts w:ascii="Times New Roman" w:hAnsi="Times New Roman" w:eastAsia="宋体" w:cs="Times New Roman"/>
                <w:szCs w:val="21"/>
              </w:rPr>
            </w:pPr>
            <w:r>
              <w:rPr>
                <w:rFonts w:ascii="Times New Roman" w:hAnsi="Times New Roman" w:eastAsia="宋体" w:cs="Times New Roman"/>
                <w:szCs w:val="21"/>
              </w:rPr>
              <w:t>4</w:t>
            </w:r>
          </w:p>
        </w:tc>
        <w:tc>
          <w:tcPr>
            <w:tcW w:w="2616" w:type="dxa"/>
            <w:noWrap w:val="0"/>
            <w:vAlign w:val="center"/>
          </w:tcPr>
          <w:p>
            <w:pPr>
              <w:rPr>
                <w:rFonts w:hint="eastAsia" w:ascii="Times New Roman" w:hAnsi="Times New Roman" w:eastAsia="宋体" w:cs="Times New Roman"/>
                <w:kern w:val="0"/>
                <w:szCs w:val="21"/>
              </w:rPr>
            </w:pPr>
            <w:r>
              <w:rPr>
                <w:rFonts w:hint="eastAsia" w:ascii="Times New Roman" w:hAnsi="Times New Roman" w:eastAsia="宋体" w:cs="Times New Roman"/>
                <w:b/>
                <w:szCs w:val="21"/>
              </w:rPr>
              <w:t>认可规则与相关政策</w:t>
            </w:r>
            <w:r>
              <w:rPr>
                <w:rFonts w:hint="eastAsia" w:ascii="Times New Roman" w:hAnsi="Times New Roman" w:eastAsia="宋体" w:cs="Times New Roman"/>
                <w:b/>
                <w:kern w:val="0"/>
                <w:szCs w:val="21"/>
              </w:rPr>
              <w:t>：</w:t>
            </w:r>
            <w:r>
              <w:rPr>
                <w:rFonts w:hint="eastAsia" w:ascii="Times New Roman" w:hAnsi="Times New Roman" w:eastAsia="宋体" w:cs="Times New Roman"/>
                <w:kern w:val="0"/>
                <w:szCs w:val="21"/>
              </w:rPr>
              <w:t>（1）检验和校准实验室能力认可准则；（2）检验检测机构资质认定评审准则。</w:t>
            </w:r>
          </w:p>
          <w:p>
            <w:pPr>
              <w:rPr>
                <w:rFonts w:hint="eastAsia" w:ascii="Times New Roman" w:hAnsi="Times New Roman" w:eastAsia="宋体" w:cs="Times New Roman"/>
                <w:kern w:val="0"/>
                <w:szCs w:val="21"/>
              </w:rPr>
            </w:pPr>
            <w:r>
              <w:rPr>
                <w:rFonts w:ascii="Times New Roman" w:hAnsi="Times New Roman" w:eastAsia="宋体" w:cs="Times New Roman"/>
                <w:b/>
                <w:kern w:val="0"/>
                <w:szCs w:val="21"/>
              </w:rPr>
              <w:t>重点和难点：</w:t>
            </w:r>
            <w:r>
              <w:rPr>
                <w:rFonts w:hint="eastAsia" w:ascii="Times New Roman" w:hAnsi="Times New Roman" w:eastAsia="宋体" w:cs="Times New Roman"/>
                <w:kern w:val="0"/>
                <w:szCs w:val="21"/>
              </w:rPr>
              <w:t>（1）了解实验室能力认可规则与相关政策；（2）了解实验室资质认定评审准则。</w:t>
            </w:r>
          </w:p>
        </w:tc>
        <w:tc>
          <w:tcPr>
            <w:tcW w:w="1130" w:type="dxa"/>
            <w:noWrap w:val="0"/>
            <w:vAlign w:val="center"/>
          </w:tcPr>
          <w:p>
            <w:pPr>
              <w:autoSpaceDE w:val="0"/>
              <w:autoSpaceDN w:val="0"/>
              <w:adjustRightInd w:val="0"/>
              <w:rPr>
                <w:rFonts w:ascii="Times New Roman" w:hAnsi="Times New Roman" w:eastAsia="宋体" w:cs="Times New Roman"/>
                <w:szCs w:val="21"/>
              </w:rPr>
            </w:pPr>
            <w:r>
              <w:rPr>
                <w:rFonts w:hint="eastAsia" w:ascii="Times New Roman" w:hAnsi="Times New Roman" w:eastAsia="宋体" w:cs="Times New Roman"/>
                <w:szCs w:val="21"/>
              </w:rPr>
              <w:t>正确的实验室认证的重要性，培养学生具备职业道德和敬业精神。</w:t>
            </w:r>
          </w:p>
        </w:tc>
        <w:tc>
          <w:tcPr>
            <w:tcW w:w="2405" w:type="dxa"/>
            <w:noWrap w:val="0"/>
            <w:vAlign w:val="center"/>
          </w:tcPr>
          <w:p>
            <w:pPr>
              <w:autoSpaceDE w:val="0"/>
              <w:autoSpaceDN w:val="0"/>
              <w:adjustRightInd w:val="0"/>
              <w:rPr>
                <w:rFonts w:ascii="Times New Roman" w:hAnsi="Times New Roman" w:eastAsia="宋体" w:cs="Times New Roman"/>
                <w:szCs w:val="21"/>
              </w:rPr>
            </w:pPr>
            <w:r>
              <w:rPr>
                <w:rFonts w:ascii="Times New Roman" w:hAnsi="Times New Roman" w:eastAsia="宋体" w:cs="Times New Roman"/>
                <w:kern w:val="0"/>
                <w:szCs w:val="21"/>
              </w:rPr>
              <w:t>能够理解</w:t>
            </w:r>
            <w:r>
              <w:rPr>
                <w:rFonts w:hint="eastAsia" w:ascii="Times New Roman" w:hAnsi="Times New Roman" w:eastAsia="宋体" w:cs="Times New Roman"/>
                <w:kern w:val="0"/>
                <w:szCs w:val="21"/>
              </w:rPr>
              <w:t>实验室认证是满足社会市场的需要，标志着实验室有资格进行合格评估工作的第三方，对实验室管理水平、技术能力等符合法定要求的实验室进行认可，保证检测、校准数据的精确性和可靠度。</w:t>
            </w:r>
          </w:p>
        </w:tc>
        <w:tc>
          <w:tcPr>
            <w:tcW w:w="720" w:type="dxa"/>
            <w:noWrap w:val="0"/>
            <w:vAlign w:val="center"/>
          </w:tcPr>
          <w:p>
            <w:pPr>
              <w:spacing w:line="312" w:lineRule="auto"/>
              <w:jc w:val="center"/>
              <w:rPr>
                <w:rFonts w:ascii="Times New Roman" w:hAnsi="Times New Roman" w:eastAsia="宋体" w:cs="Times New Roman"/>
                <w:szCs w:val="21"/>
              </w:rPr>
            </w:pPr>
            <w:r>
              <w:rPr>
                <w:rFonts w:hint="eastAsia" w:ascii="Times New Roman" w:hAnsi="Times New Roman" w:eastAsia="宋体" w:cs="Times New Roman"/>
                <w:szCs w:val="21"/>
              </w:rPr>
              <w:t>4（讲授）</w:t>
            </w:r>
          </w:p>
        </w:tc>
        <w:tc>
          <w:tcPr>
            <w:tcW w:w="604" w:type="dxa"/>
            <w:noWrap w:val="0"/>
            <w:vAlign w:val="center"/>
          </w:tcPr>
          <w:p>
            <w:pPr>
              <w:rPr>
                <w:rFonts w:ascii="Times New Roman" w:hAnsi="Times New Roman" w:eastAsia="宋体" w:cs="Times New Roman"/>
                <w:szCs w:val="21"/>
              </w:rPr>
            </w:pPr>
            <w:r>
              <w:rPr>
                <w:rFonts w:ascii="Times New Roman" w:hAnsi="Times New Roman" w:eastAsia="宋体" w:cs="Times New Roman"/>
                <w:szCs w:val="21"/>
              </w:rPr>
              <w:t>讲授/讨论/等</w:t>
            </w:r>
          </w:p>
        </w:tc>
        <w:tc>
          <w:tcPr>
            <w:tcW w:w="921" w:type="dxa"/>
            <w:noWrap w:val="0"/>
            <w:vAlign w:val="center"/>
          </w:tcPr>
          <w:p>
            <w:pPr>
              <w:jc w:val="center"/>
              <w:rPr>
                <w:rFonts w:hint="eastAsia" w:ascii="Times New Roman" w:hAnsi="Times New Roman" w:eastAsia="宋体" w:cs="Times New Roman"/>
                <w:kern w:val="0"/>
                <w:szCs w:val="21"/>
              </w:rPr>
            </w:pPr>
            <w:r>
              <w:rPr>
                <w:rFonts w:ascii="Times New Roman" w:hAnsi="Times New Roman" w:eastAsia="宋体" w:cs="Times New Roman"/>
                <w:b/>
                <w:kern w:val="0"/>
                <w:szCs w:val="21"/>
              </w:rPr>
              <w:t>目标</w:t>
            </w:r>
            <w:r>
              <w:rPr>
                <w:rFonts w:hint="eastAsia" w:ascii="Times New Roman" w:hAnsi="Times New Roman" w:eastAsia="宋体" w:cs="Times New Roman"/>
                <w:b/>
                <w:kern w:val="0"/>
                <w:szCs w:val="21"/>
              </w:rPr>
              <w:t>1</w:t>
            </w:r>
          </w:p>
          <w:p>
            <w:pPr>
              <w:jc w:val="center"/>
              <w:rPr>
                <w:rFonts w:ascii="Times New Roman" w:hAnsi="Times New Roman" w:eastAsia="宋体" w:cs="Times New Roman"/>
                <w:szCs w:val="21"/>
              </w:rPr>
            </w:pPr>
            <w:r>
              <w:rPr>
                <w:rFonts w:ascii="Times New Roman" w:hAnsi="Times New Roman" w:eastAsia="宋体" w:cs="Times New Roman"/>
                <w:b/>
                <w:kern w:val="0"/>
                <w:szCs w:val="21"/>
              </w:rPr>
              <w:t>目标</w:t>
            </w:r>
            <w:r>
              <w:rPr>
                <w:rFonts w:hint="eastAsia" w:ascii="Times New Roman" w:hAnsi="Times New Roman" w:eastAsia="宋体" w:cs="Times New Roman"/>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0"/>
            <w:vAlign w:val="center"/>
          </w:tcPr>
          <w:p>
            <w:pPr>
              <w:jc w:val="center"/>
              <w:rPr>
                <w:rFonts w:ascii="Times New Roman" w:hAnsi="Times New Roman" w:eastAsia="宋体" w:cs="Times New Roman"/>
                <w:szCs w:val="21"/>
              </w:rPr>
            </w:pPr>
            <w:r>
              <w:rPr>
                <w:rFonts w:ascii="Times New Roman" w:hAnsi="Times New Roman" w:eastAsia="宋体" w:cs="Times New Roman"/>
                <w:szCs w:val="21"/>
              </w:rPr>
              <w:t>5</w:t>
            </w:r>
          </w:p>
        </w:tc>
        <w:tc>
          <w:tcPr>
            <w:tcW w:w="2616" w:type="dxa"/>
            <w:noWrap w:val="0"/>
            <w:vAlign w:val="center"/>
          </w:tcPr>
          <w:p>
            <w:pPr>
              <w:rPr>
                <w:rFonts w:ascii="Times New Roman" w:hAnsi="Times New Roman" w:eastAsia="宋体" w:cs="Times New Roman"/>
                <w:bCs/>
                <w:kern w:val="0"/>
                <w:szCs w:val="21"/>
              </w:rPr>
            </w:pPr>
            <w:r>
              <w:rPr>
                <w:rFonts w:hint="eastAsia" w:ascii="Times New Roman" w:hAnsi="Times New Roman" w:eastAsia="宋体" w:cs="Times New Roman"/>
                <w:b/>
                <w:kern w:val="0"/>
                <w:szCs w:val="21"/>
              </w:rPr>
              <w:t>实验室质量体系的建立与运行：</w:t>
            </w:r>
            <w:r>
              <w:rPr>
                <w:rFonts w:hint="eastAsia" w:ascii="Times New Roman" w:hAnsi="Times New Roman" w:eastAsia="宋体" w:cs="Times New Roman"/>
                <w:bCs/>
                <w:kern w:val="0"/>
                <w:szCs w:val="21"/>
              </w:rPr>
              <w:t>（1）质量体系的理论；（2）质量体系的建立与运行。</w:t>
            </w:r>
          </w:p>
          <w:p>
            <w:pPr>
              <w:rPr>
                <w:rFonts w:hint="eastAsia" w:ascii="Times New Roman" w:hAnsi="Times New Roman" w:eastAsia="宋体" w:cs="Times New Roman"/>
                <w:kern w:val="0"/>
                <w:szCs w:val="21"/>
              </w:rPr>
            </w:pPr>
            <w:r>
              <w:rPr>
                <w:rFonts w:ascii="Times New Roman" w:hAnsi="Times New Roman" w:eastAsia="宋体" w:cs="Times New Roman"/>
                <w:b/>
                <w:kern w:val="0"/>
                <w:szCs w:val="21"/>
              </w:rPr>
              <w:t>重点和难点：</w:t>
            </w:r>
            <w:r>
              <w:rPr>
                <w:rFonts w:hint="eastAsia" w:ascii="Times New Roman" w:hAnsi="Times New Roman" w:eastAsia="宋体" w:cs="Times New Roman"/>
                <w:kern w:val="0"/>
                <w:szCs w:val="21"/>
              </w:rPr>
              <w:t>（1）了解建立质量体系的理论；（2）掌握质量体系建立的环节及文件化内涵；（3）掌握质量体系的有效运行。</w:t>
            </w:r>
          </w:p>
        </w:tc>
        <w:tc>
          <w:tcPr>
            <w:tcW w:w="1130" w:type="dxa"/>
            <w:noWrap w:val="0"/>
            <w:vAlign w:val="center"/>
          </w:tcPr>
          <w:p>
            <w:pPr>
              <w:rPr>
                <w:rFonts w:ascii="Times New Roman" w:hAnsi="Times New Roman" w:eastAsia="宋体" w:cs="Times New Roman"/>
                <w:szCs w:val="21"/>
              </w:rPr>
            </w:pPr>
            <w:r>
              <w:rPr>
                <w:rFonts w:hint="eastAsia" w:ascii="Times New Roman" w:hAnsi="Times New Roman" w:eastAsia="宋体" w:cs="Times New Roman"/>
                <w:szCs w:val="21"/>
              </w:rPr>
              <w:t>正确</w:t>
            </w:r>
            <w:r>
              <w:rPr>
                <w:rFonts w:ascii="Times New Roman" w:hAnsi="Times New Roman" w:eastAsia="宋体" w:cs="Times New Roman"/>
                <w:kern w:val="0"/>
                <w:szCs w:val="21"/>
              </w:rPr>
              <w:t>理解</w:t>
            </w:r>
            <w:r>
              <w:rPr>
                <w:rFonts w:hint="eastAsia" w:ascii="Times New Roman" w:hAnsi="Times New Roman" w:eastAsia="宋体" w:cs="Times New Roman"/>
              </w:rPr>
              <w:t>实验室质量手册基本要素</w:t>
            </w:r>
            <w:r>
              <w:rPr>
                <w:rFonts w:hint="eastAsia" w:ascii="Times New Roman" w:hAnsi="Times New Roman" w:eastAsia="宋体" w:cs="Times New Roman"/>
                <w:szCs w:val="21"/>
              </w:rPr>
              <w:t>，培养学生具备职业道德和敬业精神。</w:t>
            </w:r>
          </w:p>
        </w:tc>
        <w:tc>
          <w:tcPr>
            <w:tcW w:w="2405" w:type="dxa"/>
            <w:noWrap w:val="0"/>
            <w:vAlign w:val="center"/>
          </w:tcPr>
          <w:p>
            <w:pPr>
              <w:rPr>
                <w:rFonts w:ascii="Times New Roman" w:hAnsi="Times New Roman" w:eastAsia="宋体" w:cs="Times New Roman"/>
                <w:szCs w:val="21"/>
              </w:rPr>
            </w:pPr>
            <w:r>
              <w:rPr>
                <w:rFonts w:ascii="Times New Roman" w:hAnsi="Times New Roman" w:eastAsia="宋体" w:cs="Times New Roman"/>
                <w:kern w:val="0"/>
                <w:szCs w:val="21"/>
              </w:rPr>
              <w:t>能够理解</w:t>
            </w:r>
            <w:r>
              <w:rPr>
                <w:rFonts w:hint="eastAsia" w:ascii="Times New Roman" w:hAnsi="Times New Roman" w:eastAsia="宋体" w:cs="Times New Roman"/>
              </w:rPr>
              <w:t>实验室质量手册包括：实验室的方针与目标、管理要求、组织机构和职责、体系文件和技术要求、内部审核与管理评审、纠正与预防措施、记录控制、测量溯源和测试结果的质量保障等基本要素</w:t>
            </w:r>
            <w:r>
              <w:rPr>
                <w:rFonts w:hint="eastAsia" w:ascii="Times New Roman" w:hAnsi="Times New Roman" w:eastAsia="宋体" w:cs="Times New Roman"/>
                <w:kern w:val="0"/>
                <w:szCs w:val="21"/>
              </w:rPr>
              <w:t>。</w:t>
            </w:r>
          </w:p>
        </w:tc>
        <w:tc>
          <w:tcPr>
            <w:tcW w:w="720" w:type="dxa"/>
            <w:noWrap w:val="0"/>
            <w:vAlign w:val="center"/>
          </w:tcPr>
          <w:p>
            <w:pPr>
              <w:spacing w:line="312" w:lineRule="auto"/>
              <w:jc w:val="center"/>
              <w:rPr>
                <w:rFonts w:ascii="Times New Roman" w:hAnsi="Times New Roman" w:eastAsia="宋体" w:cs="Times New Roman"/>
                <w:szCs w:val="21"/>
              </w:rPr>
            </w:pPr>
            <w:r>
              <w:rPr>
                <w:rFonts w:hint="eastAsia" w:ascii="Times New Roman" w:hAnsi="Times New Roman" w:eastAsia="宋体" w:cs="Times New Roman"/>
                <w:szCs w:val="21"/>
              </w:rPr>
              <w:t>4（讲授）</w:t>
            </w:r>
          </w:p>
        </w:tc>
        <w:tc>
          <w:tcPr>
            <w:tcW w:w="604" w:type="dxa"/>
            <w:noWrap w:val="0"/>
            <w:vAlign w:val="center"/>
          </w:tcPr>
          <w:p>
            <w:pPr>
              <w:rPr>
                <w:rFonts w:ascii="Times New Roman" w:hAnsi="Times New Roman" w:eastAsia="宋体" w:cs="Times New Roman"/>
                <w:szCs w:val="21"/>
              </w:rPr>
            </w:pPr>
            <w:r>
              <w:rPr>
                <w:rFonts w:ascii="Times New Roman" w:hAnsi="Times New Roman" w:eastAsia="宋体" w:cs="Times New Roman"/>
                <w:szCs w:val="21"/>
              </w:rPr>
              <w:t>讲授/讨论/实例教学/等</w:t>
            </w:r>
          </w:p>
        </w:tc>
        <w:tc>
          <w:tcPr>
            <w:tcW w:w="921" w:type="dxa"/>
            <w:noWrap w:val="0"/>
            <w:vAlign w:val="center"/>
          </w:tcPr>
          <w:p>
            <w:pPr>
              <w:jc w:val="center"/>
              <w:rPr>
                <w:rFonts w:hint="eastAsia" w:ascii="Times New Roman" w:hAnsi="Times New Roman" w:eastAsia="宋体" w:cs="Times New Roman"/>
                <w:kern w:val="0"/>
                <w:szCs w:val="21"/>
              </w:rPr>
            </w:pPr>
            <w:r>
              <w:rPr>
                <w:rFonts w:ascii="Times New Roman" w:hAnsi="Times New Roman" w:eastAsia="宋体" w:cs="Times New Roman"/>
                <w:b/>
                <w:kern w:val="0"/>
                <w:szCs w:val="21"/>
              </w:rPr>
              <w:t>目标</w:t>
            </w:r>
            <w:r>
              <w:rPr>
                <w:rFonts w:hint="eastAsia" w:ascii="Times New Roman" w:hAnsi="Times New Roman" w:eastAsia="宋体" w:cs="Times New Roman"/>
                <w:b/>
                <w:kern w:val="0"/>
                <w:szCs w:val="21"/>
              </w:rPr>
              <w:t>1</w:t>
            </w:r>
          </w:p>
          <w:p>
            <w:pPr>
              <w:jc w:val="center"/>
              <w:rPr>
                <w:rFonts w:ascii="Times New Roman" w:hAnsi="Times New Roman" w:eastAsia="宋体" w:cs="Times New Roman"/>
                <w:szCs w:val="21"/>
              </w:rPr>
            </w:pPr>
            <w:r>
              <w:rPr>
                <w:rFonts w:ascii="Times New Roman" w:hAnsi="Times New Roman" w:eastAsia="宋体" w:cs="Times New Roman"/>
                <w:b/>
                <w:kern w:val="0"/>
                <w:szCs w:val="21"/>
              </w:rPr>
              <w:t>目标</w:t>
            </w:r>
            <w:r>
              <w:rPr>
                <w:rFonts w:hint="eastAsia" w:ascii="Times New Roman" w:hAnsi="Times New Roman" w:eastAsia="宋体" w:cs="Times New Roman"/>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0"/>
            <w:vAlign w:val="center"/>
          </w:tcPr>
          <w:p>
            <w:pPr>
              <w:jc w:val="center"/>
              <w:rPr>
                <w:rFonts w:ascii="Times New Roman" w:hAnsi="Times New Roman" w:eastAsia="宋体" w:cs="Times New Roman"/>
                <w:szCs w:val="21"/>
              </w:rPr>
            </w:pPr>
            <w:r>
              <w:rPr>
                <w:rFonts w:ascii="Times New Roman" w:hAnsi="Times New Roman" w:eastAsia="宋体" w:cs="Times New Roman"/>
                <w:szCs w:val="21"/>
              </w:rPr>
              <w:t>6</w:t>
            </w:r>
          </w:p>
        </w:tc>
        <w:tc>
          <w:tcPr>
            <w:tcW w:w="2616" w:type="dxa"/>
            <w:noWrap w:val="0"/>
            <w:vAlign w:val="center"/>
          </w:tcPr>
          <w:p>
            <w:pPr>
              <w:rPr>
                <w:rFonts w:ascii="Times New Roman" w:hAnsi="Times New Roman" w:eastAsia="宋体" w:cs="Times New Roman"/>
                <w:kern w:val="0"/>
                <w:szCs w:val="21"/>
              </w:rPr>
            </w:pPr>
            <w:r>
              <w:rPr>
                <w:rFonts w:hint="eastAsia" w:ascii="Times New Roman" w:hAnsi="Times New Roman" w:eastAsia="宋体" w:cs="Times New Roman"/>
                <w:b/>
                <w:kern w:val="0"/>
                <w:szCs w:val="21"/>
              </w:rPr>
              <w:t>内部审核和管理评审：</w:t>
            </w:r>
            <w:r>
              <w:rPr>
                <w:rFonts w:hint="eastAsia" w:ascii="Times New Roman" w:hAnsi="Times New Roman" w:eastAsia="宋体" w:cs="Times New Roman"/>
                <w:bCs/>
                <w:kern w:val="0"/>
                <w:szCs w:val="21"/>
              </w:rPr>
              <w:t>（1）实验室内部审核；（2）实验室管理评审。</w:t>
            </w:r>
          </w:p>
          <w:p>
            <w:pPr>
              <w:rPr>
                <w:rFonts w:hint="eastAsia" w:ascii="Times New Roman" w:hAnsi="Times New Roman" w:eastAsia="宋体" w:cs="Times New Roman"/>
                <w:kern w:val="0"/>
                <w:szCs w:val="21"/>
              </w:rPr>
            </w:pPr>
            <w:r>
              <w:rPr>
                <w:rFonts w:ascii="Times New Roman" w:hAnsi="Times New Roman" w:eastAsia="宋体" w:cs="Times New Roman"/>
                <w:b/>
                <w:kern w:val="0"/>
                <w:szCs w:val="21"/>
              </w:rPr>
              <w:t>重点和难点：</w:t>
            </w:r>
            <w:r>
              <w:rPr>
                <w:rFonts w:hint="eastAsia" w:ascii="Times New Roman" w:hAnsi="Times New Roman" w:eastAsia="宋体" w:cs="Times New Roman"/>
                <w:kern w:val="0"/>
                <w:szCs w:val="21"/>
              </w:rPr>
              <w:t>（1）了解实验室内部审核；（2）了解实验室管理评审。</w:t>
            </w:r>
          </w:p>
        </w:tc>
        <w:tc>
          <w:tcPr>
            <w:tcW w:w="1130" w:type="dxa"/>
            <w:noWrap w:val="0"/>
            <w:vAlign w:val="center"/>
          </w:tcPr>
          <w:p>
            <w:pPr>
              <w:rPr>
                <w:rFonts w:ascii="Times New Roman" w:hAnsi="Times New Roman" w:eastAsia="宋体" w:cs="Times New Roman"/>
                <w:kern w:val="0"/>
                <w:szCs w:val="21"/>
              </w:rPr>
            </w:pPr>
            <w:r>
              <w:rPr>
                <w:rFonts w:hint="eastAsia" w:ascii="Times New Roman" w:hAnsi="Times New Roman" w:eastAsia="宋体" w:cs="Times New Roman"/>
                <w:szCs w:val="21"/>
              </w:rPr>
              <w:t>正确理解</w:t>
            </w:r>
            <w:r>
              <w:rPr>
                <w:rFonts w:ascii="Times New Roman" w:hAnsi="Times New Roman" w:eastAsia="宋体" w:cs="Times New Roman"/>
                <w:szCs w:val="21"/>
              </w:rPr>
              <w:t>内因是变化的根据，外因是变化的条件，外因通过内因而起作用。</w:t>
            </w:r>
          </w:p>
        </w:tc>
        <w:tc>
          <w:tcPr>
            <w:tcW w:w="2405" w:type="dxa"/>
            <w:noWrap w:val="0"/>
            <w:vAlign w:val="center"/>
          </w:tcPr>
          <w:p>
            <w:pPr>
              <w:rPr>
                <w:rFonts w:ascii="Times New Roman" w:hAnsi="Times New Roman" w:eastAsia="宋体" w:cs="Times New Roman"/>
                <w:kern w:val="0"/>
                <w:szCs w:val="21"/>
              </w:rPr>
            </w:pPr>
            <w:r>
              <w:rPr>
                <w:rFonts w:ascii="Times New Roman" w:hAnsi="Times New Roman" w:eastAsia="宋体" w:cs="Times New Roman"/>
                <w:kern w:val="0"/>
                <w:szCs w:val="21"/>
              </w:rPr>
              <w:t>能够理解</w:t>
            </w:r>
            <w:r>
              <w:rPr>
                <w:rFonts w:hint="eastAsia" w:ascii="Times New Roman" w:hAnsi="Times New Roman" w:eastAsia="宋体" w:cs="Times New Roman"/>
                <w:kern w:val="0"/>
                <w:szCs w:val="21"/>
              </w:rPr>
              <w:t>气相色谱法分离原理，以及相对应的仪器结构设计</w:t>
            </w:r>
            <w:r>
              <w:rPr>
                <w:rFonts w:ascii="Times New Roman" w:hAnsi="Times New Roman" w:eastAsia="宋体" w:cs="Times New Roman"/>
                <w:kern w:val="0"/>
                <w:szCs w:val="21"/>
              </w:rPr>
              <w:t>；能够</w:t>
            </w:r>
            <w:r>
              <w:rPr>
                <w:rFonts w:hint="eastAsia" w:ascii="Times New Roman" w:hAnsi="Times New Roman" w:eastAsia="宋体" w:cs="Times New Roman"/>
                <w:kern w:val="0"/>
                <w:szCs w:val="21"/>
              </w:rPr>
              <w:t>掌握气相色谱法进行定性和定量分析。</w:t>
            </w:r>
          </w:p>
        </w:tc>
        <w:tc>
          <w:tcPr>
            <w:tcW w:w="720" w:type="dxa"/>
            <w:noWrap w:val="0"/>
            <w:vAlign w:val="center"/>
          </w:tcPr>
          <w:p>
            <w:pPr>
              <w:spacing w:line="312" w:lineRule="auto"/>
              <w:jc w:val="center"/>
              <w:rPr>
                <w:rFonts w:ascii="Times New Roman" w:hAnsi="Times New Roman" w:eastAsia="宋体" w:cs="Times New Roman"/>
                <w:szCs w:val="21"/>
              </w:rPr>
            </w:pPr>
            <w:r>
              <w:rPr>
                <w:rFonts w:hint="eastAsia" w:ascii="Times New Roman" w:hAnsi="Times New Roman" w:eastAsia="宋体" w:cs="Times New Roman"/>
                <w:szCs w:val="21"/>
              </w:rPr>
              <w:t>2（讲授）</w:t>
            </w:r>
          </w:p>
        </w:tc>
        <w:tc>
          <w:tcPr>
            <w:tcW w:w="604" w:type="dxa"/>
            <w:noWrap w:val="0"/>
            <w:vAlign w:val="center"/>
          </w:tcPr>
          <w:p>
            <w:pPr>
              <w:rPr>
                <w:rFonts w:ascii="Times New Roman" w:hAnsi="Times New Roman" w:eastAsia="宋体" w:cs="Times New Roman"/>
                <w:szCs w:val="21"/>
              </w:rPr>
            </w:pPr>
            <w:r>
              <w:rPr>
                <w:rFonts w:ascii="Times New Roman" w:hAnsi="Times New Roman" w:eastAsia="宋体" w:cs="Times New Roman"/>
                <w:szCs w:val="21"/>
              </w:rPr>
              <w:t>讲授/讨论/等</w:t>
            </w:r>
          </w:p>
        </w:tc>
        <w:tc>
          <w:tcPr>
            <w:tcW w:w="921" w:type="dxa"/>
            <w:noWrap w:val="0"/>
            <w:vAlign w:val="center"/>
          </w:tcPr>
          <w:p>
            <w:pPr>
              <w:jc w:val="center"/>
              <w:rPr>
                <w:rFonts w:hint="eastAsia" w:ascii="Times New Roman" w:hAnsi="Times New Roman" w:eastAsia="宋体" w:cs="Times New Roman"/>
                <w:kern w:val="0"/>
                <w:szCs w:val="21"/>
              </w:rPr>
            </w:pPr>
            <w:r>
              <w:rPr>
                <w:rFonts w:ascii="Times New Roman" w:hAnsi="Times New Roman" w:eastAsia="宋体" w:cs="Times New Roman"/>
                <w:b/>
                <w:kern w:val="0"/>
                <w:szCs w:val="21"/>
              </w:rPr>
              <w:t>目标</w:t>
            </w:r>
            <w:r>
              <w:rPr>
                <w:rFonts w:hint="eastAsia" w:ascii="Times New Roman" w:hAnsi="Times New Roman" w:eastAsia="宋体" w:cs="Times New Roman"/>
                <w:b/>
                <w:kern w:val="0"/>
                <w:szCs w:val="21"/>
              </w:rPr>
              <w:t>1</w:t>
            </w:r>
          </w:p>
          <w:p>
            <w:pPr>
              <w:jc w:val="center"/>
              <w:rPr>
                <w:rFonts w:ascii="Times New Roman" w:hAnsi="Times New Roman" w:eastAsia="宋体" w:cs="Times New Roman"/>
                <w:szCs w:val="21"/>
              </w:rPr>
            </w:pPr>
            <w:r>
              <w:rPr>
                <w:rFonts w:ascii="Times New Roman" w:hAnsi="Times New Roman" w:eastAsia="宋体" w:cs="Times New Roman"/>
                <w:b/>
                <w:kern w:val="0"/>
                <w:szCs w:val="21"/>
              </w:rPr>
              <w:t>目标</w:t>
            </w:r>
            <w:r>
              <w:rPr>
                <w:rFonts w:hint="eastAsia" w:ascii="Times New Roman" w:hAnsi="Times New Roman" w:eastAsia="宋体" w:cs="Times New Roman"/>
                <w:b/>
                <w:kern w:val="0"/>
                <w:szCs w:val="21"/>
              </w:rPr>
              <w:t>2</w:t>
            </w:r>
          </w:p>
        </w:tc>
      </w:tr>
    </w:tbl>
    <w:p>
      <w:pPr>
        <w:spacing w:line="360" w:lineRule="auto"/>
        <w:ind w:firstLine="562" w:firstLineChars="200"/>
        <w:rPr>
          <w:rFonts w:ascii="Times New Roman" w:hAnsi="Times New Roman" w:eastAsia="宋体" w:cs="Times New Roman"/>
          <w:b/>
          <w:sz w:val="28"/>
          <w:szCs w:val="28"/>
        </w:rPr>
      </w:pPr>
      <w:r>
        <w:rPr>
          <w:rFonts w:hint="eastAsia" w:ascii="Times New Roman" w:hAnsi="Times New Roman" w:eastAsia="宋体" w:cs="Times New Roman"/>
          <w:b/>
          <w:sz w:val="28"/>
          <w:szCs w:val="28"/>
        </w:rPr>
        <w:t>四</w:t>
      </w:r>
      <w:r>
        <w:rPr>
          <w:rFonts w:ascii="Times New Roman" w:hAnsi="Times New Roman" w:eastAsia="宋体" w:cs="Times New Roman"/>
          <w:b/>
          <w:sz w:val="28"/>
          <w:szCs w:val="28"/>
        </w:rPr>
        <w:t>、</w:t>
      </w:r>
      <w:r>
        <w:rPr>
          <w:rFonts w:hint="eastAsia" w:ascii="Times New Roman" w:hAnsi="Times New Roman" w:eastAsia="宋体" w:cs="Times New Roman"/>
          <w:b/>
          <w:sz w:val="28"/>
          <w:szCs w:val="28"/>
        </w:rPr>
        <w:t>课程实施</w:t>
      </w:r>
    </w:p>
    <w:p>
      <w:pPr>
        <w:spacing w:line="360" w:lineRule="auto"/>
        <w:ind w:firstLine="482" w:firstLineChars="200"/>
        <w:rPr>
          <w:rFonts w:ascii="Times New Roman" w:hAnsi="Times New Roman" w:eastAsia="宋体" w:cs="Times New Roman"/>
          <w:b/>
          <w:sz w:val="24"/>
        </w:rPr>
      </w:pPr>
      <w:r>
        <w:rPr>
          <w:rFonts w:hint="eastAsia" w:ascii="Times New Roman" w:hAnsi="Times New Roman" w:eastAsia="宋体" w:cs="Times New Roman"/>
          <w:b/>
          <w:sz w:val="24"/>
        </w:rPr>
        <w:t>（一）教学方法与教学手段</w:t>
      </w:r>
    </w:p>
    <w:p>
      <w:pPr>
        <w:spacing w:line="360" w:lineRule="auto"/>
        <w:ind w:firstLine="480" w:firstLineChars="200"/>
        <w:rPr>
          <w:rFonts w:ascii="Times New Roman" w:hAnsi="Times New Roman" w:eastAsia="宋体" w:cs="Times New Roman"/>
          <w:color w:val="000000"/>
          <w:sz w:val="24"/>
        </w:rPr>
      </w:pPr>
      <w:r>
        <w:rPr>
          <w:rFonts w:hint="eastAsia" w:ascii="Times New Roman" w:hAnsi="Times New Roman" w:eastAsia="宋体" w:cs="Times New Roman"/>
          <w:color w:val="000000"/>
          <w:sz w:val="24"/>
        </w:rPr>
        <w:t>1.</w:t>
      </w:r>
      <w:r>
        <w:rPr>
          <w:rFonts w:ascii="Times New Roman" w:hAnsi="Times New Roman" w:eastAsia="宋体" w:cs="Times New Roman"/>
          <w:color w:val="000000"/>
          <w:sz w:val="24"/>
        </w:rPr>
        <w:t>采用多媒体教学手段，配合例题的讲解及适当的思考题，保证讲课进度的同时，注意学生的掌握程度和课堂的气氛</w:t>
      </w:r>
      <w:r>
        <w:rPr>
          <w:rFonts w:hint="eastAsia" w:ascii="Times New Roman" w:hAnsi="Times New Roman" w:eastAsia="宋体" w:cs="Times New Roman"/>
          <w:color w:val="000000"/>
          <w:sz w:val="24"/>
        </w:rPr>
        <w:t>。</w:t>
      </w:r>
    </w:p>
    <w:p>
      <w:pPr>
        <w:spacing w:line="360" w:lineRule="auto"/>
        <w:ind w:firstLine="480" w:firstLineChars="200"/>
        <w:rPr>
          <w:rFonts w:ascii="Times New Roman" w:hAnsi="Times New Roman" w:eastAsia="宋体" w:cs="Times New Roman"/>
          <w:color w:val="000000"/>
          <w:sz w:val="24"/>
        </w:rPr>
      </w:pPr>
      <w:r>
        <w:rPr>
          <w:rFonts w:hint="eastAsia" w:ascii="Times New Roman" w:hAnsi="Times New Roman" w:eastAsia="宋体" w:cs="Times New Roman"/>
          <w:sz w:val="24"/>
        </w:rPr>
        <w:t>2.</w:t>
      </w:r>
      <w:r>
        <w:rPr>
          <w:rFonts w:hint="eastAsia" w:ascii="Times New Roman" w:hAnsi="Times New Roman" w:eastAsia="宋体" w:cs="Times New Roman"/>
          <w:color w:val="000000"/>
          <w:sz w:val="24"/>
        </w:rPr>
        <w:t>课程讲授与启案例教学、课堂讨论、解释实际现象、线上网络教学等多种教学方式结合，实行互动研究型教学，重点培养学生的理论素养和实践能力。因此，本课程要求课前必须阅读教材的相关部分和参考文献；课上主动参与讨论；课后按时完成布置的作业，积极进行教学互动交流。</w:t>
      </w:r>
    </w:p>
    <w:p>
      <w:pPr>
        <w:spacing w:line="360" w:lineRule="auto"/>
        <w:ind w:firstLine="482" w:firstLineChars="200"/>
        <w:rPr>
          <w:rFonts w:ascii="Times New Roman" w:hAnsi="Times New Roman" w:eastAsia="宋体" w:cs="Times New Roman"/>
          <w:b/>
          <w:sz w:val="24"/>
        </w:rPr>
      </w:pPr>
      <w:r>
        <w:rPr>
          <w:rFonts w:hint="eastAsia" w:ascii="Times New Roman" w:hAnsi="Times New Roman" w:eastAsia="宋体" w:cs="Times New Roman"/>
          <w:b/>
          <w:sz w:val="24"/>
        </w:rPr>
        <w:t>（二）课程实施与保障</w:t>
      </w:r>
    </w:p>
    <w:tbl>
      <w:tblPr>
        <w:tblStyle w:val="10"/>
        <w:tblW w:w="9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306"/>
        <w:gridCol w:w="7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2" w:type="dxa"/>
            <w:gridSpan w:val="2"/>
            <w:tcBorders>
              <w:top w:val="single" w:color="auto" w:sz="8" w:space="0"/>
              <w:left w:val="single" w:color="auto" w:sz="8" w:space="0"/>
              <w:right w:val="single" w:color="auto" w:sz="8" w:space="0"/>
            </w:tcBorders>
            <w:noWrap w:val="0"/>
            <w:tcMar>
              <w:left w:w="28" w:type="dxa"/>
              <w:right w:w="28" w:type="dxa"/>
            </w:tcMar>
            <w:vAlign w:val="center"/>
          </w:tcPr>
          <w:p>
            <w:pPr>
              <w:jc w:val="center"/>
              <w:rPr>
                <w:rFonts w:ascii="Times New Roman" w:hAnsi="Times New Roman" w:eastAsia="宋体" w:cs="Times New Roman"/>
                <w:szCs w:val="21"/>
              </w:rPr>
            </w:pPr>
            <w:r>
              <w:rPr>
                <w:rFonts w:ascii="Times New Roman" w:hAnsi="Times New Roman" w:eastAsia="宋体" w:cs="Times New Roman"/>
                <w:bCs/>
                <w:szCs w:val="21"/>
              </w:rPr>
              <w:t>主要教学环节</w:t>
            </w:r>
          </w:p>
        </w:tc>
        <w:tc>
          <w:tcPr>
            <w:tcW w:w="7158" w:type="dxa"/>
            <w:tcBorders>
              <w:top w:val="single" w:color="auto" w:sz="8" w:space="0"/>
              <w:left w:val="single" w:color="auto" w:sz="8" w:space="0"/>
              <w:right w:val="single" w:color="auto" w:sz="8" w:space="0"/>
            </w:tcBorders>
            <w:noWrap w:val="0"/>
            <w:vAlign w:val="center"/>
          </w:tcPr>
          <w:p>
            <w:pPr>
              <w:jc w:val="center"/>
              <w:rPr>
                <w:rFonts w:ascii="Times New Roman" w:hAnsi="Times New Roman" w:eastAsia="宋体" w:cs="Times New Roman"/>
                <w:szCs w:val="21"/>
              </w:rPr>
            </w:pPr>
            <w:r>
              <w:rPr>
                <w:rFonts w:ascii="Times New Roman" w:hAnsi="Times New Roman" w:eastAsia="宋体" w:cs="Times New Roman"/>
                <w:bCs/>
                <w:szCs w:val="21"/>
              </w:rPr>
              <w:t>质量</w:t>
            </w:r>
            <w:r>
              <w:rPr>
                <w:rFonts w:hint="eastAsia" w:ascii="Times New Roman" w:hAnsi="Times New Roman" w:eastAsia="宋体" w:cs="Times New Roman"/>
                <w:bCs/>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left w:val="single" w:color="auto" w:sz="8" w:space="0"/>
            </w:tcBorders>
            <w:noWrap w:val="0"/>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w:t>
            </w:r>
          </w:p>
        </w:tc>
        <w:tc>
          <w:tcPr>
            <w:tcW w:w="1306" w:type="dxa"/>
            <w:noWrap w:val="0"/>
            <w:tcMar>
              <w:left w:w="28" w:type="dxa"/>
              <w:right w:w="28" w:type="dxa"/>
            </w:tcMar>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备课</w:t>
            </w:r>
          </w:p>
        </w:tc>
        <w:tc>
          <w:tcPr>
            <w:tcW w:w="7158" w:type="dxa"/>
            <w:tcBorders>
              <w:right w:val="single" w:color="auto" w:sz="8" w:space="0"/>
            </w:tcBorders>
            <w:noWrap w:val="0"/>
            <w:vAlign w:val="center"/>
          </w:tcPr>
          <w:p>
            <w:pPr>
              <w:spacing w:line="276" w:lineRule="auto"/>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掌握本课程教学大纲内容，严格按照教学大纲要求进行本课程教学内容的组织；</w:t>
            </w:r>
          </w:p>
          <w:p>
            <w:pPr>
              <w:spacing w:line="276" w:lineRule="auto"/>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熟悉教材各章节，借助相关专业书籍资料，并依据教学大纲编写授课计划，编写每次授课的教案。教案内容包括章节标题、教学目的、教法设计、课堂类型、时间分配、授课内容、课后作业、教学效果分析等方面；</w:t>
            </w:r>
          </w:p>
          <w:p>
            <w:pPr>
              <w:spacing w:line="276" w:lineRule="auto"/>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结合课程特点，制作课件，运用多媒体教学手段讲授部分教学内容；</w:t>
            </w:r>
            <w:r>
              <w:rPr>
                <w:rFonts w:ascii="Times New Roman" w:hAnsi="Times New Roman" w:eastAsia="宋体" w:cs="Times New Roman"/>
                <w:szCs w:val="21"/>
              </w:rPr>
              <w:t xml:space="preserve"> </w:t>
            </w:r>
          </w:p>
          <w:p>
            <w:pPr>
              <w:spacing w:line="276" w:lineRule="auto"/>
              <w:rPr>
                <w:rFonts w:hint="eastAsia" w:ascii="Times New Roman" w:hAnsi="Times New Roman" w:eastAsia="宋体" w:cs="Times New Roman"/>
                <w:sz w:val="24"/>
              </w:rPr>
            </w:pPr>
            <w:r>
              <w:rPr>
                <w:rFonts w:ascii="Times New Roman" w:hAnsi="Times New Roman" w:eastAsia="宋体" w:cs="Times New Roman"/>
                <w:szCs w:val="21"/>
              </w:rPr>
              <w:t>4.</w:t>
            </w:r>
            <w:r>
              <w:rPr>
                <w:rFonts w:hint="eastAsia" w:ascii="Times New Roman" w:hAnsi="Times New Roman" w:eastAsia="宋体" w:cs="Times New Roman"/>
                <w:szCs w:val="21"/>
              </w:rPr>
              <w:t>确定各章节课程内容的教学方法，构思授课思路、技巧和方法。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left w:val="single" w:color="auto" w:sz="8" w:space="0"/>
            </w:tcBorders>
            <w:noWrap w:val="0"/>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w:t>
            </w:r>
          </w:p>
        </w:tc>
        <w:tc>
          <w:tcPr>
            <w:tcW w:w="1306" w:type="dxa"/>
            <w:noWrap w:val="0"/>
            <w:tcMar>
              <w:left w:w="28" w:type="dxa"/>
              <w:right w:w="28" w:type="dxa"/>
            </w:tcMar>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讲授</w:t>
            </w:r>
          </w:p>
        </w:tc>
        <w:tc>
          <w:tcPr>
            <w:tcW w:w="7158" w:type="dxa"/>
            <w:tcBorders>
              <w:right w:val="single" w:color="auto" w:sz="8" w:space="0"/>
            </w:tcBorders>
            <w:noWrap w:val="0"/>
            <w:vAlign w:val="center"/>
          </w:tcPr>
          <w:p>
            <w:pPr>
              <w:spacing w:line="276" w:lineRule="auto"/>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要点准确，推理正确，条理清晰，重点突出，理论联系实际，熟练地解答和讲解例题。</w:t>
            </w:r>
          </w:p>
          <w:p>
            <w:pPr>
              <w:spacing w:line="276" w:lineRule="auto"/>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采用多种教学方式（如启发式教学、案例分析教学、讨论式教学、多媒体示范教学等），注重培养学生的专业素质，提高学生发现、分析和解决问题的能力，以便让学生能体会和领略就业方向的思路和方法。</w:t>
            </w:r>
          </w:p>
          <w:p>
            <w:pPr>
              <w:spacing w:line="276" w:lineRule="auto"/>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多媒体教学手段、课堂实验、实物演示相结合，以培养学生实际就业的能力。</w:t>
            </w:r>
          </w:p>
          <w:p>
            <w:pPr>
              <w:spacing w:line="276" w:lineRule="auto"/>
              <w:rPr>
                <w:rFonts w:hint="eastAsia" w:ascii="Times New Roman" w:hAnsi="Times New Roman" w:eastAsia="宋体" w:cs="Times New Roman"/>
                <w:sz w:val="24"/>
              </w:rPr>
            </w:pPr>
            <w:r>
              <w:rPr>
                <w:rFonts w:ascii="Times New Roman" w:hAnsi="Times New Roman" w:eastAsia="宋体" w:cs="Times New Roman"/>
                <w:szCs w:val="21"/>
              </w:rPr>
              <w:t>4.</w:t>
            </w:r>
            <w:r>
              <w:rPr>
                <w:rFonts w:hint="eastAsia" w:ascii="Times New Roman" w:hAnsi="Times New Roman" w:eastAsia="宋体" w:cs="Times New Roman"/>
                <w:szCs w:val="21"/>
              </w:rPr>
              <w:t>表达方式尽量便于学生理解、接受，力求形象生动，使学生在掌握知识的过程中，保持较为浓厚的兴趣。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left w:val="single" w:color="auto" w:sz="8" w:space="0"/>
            </w:tcBorders>
            <w:noWrap w:val="0"/>
            <w:vAlign w:val="center"/>
          </w:tcPr>
          <w:p>
            <w:pPr>
              <w:jc w:val="center"/>
              <w:rPr>
                <w:rFonts w:ascii="Times New Roman" w:hAnsi="Times New Roman" w:eastAsia="宋体" w:cs="Times New Roman"/>
                <w:szCs w:val="21"/>
              </w:rPr>
            </w:pPr>
            <w:r>
              <w:rPr>
                <w:rFonts w:ascii="Times New Roman" w:hAnsi="Times New Roman" w:eastAsia="宋体" w:cs="Times New Roman"/>
                <w:szCs w:val="21"/>
              </w:rPr>
              <w:t>3</w:t>
            </w:r>
          </w:p>
        </w:tc>
        <w:tc>
          <w:tcPr>
            <w:tcW w:w="1306" w:type="dxa"/>
            <w:noWrap w:val="0"/>
            <w:tcMar>
              <w:left w:w="28" w:type="dxa"/>
              <w:right w:w="28" w:type="dxa"/>
            </w:tcMar>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作业布置与批改</w:t>
            </w:r>
          </w:p>
        </w:tc>
        <w:tc>
          <w:tcPr>
            <w:tcW w:w="7158" w:type="dxa"/>
            <w:tcBorders>
              <w:right w:val="single" w:color="auto" w:sz="8" w:space="0"/>
            </w:tcBorders>
            <w:noWrap w:val="0"/>
            <w:vAlign w:val="center"/>
          </w:tcPr>
          <w:p>
            <w:pPr>
              <w:spacing w:line="276" w:lineRule="auto"/>
              <w:rPr>
                <w:rFonts w:hint="eastAsia" w:ascii="Times New Roman" w:hAnsi="Times New Roman" w:eastAsia="宋体" w:cs="Times New Roman"/>
                <w:szCs w:val="21"/>
              </w:rPr>
            </w:pPr>
            <w:r>
              <w:rPr>
                <w:rFonts w:hint="eastAsia" w:ascii="Times New Roman" w:hAnsi="Times New Roman" w:eastAsia="宋体" w:cs="Times New Roman"/>
                <w:szCs w:val="21"/>
              </w:rPr>
              <w:t>学生必须完成一定数量的作业题，是本课程教学的基本要求，是实现人才培养目标的必要手段。</w:t>
            </w:r>
          </w:p>
          <w:p>
            <w:pPr>
              <w:spacing w:line="276" w:lineRule="auto"/>
              <w:rPr>
                <w:rFonts w:ascii="Times New Roman" w:hAnsi="Times New Roman" w:eastAsia="宋体" w:cs="Times New Roman"/>
                <w:szCs w:val="21"/>
              </w:rPr>
            </w:pPr>
            <w:r>
              <w:rPr>
                <w:rFonts w:hint="eastAsia" w:ascii="Times New Roman" w:hAnsi="Times New Roman" w:eastAsia="宋体" w:cs="Times New Roman"/>
                <w:szCs w:val="21"/>
              </w:rPr>
              <w:t>学生完成的作业必须达到以下基本要求：</w:t>
            </w:r>
          </w:p>
          <w:p>
            <w:pPr>
              <w:spacing w:line="276" w:lineRule="auto"/>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按时按量完成作业，不缺交，不抄袭；</w:t>
            </w:r>
          </w:p>
          <w:p>
            <w:pPr>
              <w:spacing w:line="276" w:lineRule="auto"/>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作业本规范。书写清晰，制证、登账、编表按规定和规范处理；</w:t>
            </w:r>
          </w:p>
          <w:p>
            <w:pPr>
              <w:spacing w:line="276" w:lineRule="auto"/>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解题方法和步骤正确。</w:t>
            </w:r>
          </w:p>
          <w:p>
            <w:pPr>
              <w:spacing w:line="276" w:lineRule="auto"/>
              <w:rPr>
                <w:rFonts w:ascii="Times New Roman" w:hAnsi="Times New Roman" w:eastAsia="宋体" w:cs="Times New Roman"/>
                <w:szCs w:val="21"/>
              </w:rPr>
            </w:pPr>
            <w:r>
              <w:rPr>
                <w:rFonts w:hint="eastAsia" w:ascii="Times New Roman" w:hAnsi="Times New Roman" w:eastAsia="宋体" w:cs="Times New Roman"/>
                <w:szCs w:val="21"/>
              </w:rPr>
              <w:t>教师批改或讲评作业要求如下：</w:t>
            </w:r>
          </w:p>
          <w:p>
            <w:pPr>
              <w:spacing w:line="276" w:lineRule="auto"/>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学生的作业要全批全改，并按时批改、讲评学生每次交来的作业；</w:t>
            </w:r>
          </w:p>
          <w:p>
            <w:pPr>
              <w:spacing w:line="276" w:lineRule="auto"/>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教师批改或讲评作业要认真、细致，每次批改或讲评作业后，按百分制评定成绩，并写明日期；</w:t>
            </w:r>
          </w:p>
          <w:p>
            <w:pPr>
              <w:spacing w:line="276" w:lineRule="auto"/>
              <w:rPr>
                <w:rFonts w:hint="eastAsia" w:ascii="Times New Roman" w:hAnsi="Times New Roman" w:eastAsia="宋体" w:cs="Times New Roman"/>
                <w:sz w:val="24"/>
              </w:rPr>
            </w:pPr>
            <w:r>
              <w:rPr>
                <w:rFonts w:ascii="Times New Roman" w:hAnsi="Times New Roman" w:eastAsia="宋体" w:cs="Times New Roman"/>
                <w:szCs w:val="21"/>
              </w:rPr>
              <w:t>3.</w:t>
            </w:r>
            <w:r>
              <w:rPr>
                <w:rFonts w:hint="eastAsia" w:ascii="Times New Roman" w:hAnsi="Times New Roman" w:eastAsia="宋体" w:cs="Times New Roman"/>
                <w:szCs w:val="21"/>
              </w:rPr>
              <w:t>期末按每个学生作业的平均成绩，作为本课程总评成绩中平时成绩的重要组成部分。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left w:val="single" w:color="auto" w:sz="8" w:space="0"/>
            </w:tcBorders>
            <w:noWrap w:val="0"/>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4</w:t>
            </w:r>
          </w:p>
        </w:tc>
        <w:tc>
          <w:tcPr>
            <w:tcW w:w="1306" w:type="dxa"/>
            <w:noWrap w:val="0"/>
            <w:tcMar>
              <w:left w:w="28" w:type="dxa"/>
              <w:right w:w="28" w:type="dxa"/>
            </w:tcMar>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课外答疑</w:t>
            </w:r>
          </w:p>
        </w:tc>
        <w:tc>
          <w:tcPr>
            <w:tcW w:w="7158" w:type="dxa"/>
            <w:tcBorders>
              <w:right w:val="single" w:color="auto" w:sz="8" w:space="0"/>
            </w:tcBorders>
            <w:noWrap w:val="0"/>
            <w:vAlign w:val="center"/>
          </w:tcPr>
          <w:p>
            <w:pPr>
              <w:spacing w:line="276" w:lineRule="auto"/>
              <w:rPr>
                <w:rFonts w:hint="eastAsia" w:ascii="Times New Roman" w:hAnsi="Times New Roman" w:eastAsia="宋体" w:cs="Times New Roman"/>
                <w:sz w:val="24"/>
              </w:rPr>
            </w:pPr>
            <w:r>
              <w:rPr>
                <w:rFonts w:hint="eastAsia" w:ascii="Times New Roman" w:hAnsi="Times New Roman" w:eastAsia="宋体" w:cs="Times New Roman"/>
                <w:szCs w:val="21"/>
              </w:rPr>
              <w:t>为直接了解学生的学习情况，帮助学生进一步理解和消化课堂上所学知识、改进学习方法和思维方式，培养其独立思考问题的能力，建议任课教师安排时间进行课外答疑与辅导工作。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left w:val="single" w:color="auto" w:sz="8" w:space="0"/>
            </w:tcBorders>
            <w:noWrap w:val="0"/>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5</w:t>
            </w:r>
          </w:p>
        </w:tc>
        <w:tc>
          <w:tcPr>
            <w:tcW w:w="1306" w:type="dxa"/>
            <w:noWrap w:val="0"/>
            <w:tcMar>
              <w:left w:w="28" w:type="dxa"/>
              <w:right w:w="28" w:type="dxa"/>
            </w:tcMar>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成绩考核</w:t>
            </w:r>
          </w:p>
        </w:tc>
        <w:tc>
          <w:tcPr>
            <w:tcW w:w="7158" w:type="dxa"/>
            <w:tcBorders>
              <w:right w:val="single" w:color="auto" w:sz="8" w:space="0"/>
            </w:tcBorders>
            <w:noWrap w:val="0"/>
            <w:vAlign w:val="center"/>
          </w:tcPr>
          <w:p>
            <w:pPr>
              <w:autoSpaceDE w:val="0"/>
              <w:autoSpaceDN w:val="0"/>
              <w:adjustRightInd w:val="0"/>
              <w:snapToGrid w:val="0"/>
              <w:spacing w:line="312" w:lineRule="auto"/>
              <w:jc w:val="left"/>
              <w:rPr>
                <w:rFonts w:ascii="宋体" w:hAnsi="Times New Roman" w:eastAsia="宋体" w:cs="Times New Roman"/>
                <w:kern w:val="0"/>
                <w:sz w:val="22"/>
              </w:rPr>
            </w:pPr>
            <w:r>
              <w:rPr>
                <w:rFonts w:hint="eastAsia" w:ascii="宋体" w:hAnsi="宋体" w:eastAsia="宋体" w:cs="宋体"/>
                <w:kern w:val="0"/>
                <w:sz w:val="22"/>
              </w:rPr>
              <w:t>本课程考核的方式：考试。考试试卷采取教考分离，网上统一答题。总评成绩的评定见课程评分方案。有下列情况之一者，总评成绩为不及格：</w:t>
            </w:r>
          </w:p>
          <w:p>
            <w:pPr>
              <w:autoSpaceDE w:val="0"/>
              <w:autoSpaceDN w:val="0"/>
              <w:adjustRightInd w:val="0"/>
              <w:snapToGrid w:val="0"/>
              <w:spacing w:line="312" w:lineRule="auto"/>
              <w:jc w:val="left"/>
              <w:rPr>
                <w:rFonts w:ascii="宋体" w:hAnsi="宋体" w:eastAsia="宋体" w:cs="宋体"/>
                <w:kern w:val="0"/>
                <w:sz w:val="22"/>
              </w:rPr>
            </w:pPr>
            <w:r>
              <w:rPr>
                <w:rFonts w:ascii="宋体" w:hAnsi="宋体" w:eastAsia="宋体" w:cs="宋体"/>
                <w:kern w:val="0"/>
                <w:sz w:val="22"/>
              </w:rPr>
              <w:t>1</w:t>
            </w:r>
            <w:r>
              <w:rPr>
                <w:rFonts w:hint="eastAsia" w:ascii="宋体" w:hAnsi="宋体" w:eastAsia="宋体" w:cs="宋体"/>
                <w:kern w:val="0"/>
                <w:sz w:val="22"/>
              </w:rPr>
              <w:t>.缺交作业次数达</w:t>
            </w:r>
            <w:r>
              <w:rPr>
                <w:rFonts w:ascii="宋体" w:hAnsi="宋体" w:eastAsia="宋体" w:cs="宋体"/>
                <w:kern w:val="0"/>
                <w:sz w:val="22"/>
              </w:rPr>
              <w:t>1/3</w:t>
            </w:r>
            <w:r>
              <w:rPr>
                <w:rFonts w:hint="eastAsia" w:ascii="宋体" w:hAnsi="宋体" w:eastAsia="宋体" w:cs="宋体"/>
                <w:kern w:val="0"/>
                <w:sz w:val="22"/>
              </w:rPr>
              <w:t>以上者；</w:t>
            </w:r>
          </w:p>
          <w:p>
            <w:pPr>
              <w:autoSpaceDE w:val="0"/>
              <w:autoSpaceDN w:val="0"/>
              <w:adjustRightInd w:val="0"/>
              <w:snapToGrid w:val="0"/>
              <w:spacing w:line="312" w:lineRule="auto"/>
              <w:jc w:val="left"/>
              <w:rPr>
                <w:rFonts w:hint="eastAsia" w:ascii="宋体" w:hAnsi="宋体" w:eastAsia="宋体" w:cs="宋体"/>
                <w:kern w:val="0"/>
                <w:sz w:val="22"/>
              </w:rPr>
            </w:pPr>
            <w:r>
              <w:rPr>
                <w:rFonts w:hint="eastAsia" w:ascii="宋体" w:hAnsi="宋体" w:eastAsia="宋体" w:cs="宋体"/>
                <w:kern w:val="0"/>
                <w:sz w:val="22"/>
              </w:rPr>
              <w:t>2.缺课次数达本学期总授课学时的</w:t>
            </w:r>
            <w:r>
              <w:rPr>
                <w:rFonts w:ascii="宋体" w:hAnsi="宋体" w:eastAsia="宋体" w:cs="宋体"/>
                <w:kern w:val="0"/>
                <w:sz w:val="22"/>
              </w:rPr>
              <w:t>1/3</w:t>
            </w:r>
            <w:r>
              <w:rPr>
                <w:rFonts w:hint="eastAsia" w:ascii="宋体" w:hAnsi="宋体" w:eastAsia="宋体" w:cs="宋体"/>
                <w:kern w:val="0"/>
                <w:sz w:val="22"/>
              </w:rPr>
              <w:t>以上者；</w:t>
            </w:r>
          </w:p>
          <w:p>
            <w:pPr>
              <w:autoSpaceDE w:val="0"/>
              <w:autoSpaceDN w:val="0"/>
              <w:adjustRightInd w:val="0"/>
              <w:snapToGrid w:val="0"/>
              <w:spacing w:line="312" w:lineRule="auto"/>
              <w:jc w:val="left"/>
              <w:rPr>
                <w:rFonts w:hint="eastAsia" w:ascii="Times New Roman" w:hAnsi="Times New Roman" w:eastAsia="宋体" w:cs="Times New Roman"/>
                <w:szCs w:val="21"/>
              </w:rPr>
            </w:pPr>
            <w:r>
              <w:rPr>
                <w:rFonts w:hint="eastAsia" w:ascii="宋体" w:hAnsi="宋体" w:eastAsia="宋体" w:cs="宋体"/>
                <w:kern w:val="0"/>
                <w:sz w:val="22"/>
              </w:rPr>
              <w:t>3.</w:t>
            </w:r>
            <w:r>
              <w:rPr>
                <w:rFonts w:ascii="宋体" w:hAnsi="宋体" w:eastAsia="宋体" w:cs="宋体"/>
                <w:kern w:val="0"/>
                <w:sz w:val="22"/>
              </w:rPr>
              <w:t>存在课程目标小于</w:t>
            </w:r>
            <w:r>
              <w:rPr>
                <w:rFonts w:hint="eastAsia" w:ascii="宋体" w:hAnsi="宋体" w:eastAsia="宋体" w:cs="宋体"/>
                <w:kern w:val="0"/>
                <w:sz w:val="22"/>
              </w:rPr>
              <w:t>0.6。</w:t>
            </w:r>
          </w:p>
        </w:tc>
      </w:tr>
    </w:tbl>
    <w:p>
      <w:pPr>
        <w:spacing w:line="360" w:lineRule="auto"/>
        <w:ind w:firstLine="562" w:firstLineChars="200"/>
        <w:rPr>
          <w:rFonts w:ascii="Times New Roman" w:hAnsi="Times New Roman" w:eastAsia="宋体" w:cs="Times New Roman"/>
          <w:b/>
          <w:sz w:val="28"/>
          <w:szCs w:val="28"/>
        </w:rPr>
      </w:pPr>
      <w:r>
        <w:rPr>
          <w:rFonts w:hint="eastAsia" w:ascii="Times New Roman" w:hAnsi="Times New Roman" w:eastAsia="宋体" w:cs="Times New Roman"/>
          <w:b/>
          <w:sz w:val="28"/>
          <w:szCs w:val="28"/>
        </w:rPr>
        <w:t>六、课程</w:t>
      </w:r>
      <w:r>
        <w:rPr>
          <w:rFonts w:ascii="Times New Roman" w:hAnsi="Times New Roman" w:eastAsia="宋体" w:cs="Times New Roman"/>
          <w:b/>
          <w:sz w:val="28"/>
          <w:szCs w:val="28"/>
        </w:rPr>
        <w:t>考核</w:t>
      </w:r>
    </w:p>
    <w:p>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（一）</w:t>
      </w:r>
      <w:r>
        <w:rPr>
          <w:rFonts w:ascii="Times New Roman" w:hAnsi="Times New Roman" w:eastAsia="宋体" w:cs="Times New Roman"/>
          <w:sz w:val="24"/>
        </w:rPr>
        <w:t>课程考核包括期末考试、平时及作业考核，期</w:t>
      </w:r>
      <w:r>
        <w:rPr>
          <w:rFonts w:hint="eastAsia" w:ascii="Times New Roman" w:hAnsi="Times New Roman" w:eastAsia="宋体" w:cs="Times New Roman"/>
          <w:sz w:val="24"/>
        </w:rPr>
        <w:t>末</w:t>
      </w:r>
      <w:r>
        <w:rPr>
          <w:rFonts w:ascii="Times New Roman" w:hAnsi="Times New Roman" w:eastAsia="宋体" w:cs="Times New Roman"/>
          <w:sz w:val="24"/>
        </w:rPr>
        <w:t>考试采用</w:t>
      </w:r>
      <w:r>
        <w:rPr>
          <w:rFonts w:hint="eastAsia" w:ascii="Times New Roman" w:hAnsi="Times New Roman" w:eastAsia="宋体" w:cs="Times New Roman"/>
          <w:sz w:val="24"/>
        </w:rPr>
        <w:t>开卷方式</w:t>
      </w:r>
      <w:r>
        <w:rPr>
          <w:rFonts w:ascii="Times New Roman" w:hAnsi="Times New Roman" w:eastAsia="宋体" w:cs="Times New Roman"/>
          <w:sz w:val="24"/>
        </w:rPr>
        <w:t>。</w:t>
      </w:r>
    </w:p>
    <w:p>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（二）</w:t>
      </w:r>
      <w:r>
        <w:rPr>
          <w:rFonts w:ascii="Times New Roman" w:hAnsi="Times New Roman" w:eastAsia="宋体" w:cs="Times New Roman"/>
          <w:sz w:val="24"/>
        </w:rPr>
        <w:t>课程</w:t>
      </w:r>
      <w:r>
        <w:rPr>
          <w:rFonts w:hint="eastAsia" w:ascii="Times New Roman" w:hAnsi="Times New Roman" w:eastAsia="宋体" w:cs="Times New Roman"/>
          <w:sz w:val="24"/>
        </w:rPr>
        <w:t>总评</w:t>
      </w:r>
      <w:r>
        <w:rPr>
          <w:rFonts w:ascii="Times New Roman" w:hAnsi="Times New Roman" w:eastAsia="宋体" w:cs="Times New Roman"/>
          <w:sz w:val="24"/>
        </w:rPr>
        <w:t>成绩=平时成绩×</w:t>
      </w:r>
      <w:r>
        <w:rPr>
          <w:rFonts w:hint="eastAsia" w:ascii="Times New Roman" w:hAnsi="Times New Roman" w:eastAsia="宋体" w:cs="Times New Roman"/>
          <w:sz w:val="24"/>
        </w:rPr>
        <w:t>60</w:t>
      </w:r>
      <w:r>
        <w:rPr>
          <w:rFonts w:ascii="Times New Roman" w:hAnsi="Times New Roman" w:eastAsia="宋体" w:cs="Times New Roman"/>
          <w:sz w:val="24"/>
        </w:rPr>
        <w:t>%+期末考试成绩×40%。具体内容和比例</w:t>
      </w:r>
      <w:r>
        <w:rPr>
          <w:rFonts w:hint="eastAsia" w:ascii="Times New Roman" w:hAnsi="Times New Roman" w:eastAsia="宋体" w:cs="Times New Roman"/>
          <w:sz w:val="24"/>
        </w:rPr>
        <w:t>如表所示。</w:t>
      </w:r>
    </w:p>
    <w:tbl>
      <w:tblPr>
        <w:tblStyle w:val="10"/>
        <w:tblW w:w="92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133"/>
        <w:gridCol w:w="883"/>
        <w:gridCol w:w="4984"/>
        <w:gridCol w:w="1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9" w:type="dxa"/>
            <w:shd w:val="clear" w:color="auto" w:fill="FFFFFF"/>
            <w:noWrap w:val="0"/>
            <w:tcMar>
              <w:left w:w="57" w:type="dxa"/>
              <w:right w:w="57" w:type="dxa"/>
            </w:tcMar>
            <w:vAlign w:val="center"/>
          </w:tcPr>
          <w:p>
            <w:pPr>
              <w:pStyle w:val="14"/>
              <w:jc w:val="center"/>
              <w:rPr>
                <w:rFonts w:ascii="Times New Roman" w:hAnsi="Times New Roman" w:eastAsia="宋体" w:cs="Times New Roman"/>
              </w:rPr>
            </w:pPr>
            <w:r>
              <w:rPr>
                <w:rFonts w:ascii="Times New Roman" w:hAnsi="Times New Roman" w:eastAsia="宋体" w:cs="Times New Roman"/>
              </w:rPr>
              <w:t>成绩组成</w:t>
            </w:r>
          </w:p>
        </w:tc>
        <w:tc>
          <w:tcPr>
            <w:tcW w:w="1133" w:type="dxa"/>
            <w:shd w:val="clear" w:color="auto" w:fill="FFFFFF"/>
            <w:noWrap w:val="0"/>
            <w:vAlign w:val="center"/>
          </w:tcPr>
          <w:p>
            <w:pPr>
              <w:pStyle w:val="14"/>
              <w:jc w:val="center"/>
              <w:rPr>
                <w:rFonts w:ascii="Times New Roman" w:hAnsi="Times New Roman" w:eastAsia="宋体" w:cs="Times New Roman"/>
              </w:rPr>
            </w:pPr>
            <w:r>
              <w:rPr>
                <w:rFonts w:ascii="Times New Roman" w:hAnsi="Times New Roman" w:eastAsia="宋体" w:cs="Times New Roman"/>
              </w:rPr>
              <w:t>考核/评价环节</w:t>
            </w:r>
          </w:p>
        </w:tc>
        <w:tc>
          <w:tcPr>
            <w:tcW w:w="883" w:type="dxa"/>
            <w:shd w:val="clear" w:color="auto" w:fill="FFFFFF"/>
            <w:noWrap w:val="0"/>
            <w:vAlign w:val="center"/>
          </w:tcPr>
          <w:p>
            <w:pPr>
              <w:pStyle w:val="14"/>
              <w:jc w:val="center"/>
              <w:rPr>
                <w:rFonts w:ascii="Times New Roman" w:hAnsi="Times New Roman" w:eastAsia="宋体" w:cs="Times New Roman"/>
              </w:rPr>
            </w:pPr>
            <w:r>
              <w:rPr>
                <w:rFonts w:hint="eastAsia" w:ascii="Times New Roman" w:hAnsi="Times New Roman" w:eastAsia="宋体" w:cs="Times New Roman"/>
              </w:rPr>
              <w:t>权重</w:t>
            </w:r>
          </w:p>
        </w:tc>
        <w:tc>
          <w:tcPr>
            <w:tcW w:w="4984" w:type="dxa"/>
            <w:shd w:val="clear" w:color="auto" w:fill="FFFFFF"/>
            <w:noWrap w:val="0"/>
            <w:vAlign w:val="center"/>
          </w:tcPr>
          <w:p>
            <w:pPr>
              <w:pStyle w:val="14"/>
              <w:jc w:val="center"/>
              <w:rPr>
                <w:rFonts w:ascii="Times New Roman" w:hAnsi="Times New Roman" w:eastAsia="宋体" w:cs="Times New Roman"/>
              </w:rPr>
            </w:pPr>
            <w:r>
              <w:rPr>
                <w:rFonts w:ascii="Times New Roman" w:hAnsi="Times New Roman" w:eastAsia="宋体" w:cs="Times New Roman"/>
              </w:rPr>
              <w:t>考核/评价细则</w:t>
            </w:r>
          </w:p>
        </w:tc>
        <w:tc>
          <w:tcPr>
            <w:tcW w:w="1428" w:type="dxa"/>
            <w:shd w:val="clear" w:color="auto" w:fill="FFFFFF"/>
            <w:noWrap w:val="0"/>
            <w:vAlign w:val="center"/>
          </w:tcPr>
          <w:p>
            <w:pPr>
              <w:pStyle w:val="14"/>
              <w:jc w:val="center"/>
              <w:rPr>
                <w:rFonts w:ascii="Times New Roman" w:hAnsi="Times New Roman" w:eastAsia="宋体" w:cs="Times New Roman"/>
              </w:rPr>
            </w:pPr>
            <w:r>
              <w:rPr>
                <w:rFonts w:ascii="Times New Roman" w:hAnsi="Times New Roman" w:eastAsia="宋体" w:cs="Times New Roman"/>
              </w:rPr>
              <w:t>对应的毕业要求指标点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869" w:type="dxa"/>
            <w:vMerge w:val="restart"/>
            <w:noWrap w:val="0"/>
            <w:tcMar>
              <w:left w:w="57" w:type="dxa"/>
              <w:right w:w="57" w:type="dxa"/>
            </w:tcMar>
            <w:vAlign w:val="center"/>
          </w:tcPr>
          <w:p>
            <w:pPr>
              <w:pStyle w:val="14"/>
              <w:jc w:val="center"/>
              <w:rPr>
                <w:rFonts w:ascii="Times New Roman" w:hAnsi="Times New Roman" w:eastAsia="宋体" w:cs="Times New Roman"/>
              </w:rPr>
            </w:pPr>
            <w:r>
              <w:rPr>
                <w:rFonts w:ascii="Times New Roman" w:hAnsi="Times New Roman" w:eastAsia="宋体" w:cs="Times New Roman"/>
              </w:rPr>
              <w:t>平时成绩</w:t>
            </w:r>
          </w:p>
        </w:tc>
        <w:tc>
          <w:tcPr>
            <w:tcW w:w="1133" w:type="dxa"/>
            <w:noWrap w:val="0"/>
            <w:vAlign w:val="center"/>
          </w:tcPr>
          <w:p>
            <w:pPr>
              <w:pStyle w:val="14"/>
              <w:jc w:val="center"/>
              <w:rPr>
                <w:rFonts w:ascii="Times New Roman" w:hAnsi="Times New Roman" w:eastAsia="宋体" w:cs="Times New Roman"/>
              </w:rPr>
            </w:pPr>
            <w:r>
              <w:rPr>
                <w:rFonts w:hint="eastAsia" w:ascii="Times New Roman" w:hAnsi="Times New Roman" w:eastAsia="宋体" w:cs="Times New Roman"/>
              </w:rPr>
              <w:t>出勤情况</w:t>
            </w:r>
          </w:p>
        </w:tc>
        <w:tc>
          <w:tcPr>
            <w:tcW w:w="883" w:type="dxa"/>
            <w:noWrap w:val="0"/>
            <w:vAlign w:val="center"/>
          </w:tcPr>
          <w:p>
            <w:pPr>
              <w:pStyle w:val="14"/>
              <w:jc w:val="center"/>
              <w:rPr>
                <w:rFonts w:ascii="Times New Roman" w:hAnsi="Times New Roman" w:eastAsia="宋体" w:cs="Times New Roman"/>
              </w:rPr>
            </w:pPr>
            <w:r>
              <w:rPr>
                <w:rFonts w:hint="eastAsia" w:ascii="Times New Roman" w:hAnsi="Times New Roman" w:eastAsia="宋体" w:cs="Times New Roman"/>
              </w:rPr>
              <w:t>30</w:t>
            </w:r>
            <w:r>
              <w:rPr>
                <w:rFonts w:ascii="Times New Roman" w:hAnsi="Times New Roman" w:eastAsia="宋体" w:cs="Times New Roman"/>
              </w:rPr>
              <w:t>%</w:t>
            </w:r>
          </w:p>
        </w:tc>
        <w:tc>
          <w:tcPr>
            <w:tcW w:w="4984" w:type="dxa"/>
            <w:noWrap w:val="0"/>
            <w:vAlign w:val="center"/>
          </w:tcPr>
          <w:p>
            <w:pPr>
              <w:jc w:val="center"/>
              <w:rPr>
                <w:rFonts w:hint="eastAsia" w:ascii="Times New Roman" w:hAnsi="Times New Roman" w:eastAsia="宋体" w:cs="Times New Roman"/>
              </w:rPr>
            </w:pPr>
            <w:r>
              <w:rPr>
                <w:rFonts w:hint="eastAsia" w:ascii="Times New Roman" w:hAnsi="Times New Roman" w:eastAsia="宋体" w:cs="Times New Roman"/>
              </w:rPr>
              <w:t>课堂不定期点名，考核能否按时到勤，旷课一次扣10分，迟到与早退一次扣5分。</w:t>
            </w:r>
          </w:p>
        </w:tc>
        <w:tc>
          <w:tcPr>
            <w:tcW w:w="1428" w:type="dxa"/>
            <w:noWrap w:val="0"/>
            <w:vAlign w:val="center"/>
          </w:tcPr>
          <w:p>
            <w:pPr>
              <w:pStyle w:val="14"/>
              <w:jc w:val="center"/>
              <w:rPr>
                <w:rFonts w:ascii="Times New Roman" w:hAnsi="Times New Roman" w:eastAsia="宋体" w:cs="Times New Roman"/>
              </w:rPr>
            </w:pPr>
            <w:r>
              <w:rPr>
                <w:rFonts w:hint="eastAsia" w:ascii="Times New Roman" w:hAnsi="Times New Roman" w:cs="Times New Roman"/>
                <w:szCs w:val="21"/>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9" w:type="dxa"/>
            <w:vMerge w:val="continue"/>
            <w:noWrap w:val="0"/>
            <w:tcMar>
              <w:left w:w="57" w:type="dxa"/>
              <w:right w:w="57" w:type="dxa"/>
            </w:tcMar>
            <w:vAlign w:val="center"/>
          </w:tcPr>
          <w:p>
            <w:pPr>
              <w:pStyle w:val="14"/>
              <w:jc w:val="center"/>
              <w:rPr>
                <w:rFonts w:ascii="Times New Roman" w:hAnsi="Times New Roman" w:eastAsia="宋体" w:cs="Times New Roman"/>
              </w:rPr>
            </w:pPr>
          </w:p>
        </w:tc>
        <w:tc>
          <w:tcPr>
            <w:tcW w:w="1133" w:type="dxa"/>
            <w:noWrap w:val="0"/>
            <w:vAlign w:val="center"/>
          </w:tcPr>
          <w:p>
            <w:pPr>
              <w:pStyle w:val="14"/>
              <w:jc w:val="center"/>
              <w:rPr>
                <w:rFonts w:ascii="Times New Roman" w:hAnsi="Times New Roman" w:eastAsia="宋体" w:cs="Times New Roman"/>
              </w:rPr>
            </w:pPr>
            <w:r>
              <w:rPr>
                <w:rFonts w:hint="eastAsia" w:ascii="Times New Roman" w:hAnsi="Times New Roman" w:eastAsia="宋体" w:cs="Times New Roman"/>
              </w:rPr>
              <w:t>平时作业</w:t>
            </w:r>
          </w:p>
        </w:tc>
        <w:tc>
          <w:tcPr>
            <w:tcW w:w="883" w:type="dxa"/>
            <w:noWrap w:val="0"/>
            <w:vAlign w:val="center"/>
          </w:tcPr>
          <w:p>
            <w:pPr>
              <w:pStyle w:val="14"/>
              <w:jc w:val="center"/>
              <w:rPr>
                <w:rFonts w:ascii="Times New Roman" w:hAnsi="Times New Roman" w:eastAsia="宋体" w:cs="Times New Roman"/>
              </w:rPr>
            </w:pPr>
            <w:r>
              <w:rPr>
                <w:rFonts w:hint="eastAsia" w:ascii="Times New Roman" w:hAnsi="Times New Roman" w:eastAsia="宋体" w:cs="Times New Roman"/>
              </w:rPr>
              <w:t xml:space="preserve">30 </w:t>
            </w:r>
            <w:r>
              <w:rPr>
                <w:rFonts w:ascii="Times New Roman" w:hAnsi="Times New Roman" w:eastAsia="宋体" w:cs="Times New Roman"/>
              </w:rPr>
              <w:t>%</w:t>
            </w:r>
          </w:p>
        </w:tc>
        <w:tc>
          <w:tcPr>
            <w:tcW w:w="4984" w:type="dxa"/>
            <w:noWrap w:val="0"/>
            <w:vAlign w:val="center"/>
          </w:tcPr>
          <w:p>
            <w:pPr>
              <w:jc w:val="center"/>
              <w:rPr>
                <w:rFonts w:ascii="Times New Roman" w:hAnsi="Times New Roman" w:eastAsia="宋体" w:cs="Times New Roman"/>
              </w:rPr>
            </w:pPr>
            <w:r>
              <w:rPr>
                <w:rFonts w:hint="eastAsia" w:ascii="Times New Roman" w:hAnsi="Times New Roman" w:eastAsia="宋体" w:cs="Times New Roman"/>
              </w:rPr>
              <w:t>每章节对应有思考题和习题，考核学生对每节课知识点的复习、理解和掌握度。对每次作业完成情况做记录并百分制打分，计算全部作业的平均成绩。</w:t>
            </w:r>
          </w:p>
        </w:tc>
        <w:tc>
          <w:tcPr>
            <w:tcW w:w="1428" w:type="dxa"/>
            <w:noWrap w:val="0"/>
            <w:vAlign w:val="center"/>
          </w:tcPr>
          <w:p>
            <w:pPr>
              <w:pStyle w:val="14"/>
              <w:jc w:val="center"/>
              <w:rPr>
                <w:rFonts w:ascii="Times New Roman" w:hAnsi="Times New Roman" w:eastAsia="宋体" w:cs="Times New Roman"/>
                <w:color w:val="000000"/>
                <w:szCs w:val="21"/>
              </w:rPr>
            </w:pPr>
            <w:r>
              <w:rPr>
                <w:rFonts w:hint="eastAsia" w:ascii="Times New Roman" w:hAnsi="Times New Roman" w:cs="Times New Roman"/>
                <w:szCs w:val="21"/>
              </w:rPr>
              <w:t>9-2</w:t>
            </w:r>
            <w:r>
              <w:rPr>
                <w:rFonts w:ascii="Times New Roman" w:hAnsi="Times New Roman" w:cs="Times New Roman"/>
                <w:color w:val="000000"/>
                <w:szCs w:val="21"/>
              </w:rPr>
              <w:t>、11</w:t>
            </w:r>
            <w:r>
              <w:rPr>
                <w:rFonts w:hint="eastAsia" w:ascii="Times New Roman" w:hAnsi="Times New Roman" w:cs="Times New Roman"/>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869" w:type="dxa"/>
            <w:noWrap w:val="0"/>
            <w:tcMar>
              <w:left w:w="57" w:type="dxa"/>
              <w:right w:w="57" w:type="dxa"/>
            </w:tcMar>
            <w:vAlign w:val="center"/>
          </w:tcPr>
          <w:p>
            <w:pPr>
              <w:pStyle w:val="14"/>
              <w:jc w:val="center"/>
              <w:rPr>
                <w:rFonts w:ascii="Times New Roman" w:hAnsi="Times New Roman" w:eastAsia="宋体" w:cs="Times New Roman"/>
              </w:rPr>
            </w:pPr>
            <w:r>
              <w:rPr>
                <w:rFonts w:ascii="Times New Roman" w:hAnsi="Times New Roman" w:eastAsia="宋体" w:cs="Times New Roman"/>
              </w:rPr>
              <w:t>期末考试</w:t>
            </w:r>
            <w:r>
              <w:rPr>
                <w:rFonts w:hint="eastAsia" w:ascii="Times New Roman" w:hAnsi="Times New Roman" w:eastAsia="宋体" w:cs="Times New Roman"/>
              </w:rPr>
              <w:t>成绩</w:t>
            </w:r>
          </w:p>
        </w:tc>
        <w:tc>
          <w:tcPr>
            <w:tcW w:w="1133" w:type="dxa"/>
            <w:noWrap w:val="0"/>
            <w:vAlign w:val="center"/>
          </w:tcPr>
          <w:p>
            <w:pPr>
              <w:jc w:val="center"/>
              <w:rPr>
                <w:rFonts w:hint="eastAsia" w:ascii="Times New Roman" w:hAnsi="Times New Roman" w:eastAsia="宋体" w:cs="Times New Roman"/>
              </w:rPr>
            </w:pPr>
            <w:r>
              <w:rPr>
                <w:rFonts w:hint="eastAsia" w:ascii="Times New Roman" w:hAnsi="Times New Roman" w:eastAsia="宋体" w:cs="Times New Roman"/>
              </w:rPr>
              <w:t>开卷考试</w:t>
            </w:r>
          </w:p>
        </w:tc>
        <w:tc>
          <w:tcPr>
            <w:tcW w:w="883" w:type="dxa"/>
            <w:noWrap w:val="0"/>
            <w:vAlign w:val="center"/>
          </w:tcPr>
          <w:p>
            <w:pPr>
              <w:jc w:val="center"/>
              <w:rPr>
                <w:rFonts w:hint="eastAsia" w:ascii="Times New Roman" w:hAnsi="Times New Roman" w:eastAsia="宋体" w:cs="Times New Roman"/>
              </w:rPr>
            </w:pPr>
            <w:r>
              <w:rPr>
                <w:rFonts w:ascii="Times New Roman" w:hAnsi="Times New Roman" w:eastAsia="宋体" w:cs="Times New Roman"/>
              </w:rPr>
              <w:t>40</w:t>
            </w:r>
            <w:r>
              <w:rPr>
                <w:rFonts w:hint="eastAsia" w:ascii="Times New Roman" w:hAnsi="Times New Roman" w:eastAsia="宋体" w:cs="Times New Roman"/>
              </w:rPr>
              <w:t xml:space="preserve"> </w:t>
            </w:r>
            <w:r>
              <w:rPr>
                <w:rFonts w:ascii="Times New Roman" w:hAnsi="Times New Roman" w:eastAsia="宋体" w:cs="Times New Roman"/>
              </w:rPr>
              <w:t>%</w:t>
            </w:r>
          </w:p>
        </w:tc>
        <w:tc>
          <w:tcPr>
            <w:tcW w:w="4984" w:type="dxa"/>
            <w:noWrap w:val="0"/>
            <w:vAlign w:val="center"/>
          </w:tcPr>
          <w:p>
            <w:pPr>
              <w:jc w:val="center"/>
              <w:rPr>
                <w:rFonts w:ascii="Times New Roman" w:hAnsi="Times New Roman" w:eastAsia="宋体" w:cs="Times New Roman"/>
              </w:rPr>
            </w:pPr>
            <w:r>
              <w:rPr>
                <w:rFonts w:hint="eastAsia" w:ascii="Times New Roman" w:hAnsi="Times New Roman" w:eastAsia="宋体" w:cs="Times New Roman"/>
              </w:rPr>
              <w:t>试卷题型包括填空题、选择题、简答题、案例题等（每次考核可能题型不同，以当次考核题型为准）。</w:t>
            </w:r>
          </w:p>
        </w:tc>
        <w:tc>
          <w:tcPr>
            <w:tcW w:w="1428" w:type="dxa"/>
            <w:noWrap w:val="0"/>
            <w:vAlign w:val="center"/>
          </w:tcPr>
          <w:p>
            <w:pPr>
              <w:pStyle w:val="14"/>
              <w:jc w:val="center"/>
              <w:rPr>
                <w:rFonts w:ascii="Times New Roman" w:hAnsi="Times New Roman" w:eastAsia="宋体" w:cs="Times New Roman"/>
              </w:rPr>
            </w:pPr>
            <w:r>
              <w:rPr>
                <w:rFonts w:hint="eastAsia" w:ascii="Times New Roman" w:hAnsi="Times New Roman" w:cs="Times New Roman"/>
                <w:szCs w:val="21"/>
              </w:rPr>
              <w:t>9-2</w:t>
            </w:r>
            <w:r>
              <w:rPr>
                <w:rFonts w:ascii="Times New Roman" w:hAnsi="Times New Roman" w:cs="Times New Roman"/>
                <w:color w:val="000000"/>
                <w:szCs w:val="21"/>
              </w:rPr>
              <w:t>、11</w:t>
            </w:r>
            <w:r>
              <w:rPr>
                <w:rFonts w:hint="eastAsia" w:ascii="Times New Roman" w:hAnsi="Times New Roman" w:cs="Times New Roman"/>
                <w:szCs w:val="21"/>
              </w:rPr>
              <w:t>-1</w:t>
            </w:r>
          </w:p>
        </w:tc>
      </w:tr>
    </w:tbl>
    <w:p>
      <w:pPr>
        <w:spacing w:line="360" w:lineRule="auto"/>
        <w:ind w:firstLine="562" w:firstLineChars="200"/>
        <w:rPr>
          <w:rFonts w:hint="eastAsia" w:ascii="Times New Roman" w:hAnsi="Times New Roman" w:eastAsia="宋体" w:cs="Times New Roman"/>
          <w:b/>
          <w:sz w:val="28"/>
          <w:szCs w:val="28"/>
        </w:rPr>
      </w:pPr>
      <w:r>
        <w:rPr>
          <w:rFonts w:hint="eastAsia" w:ascii="Times New Roman" w:hAnsi="Times New Roman" w:eastAsia="宋体" w:cs="Times New Roman"/>
          <w:b/>
          <w:sz w:val="28"/>
          <w:szCs w:val="28"/>
        </w:rPr>
        <w:t>七</w:t>
      </w:r>
      <w:r>
        <w:rPr>
          <w:rFonts w:ascii="Times New Roman" w:hAnsi="Times New Roman" w:eastAsia="宋体" w:cs="Times New Roman"/>
          <w:b/>
          <w:sz w:val="28"/>
          <w:szCs w:val="28"/>
        </w:rPr>
        <w:t>、</w:t>
      </w:r>
      <w:r>
        <w:rPr>
          <w:rFonts w:hint="eastAsia" w:ascii="Times New Roman" w:hAnsi="Times New Roman" w:eastAsia="宋体" w:cs="Times New Roman"/>
          <w:b/>
          <w:sz w:val="28"/>
          <w:szCs w:val="28"/>
        </w:rPr>
        <w:t>有关说明</w:t>
      </w:r>
    </w:p>
    <w:p>
      <w:pPr>
        <w:spacing w:line="360" w:lineRule="auto"/>
        <w:ind w:firstLine="482" w:firstLineChars="200"/>
        <w:rPr>
          <w:rFonts w:hint="eastAsia" w:ascii="Times New Roman" w:hAnsi="Times New Roman" w:eastAsia="宋体" w:cs="Times New Roman"/>
          <w:b/>
          <w:color w:val="000000"/>
          <w:sz w:val="24"/>
        </w:rPr>
      </w:pPr>
      <w:r>
        <w:rPr>
          <w:rFonts w:hint="eastAsia" w:ascii="Times New Roman" w:hAnsi="Times New Roman" w:eastAsia="宋体" w:cs="Times New Roman"/>
          <w:b/>
          <w:color w:val="000000"/>
          <w:sz w:val="24"/>
        </w:rPr>
        <w:t>（一）持续改进</w:t>
      </w:r>
    </w:p>
    <w:p>
      <w:pPr>
        <w:widowControl/>
        <w:spacing w:line="276" w:lineRule="auto"/>
        <w:ind w:firstLine="480" w:firstLineChars="200"/>
        <w:jc w:val="left"/>
        <w:rPr>
          <w:rFonts w:ascii="Times New Roman" w:hAnsi="Times New Roman" w:eastAsia="宋体" w:cs="Times New Roman"/>
          <w:kern w:val="0"/>
          <w:sz w:val="24"/>
        </w:rPr>
      </w:pPr>
      <w:r>
        <w:rPr>
          <w:rFonts w:ascii="Times New Roman" w:hAnsi="Times New Roman" w:eastAsia="宋体" w:cs="Times New Roman"/>
          <w:kern w:val="0"/>
          <w:sz w:val="24"/>
        </w:rPr>
        <w:t>1.要求学生课后多阅读相关书籍、</w:t>
      </w:r>
      <w:r>
        <w:rPr>
          <w:rFonts w:hint="eastAsia" w:ascii="Times New Roman" w:hAnsi="Times New Roman" w:eastAsia="宋体" w:cs="Times New Roman"/>
          <w:kern w:val="0"/>
          <w:sz w:val="24"/>
        </w:rPr>
        <w:t>标准</w:t>
      </w:r>
      <w:r>
        <w:rPr>
          <w:rFonts w:ascii="Times New Roman" w:hAnsi="Times New Roman" w:eastAsia="宋体" w:cs="Times New Roman"/>
          <w:kern w:val="0"/>
          <w:sz w:val="24"/>
        </w:rPr>
        <w:t>，多学习、</w:t>
      </w:r>
      <w:r>
        <w:rPr>
          <w:rFonts w:hint="eastAsia" w:ascii="Times New Roman" w:hAnsi="Times New Roman" w:eastAsia="宋体" w:cs="Times New Roman"/>
          <w:kern w:val="0"/>
          <w:sz w:val="24"/>
        </w:rPr>
        <w:t>多去检测机构现场体验</w:t>
      </w:r>
      <w:r>
        <w:rPr>
          <w:rFonts w:ascii="Times New Roman" w:hAnsi="Times New Roman" w:eastAsia="宋体" w:cs="Times New Roman"/>
          <w:kern w:val="0"/>
          <w:sz w:val="24"/>
        </w:rPr>
        <w:t>。</w:t>
      </w:r>
    </w:p>
    <w:p>
      <w:pPr>
        <w:spacing w:line="360" w:lineRule="auto"/>
        <w:ind w:firstLine="480" w:firstLineChars="200"/>
        <w:rPr>
          <w:rFonts w:hint="eastAsia" w:ascii="Times New Roman" w:hAnsi="Times New Roman" w:eastAsia="宋体" w:cs="Times New Roman"/>
          <w:kern w:val="0"/>
          <w:sz w:val="24"/>
        </w:rPr>
      </w:pPr>
      <w:r>
        <w:rPr>
          <w:rFonts w:ascii="Times New Roman" w:hAnsi="Times New Roman" w:eastAsia="宋体" w:cs="Times New Roman"/>
          <w:kern w:val="0"/>
          <w:sz w:val="24"/>
        </w:rPr>
        <w:t>2.本课程采用教学与训练相结合的方式，主要采取典型案例分析，情景模拟训练，小组讨论等方法充分调动了学生的积极性。</w:t>
      </w:r>
    </w:p>
    <w:p>
      <w:pPr>
        <w:spacing w:line="360" w:lineRule="auto"/>
        <w:ind w:firstLine="482" w:firstLineChars="200"/>
        <w:rPr>
          <w:rFonts w:hint="eastAsia" w:ascii="Times New Roman" w:hAnsi="Times New Roman" w:eastAsia="宋体" w:cs="Times New Roman"/>
          <w:b/>
          <w:color w:val="000000"/>
          <w:sz w:val="24"/>
        </w:rPr>
      </w:pPr>
      <w:r>
        <w:rPr>
          <w:rFonts w:hint="eastAsia" w:ascii="Times New Roman" w:hAnsi="Times New Roman" w:eastAsia="宋体" w:cs="Times New Roman"/>
          <w:b/>
          <w:color w:val="000000"/>
          <w:sz w:val="24"/>
        </w:rPr>
        <w:t>（二）</w:t>
      </w:r>
      <w:r>
        <w:rPr>
          <w:rFonts w:ascii="Times New Roman" w:hAnsi="Times New Roman" w:eastAsia="宋体" w:cs="Times New Roman"/>
          <w:b/>
          <w:color w:val="000000"/>
          <w:sz w:val="24"/>
        </w:rPr>
        <w:t>参考书目及学习资料</w:t>
      </w:r>
    </w:p>
    <w:p>
      <w:pPr>
        <w:autoSpaceDE w:val="0"/>
        <w:autoSpaceDN w:val="0"/>
        <w:adjustRightInd w:val="0"/>
        <w:spacing w:line="360" w:lineRule="auto"/>
        <w:ind w:firstLine="480" w:firstLineChars="200"/>
        <w:jc w:val="left"/>
        <w:rPr>
          <w:rFonts w:ascii="Times New Roman" w:hAnsi="Times New Roman" w:eastAsia="宋体" w:cs="Times New Roman"/>
          <w:kern w:val="0"/>
          <w:sz w:val="24"/>
        </w:rPr>
      </w:pPr>
      <w:r>
        <w:rPr>
          <w:rFonts w:hint="eastAsia" w:ascii="Times New Roman" w:hAnsi="Times New Roman" w:eastAsia="宋体" w:cs="Times New Roman"/>
          <w:kern w:val="0"/>
          <w:sz w:val="24"/>
        </w:rPr>
        <w:t>CNAS-CL01:2018《检测和校准实验室能力认可准则》</w:t>
      </w:r>
    </w:p>
    <w:p>
      <w:pPr>
        <w:spacing w:line="312" w:lineRule="auto"/>
        <w:ind w:firstLine="480" w:firstLineChars="200"/>
        <w:rPr>
          <w:rFonts w:hint="eastAsia" w:ascii="Times New Roman" w:hAnsi="Times New Roman" w:eastAsia="宋体" w:cs="Times New Roman"/>
          <w:kern w:val="0"/>
          <w:sz w:val="24"/>
        </w:rPr>
      </w:pPr>
      <w:r>
        <w:rPr>
          <w:rFonts w:hint="eastAsia" w:ascii="Times New Roman" w:hAnsi="Times New Roman" w:eastAsia="宋体" w:cs="Times New Roman"/>
          <w:kern w:val="0"/>
          <w:sz w:val="24"/>
        </w:rPr>
        <w:t>RB/T214-2017《检验检测机构资质认定能力评价 检验检测机构通用要求》</w:t>
      </w:r>
    </w:p>
    <w:p>
      <w:pPr>
        <w:autoSpaceDE w:val="0"/>
        <w:autoSpaceDN w:val="0"/>
        <w:adjustRightInd w:val="0"/>
        <w:spacing w:line="360" w:lineRule="auto"/>
        <w:ind w:firstLine="480" w:firstLineChars="200"/>
        <w:jc w:val="left"/>
        <w:rPr>
          <w:rFonts w:ascii="Times New Roman" w:hAnsi="Times New Roman" w:eastAsia="宋体" w:cs="Times New Roman"/>
          <w:kern w:val="0"/>
          <w:sz w:val="24"/>
          <w:szCs w:val="21"/>
        </w:rPr>
      </w:pPr>
      <w:r>
        <w:rPr>
          <w:rFonts w:hint="eastAsia" w:ascii="Times New Roman" w:hAnsi="Times New Roman" w:eastAsia="宋体" w:cs="Times New Roman"/>
          <w:sz w:val="24"/>
        </w:rPr>
        <w:t xml:space="preserve">                                            </w:t>
      </w:r>
      <w:r>
        <w:rPr>
          <w:rFonts w:ascii="Times New Roman" w:hAnsi="Times New Roman" w:eastAsia="宋体" w:cs="Times New Roman"/>
          <w:kern w:val="0"/>
          <w:sz w:val="24"/>
          <w:szCs w:val="21"/>
        </w:rPr>
        <w:t>执笔人：</w:t>
      </w:r>
      <w:r>
        <w:rPr>
          <w:rFonts w:ascii="Times New Roman" w:hAnsi="Times New Roman" w:eastAsia="宋体" w:cs="Times New Roman"/>
          <w:sz w:val="24"/>
        </w:rPr>
        <w:t>李  殷</w:t>
      </w:r>
    </w:p>
    <w:p>
      <w:pPr>
        <w:autoSpaceDE w:val="0"/>
        <w:autoSpaceDN w:val="0"/>
        <w:adjustRightInd w:val="0"/>
        <w:spacing w:line="360" w:lineRule="auto"/>
        <w:ind w:firstLine="5760" w:firstLineChars="2400"/>
        <w:jc w:val="left"/>
        <w:rPr>
          <w:rFonts w:ascii="Times New Roman" w:hAnsi="Times New Roman" w:eastAsia="宋体" w:cs="Times New Roman"/>
          <w:kern w:val="0"/>
          <w:sz w:val="24"/>
          <w:szCs w:val="21"/>
        </w:rPr>
      </w:pPr>
      <w:r>
        <w:rPr>
          <w:rFonts w:ascii="Times New Roman" w:hAnsi="Times New Roman" w:eastAsia="宋体" w:cs="Times New Roman"/>
          <w:kern w:val="0"/>
          <w:sz w:val="24"/>
          <w:szCs w:val="21"/>
        </w:rPr>
        <w:t xml:space="preserve">审定人： </w:t>
      </w:r>
      <w:r>
        <w:rPr>
          <w:rFonts w:hint="eastAsia" w:ascii="Times New Roman" w:hAnsi="Times New Roman" w:eastAsia="宋体" w:cs="Times New Roman"/>
          <w:kern w:val="0"/>
          <w:sz w:val="24"/>
          <w:szCs w:val="21"/>
        </w:rPr>
        <w:t>魏雪姣</w:t>
      </w:r>
    </w:p>
    <w:p>
      <w:pPr>
        <w:autoSpaceDE w:val="0"/>
        <w:autoSpaceDN w:val="0"/>
        <w:adjustRightInd w:val="0"/>
        <w:spacing w:line="360" w:lineRule="auto"/>
        <w:ind w:firstLine="5760" w:firstLineChars="2400"/>
        <w:jc w:val="left"/>
        <w:rPr>
          <w:rFonts w:hint="eastAsia" w:ascii="Times New Roman" w:hAnsi="Times New Roman" w:eastAsia="宋体" w:cs="Times New Roman"/>
          <w:kern w:val="0"/>
          <w:sz w:val="24"/>
          <w:szCs w:val="21"/>
        </w:rPr>
      </w:pPr>
      <w:r>
        <w:rPr>
          <w:rFonts w:hint="eastAsia" w:ascii="Times New Roman" w:hAnsi="Times New Roman" w:eastAsia="宋体" w:cs="Times New Roman"/>
          <w:kern w:val="0"/>
          <w:sz w:val="24"/>
          <w:szCs w:val="21"/>
        </w:rPr>
        <w:t>审批</w:t>
      </w:r>
      <w:r>
        <w:rPr>
          <w:rFonts w:ascii="Times New Roman" w:hAnsi="Times New Roman" w:eastAsia="宋体" w:cs="Times New Roman"/>
          <w:kern w:val="0"/>
          <w:sz w:val="24"/>
          <w:szCs w:val="21"/>
        </w:rPr>
        <w:t>人：</w:t>
      </w:r>
      <w:r>
        <w:rPr>
          <w:rFonts w:hint="eastAsia" w:ascii="Times New Roman" w:hAnsi="Times New Roman" w:eastAsia="宋体" w:cs="Times New Roman"/>
          <w:kern w:val="0"/>
          <w:sz w:val="24"/>
          <w:szCs w:val="21"/>
        </w:rPr>
        <w:t>吴泽颖</w:t>
      </w:r>
    </w:p>
    <w:p>
      <w:pPr>
        <w:spacing w:line="360" w:lineRule="auto"/>
        <w:rPr>
          <w:rFonts w:hint="eastAsia" w:ascii="Times New Roman" w:hAnsi="Times New Roman" w:eastAsia="宋体" w:cs="Times New Roman"/>
          <w:kern w:val="0"/>
          <w:sz w:val="24"/>
          <w:szCs w:val="21"/>
        </w:rPr>
      </w:pPr>
      <w:r>
        <w:rPr>
          <w:rFonts w:hint="eastAsia" w:ascii="Times New Roman" w:hAnsi="Times New Roman" w:eastAsia="宋体" w:cs="Times New Roman"/>
          <w:sz w:val="24"/>
        </w:rPr>
        <w:t xml:space="preserve">                                                 </w:t>
      </w:r>
      <w:r>
        <w:rPr>
          <w:rFonts w:hint="eastAsia" w:ascii="Times New Roman" w:hAnsi="Times New Roman" w:eastAsia="宋体" w:cs="Times New Roman"/>
          <w:kern w:val="0"/>
          <w:sz w:val="24"/>
          <w:szCs w:val="21"/>
        </w:rPr>
        <w:t>批准时间：20</w:t>
      </w:r>
      <w:r>
        <w:rPr>
          <w:rFonts w:hint="eastAsia" w:cs="Times New Roman"/>
          <w:kern w:val="0"/>
          <w:sz w:val="24"/>
          <w:szCs w:val="21"/>
          <w:lang w:val="en-US" w:eastAsia="zh-CN"/>
        </w:rPr>
        <w:t>21</w:t>
      </w:r>
      <w:r>
        <w:rPr>
          <w:rFonts w:hint="eastAsia" w:ascii="Times New Roman" w:hAnsi="Times New Roman" w:eastAsia="宋体" w:cs="Times New Roman"/>
          <w:kern w:val="0"/>
          <w:sz w:val="24"/>
          <w:szCs w:val="21"/>
        </w:rPr>
        <w:t>. 9.1</w:t>
      </w:r>
    </w:p>
    <w:p>
      <w:pPr>
        <w:pStyle w:val="3"/>
        <w:bidi w:val="0"/>
        <w:jc w:val="center"/>
        <w:rPr>
          <w:rFonts w:hint="eastAsia"/>
        </w:rPr>
      </w:pPr>
      <w:bookmarkStart w:id="253" w:name="_Toc17915"/>
      <w:bookmarkStart w:id="254" w:name="_Toc11852"/>
      <w:r>
        <w:rPr>
          <w:rFonts w:hint="eastAsia"/>
        </w:rPr>
        <w:t>制药工程课程教学大纲</w:t>
      </w:r>
      <w:bookmarkEnd w:id="253"/>
      <w:bookmarkEnd w:id="254"/>
    </w:p>
    <w:p>
      <w:pPr>
        <w:jc w:val="center"/>
        <w:rPr>
          <w:rFonts w:hint="eastAsia" w:eastAsia="黑体"/>
          <w:sz w:val="24"/>
        </w:rPr>
      </w:pPr>
      <w:r>
        <w:rPr>
          <w:rFonts w:hint="eastAsia" w:eastAsia="黑体"/>
          <w:sz w:val="24"/>
        </w:rPr>
        <w:t>（</w:t>
      </w:r>
      <w:r>
        <w:rPr>
          <w:rFonts w:hint="eastAsia"/>
          <w:sz w:val="24"/>
        </w:rPr>
        <w:t xml:space="preserve">Pharmaceutical </w:t>
      </w:r>
      <w:r>
        <w:rPr>
          <w:sz w:val="24"/>
        </w:rPr>
        <w:t>E</w:t>
      </w:r>
      <w:r>
        <w:rPr>
          <w:rFonts w:hint="eastAsia"/>
          <w:sz w:val="24"/>
        </w:rPr>
        <w:t>ngineering</w:t>
      </w:r>
      <w:r>
        <w:rPr>
          <w:rFonts w:hint="eastAsia" w:eastAsia="黑体"/>
          <w:sz w:val="24"/>
        </w:rPr>
        <w:t xml:space="preserve"> ）</w:t>
      </w:r>
    </w:p>
    <w:p>
      <w:pPr>
        <w:spacing w:line="440" w:lineRule="exact"/>
        <w:jc w:val="center"/>
        <w:rPr>
          <w:sz w:val="24"/>
        </w:rPr>
      </w:pPr>
    </w:p>
    <w:p>
      <w:pPr>
        <w:spacing w:line="360" w:lineRule="auto"/>
        <w:ind w:firstLine="551" w:firstLineChars="196"/>
        <w:rPr>
          <w:rFonts w:hint="eastAsia"/>
          <w:b/>
          <w:sz w:val="28"/>
          <w:szCs w:val="28"/>
        </w:rPr>
      </w:pPr>
      <w:r>
        <w:rPr>
          <w:b/>
          <w:sz w:val="28"/>
          <w:szCs w:val="28"/>
        </w:rPr>
        <w:t>一、课程概况</w:t>
      </w:r>
    </w:p>
    <w:p>
      <w:pPr>
        <w:spacing w:line="360" w:lineRule="auto"/>
        <w:ind w:firstLine="482" w:firstLineChars="200"/>
        <w:rPr>
          <w:rFonts w:hint="eastAsia"/>
          <w:b/>
          <w:sz w:val="44"/>
          <w:szCs w:val="28"/>
        </w:rPr>
      </w:pPr>
      <w:r>
        <w:rPr>
          <w:b/>
          <w:bCs/>
          <w:kern w:val="0"/>
          <w:sz w:val="24"/>
        </w:rPr>
        <w:t>课程代码</w:t>
      </w:r>
      <w:r>
        <w:rPr>
          <w:b/>
          <w:kern w:val="0"/>
          <w:sz w:val="24"/>
        </w:rPr>
        <w:t>：</w:t>
      </w:r>
      <w:r>
        <w:rPr>
          <w:rFonts w:hint="eastAsia"/>
          <w:b/>
          <w:kern w:val="0"/>
          <w:sz w:val="24"/>
        </w:rPr>
        <w:t>2501022</w:t>
      </w:r>
    </w:p>
    <w:p>
      <w:pPr>
        <w:spacing w:line="360" w:lineRule="auto"/>
        <w:ind w:firstLine="482" w:firstLineChars="200"/>
        <w:rPr>
          <w:rFonts w:hint="eastAsia"/>
          <w:kern w:val="0"/>
          <w:sz w:val="24"/>
        </w:rPr>
      </w:pPr>
      <w:r>
        <w:rPr>
          <w:b/>
          <w:bCs/>
          <w:kern w:val="0"/>
          <w:sz w:val="24"/>
        </w:rPr>
        <w:t>学    分：</w:t>
      </w:r>
      <w:r>
        <w:rPr>
          <w:rFonts w:hint="eastAsia"/>
          <w:b/>
          <w:bCs/>
          <w:kern w:val="0"/>
          <w:sz w:val="24"/>
        </w:rPr>
        <w:t>2</w:t>
      </w:r>
      <w:r>
        <w:rPr>
          <w:rFonts w:hint="eastAsia"/>
          <w:kern w:val="0"/>
          <w:sz w:val="24"/>
        </w:rPr>
        <w:t>.0</w:t>
      </w:r>
    </w:p>
    <w:p>
      <w:pPr>
        <w:spacing w:line="360" w:lineRule="auto"/>
        <w:ind w:firstLine="482" w:firstLineChars="200"/>
        <w:rPr>
          <w:rFonts w:hint="eastAsia"/>
          <w:kern w:val="0"/>
          <w:sz w:val="24"/>
        </w:rPr>
      </w:pPr>
      <w:r>
        <w:rPr>
          <w:b/>
          <w:bCs/>
          <w:kern w:val="0"/>
          <w:sz w:val="24"/>
        </w:rPr>
        <w:t>学    时：</w:t>
      </w:r>
      <w:r>
        <w:rPr>
          <w:rFonts w:hint="eastAsia"/>
          <w:b/>
          <w:bCs/>
          <w:kern w:val="0"/>
          <w:sz w:val="24"/>
        </w:rPr>
        <w:t>32</w:t>
      </w:r>
    </w:p>
    <w:p>
      <w:pPr>
        <w:spacing w:line="360" w:lineRule="auto"/>
        <w:ind w:firstLine="482" w:firstLineChars="200"/>
        <w:rPr>
          <w:rFonts w:hint="eastAsia"/>
          <w:bCs/>
          <w:kern w:val="0"/>
          <w:sz w:val="24"/>
        </w:rPr>
      </w:pPr>
      <w:r>
        <w:rPr>
          <w:b/>
          <w:bCs/>
          <w:kern w:val="0"/>
          <w:sz w:val="24"/>
        </w:rPr>
        <w:t>先修课程：</w:t>
      </w:r>
      <w:r>
        <w:rPr>
          <w:rFonts w:hint="eastAsia"/>
          <w:kern w:val="0"/>
          <w:sz w:val="24"/>
        </w:rPr>
        <w:t>高等数学、化学反应工程、物理化学、化工原理等。</w:t>
      </w:r>
    </w:p>
    <w:p>
      <w:pPr>
        <w:spacing w:line="360" w:lineRule="auto"/>
        <w:ind w:firstLine="482" w:firstLineChars="200"/>
        <w:rPr>
          <w:kern w:val="0"/>
          <w:sz w:val="24"/>
        </w:rPr>
      </w:pPr>
      <w:r>
        <w:rPr>
          <w:b/>
          <w:bCs/>
          <w:kern w:val="0"/>
          <w:sz w:val="24"/>
        </w:rPr>
        <w:t>适用专业：</w:t>
      </w:r>
      <w:r>
        <w:rPr>
          <w:rFonts w:hint="eastAsia"/>
          <w:b/>
          <w:bCs/>
          <w:kern w:val="0"/>
          <w:sz w:val="24"/>
        </w:rPr>
        <w:t>应用化学、化学工程与工艺</w:t>
      </w:r>
      <w:r>
        <w:rPr>
          <w:kern w:val="0"/>
          <w:sz w:val="24"/>
        </w:rPr>
        <w:t xml:space="preserve">                          </w:t>
      </w:r>
    </w:p>
    <w:p>
      <w:pPr>
        <w:spacing w:line="360" w:lineRule="auto"/>
        <w:ind w:firstLine="482" w:firstLineChars="200"/>
        <w:rPr>
          <w:rFonts w:hint="eastAsia"/>
          <w:kern w:val="0"/>
          <w:sz w:val="24"/>
        </w:rPr>
      </w:pPr>
      <w:r>
        <w:rPr>
          <w:rFonts w:hint="eastAsia"/>
          <w:b/>
          <w:bCs/>
          <w:kern w:val="0"/>
          <w:sz w:val="24"/>
        </w:rPr>
        <w:t>建议</w:t>
      </w:r>
      <w:r>
        <w:rPr>
          <w:b/>
          <w:bCs/>
          <w:kern w:val="0"/>
          <w:sz w:val="24"/>
        </w:rPr>
        <w:t>教材：</w:t>
      </w:r>
      <w:r>
        <w:rPr>
          <w:rFonts w:hint="eastAsia"/>
          <w:b/>
          <w:bCs/>
          <w:kern w:val="0"/>
          <w:sz w:val="24"/>
        </w:rPr>
        <w:t>制药工程原理与设备 袁其朋，梁浩主编，2017年10月第2版</w:t>
      </w:r>
    </w:p>
    <w:p>
      <w:pPr>
        <w:spacing w:line="360" w:lineRule="auto"/>
        <w:ind w:firstLine="482" w:firstLineChars="200"/>
        <w:rPr>
          <w:b/>
          <w:bCs/>
          <w:kern w:val="0"/>
          <w:sz w:val="24"/>
        </w:rPr>
      </w:pPr>
      <w:r>
        <w:rPr>
          <w:b/>
          <w:bCs/>
          <w:kern w:val="0"/>
          <w:sz w:val="24"/>
        </w:rPr>
        <w:t>课程归口：</w:t>
      </w:r>
      <w:r>
        <w:rPr>
          <w:rFonts w:hint="eastAsia"/>
          <w:kern w:val="0"/>
          <w:sz w:val="24"/>
        </w:rPr>
        <w:t>化工与材料学院</w:t>
      </w:r>
    </w:p>
    <w:p>
      <w:pPr>
        <w:spacing w:line="360" w:lineRule="auto"/>
        <w:ind w:firstLine="472" w:firstLineChars="196"/>
        <w:rPr>
          <w:kern w:val="0"/>
          <w:sz w:val="24"/>
        </w:rPr>
      </w:pPr>
      <w:r>
        <w:rPr>
          <w:b/>
          <w:bCs/>
          <w:kern w:val="0"/>
          <w:sz w:val="24"/>
        </w:rPr>
        <w:t>课程的性质与任务</w:t>
      </w:r>
      <w:r>
        <w:rPr>
          <w:rFonts w:hint="eastAsia"/>
          <w:b/>
          <w:bCs/>
          <w:kern w:val="0"/>
          <w:sz w:val="24"/>
        </w:rPr>
        <w:t>：</w:t>
      </w:r>
      <w:r>
        <w:rPr>
          <w:rFonts w:hint="eastAsia"/>
          <w:kern w:val="0"/>
          <w:sz w:val="24"/>
        </w:rPr>
        <w:t>本课程是应用化学专业的一门选修专业基础课，是《制药工艺学》和《药物制剂工程技术与设备》课程的基础课，在课程教学中起着承载专业基础知识的作用，将为制药工程专业宽口径人才的培养提供专业知识和工程思想基础。本课程着力培养学生应用反应工程原理和制剂工程原理开展制药工艺与工程放大设计的基本能力，同时，为后续的《制药工艺学》和《药物制剂工程技术与设备》课的学习提供工程技术基础和生产工艺过程设备等方面的知识，并能够为学生开展《药物制剂工程技术与设备》课程设计以及应用《制药工艺学》知识从事制药工艺工程设计与技术开发提供策略和技术方法。</w:t>
      </w:r>
    </w:p>
    <w:p>
      <w:pPr>
        <w:spacing w:line="360" w:lineRule="auto"/>
        <w:ind w:firstLine="551" w:firstLineChars="196"/>
        <w:rPr>
          <w:b/>
          <w:sz w:val="28"/>
          <w:szCs w:val="28"/>
        </w:rPr>
      </w:pPr>
      <w:r>
        <w:rPr>
          <w:rFonts w:hint="eastAsia"/>
          <w:b/>
          <w:sz w:val="28"/>
          <w:szCs w:val="28"/>
        </w:rPr>
        <w:t>二</w:t>
      </w:r>
      <w:r>
        <w:rPr>
          <w:b/>
          <w:sz w:val="28"/>
          <w:szCs w:val="28"/>
        </w:rPr>
        <w:t>、课程目标</w:t>
      </w:r>
    </w:p>
    <w:p>
      <w:pPr>
        <w:spacing w:line="360" w:lineRule="auto"/>
        <w:ind w:firstLine="480" w:firstLineChars="200"/>
        <w:jc w:val="left"/>
        <w:rPr>
          <w:rFonts w:hint="eastAsia"/>
          <w:sz w:val="24"/>
        </w:rPr>
      </w:pPr>
      <w:r>
        <w:rPr>
          <w:rFonts w:hint="eastAsia"/>
          <w:sz w:val="24"/>
        </w:rPr>
        <w:t>目标1. 通过制药过程原理及设备教学，使学生了解制药工程的概念，熟悉制药过程所涉及的各个环节，认识现代医药行业的发展方向；</w:t>
      </w:r>
    </w:p>
    <w:p>
      <w:pPr>
        <w:spacing w:line="360" w:lineRule="auto"/>
        <w:ind w:firstLine="480" w:firstLineChars="200"/>
        <w:jc w:val="left"/>
        <w:rPr>
          <w:rFonts w:hint="eastAsia"/>
          <w:sz w:val="24"/>
        </w:rPr>
      </w:pPr>
      <w:r>
        <w:rPr>
          <w:rFonts w:hint="eastAsia"/>
          <w:sz w:val="24"/>
        </w:rPr>
        <w:t>目标2. 学生能够系统掌握制药工艺技术的基本原理、理论和方法；</w:t>
      </w:r>
    </w:p>
    <w:p>
      <w:pPr>
        <w:spacing w:line="360" w:lineRule="auto"/>
        <w:ind w:firstLine="480" w:firstLineChars="200"/>
        <w:jc w:val="left"/>
        <w:rPr>
          <w:rFonts w:hint="eastAsia"/>
          <w:sz w:val="24"/>
        </w:rPr>
      </w:pPr>
      <w:r>
        <w:rPr>
          <w:rFonts w:hint="eastAsia"/>
          <w:sz w:val="24"/>
        </w:rPr>
        <w:t>目标3. 掌握制药过程中的主要设备、主要工艺技术和关键操作要点；</w:t>
      </w:r>
    </w:p>
    <w:p>
      <w:pPr>
        <w:spacing w:line="360" w:lineRule="auto"/>
        <w:ind w:firstLine="480" w:firstLineChars="200"/>
        <w:jc w:val="left"/>
        <w:rPr>
          <w:rFonts w:hint="eastAsia"/>
          <w:sz w:val="24"/>
        </w:rPr>
      </w:pPr>
      <w:r>
        <w:rPr>
          <w:rFonts w:hint="eastAsia"/>
          <w:sz w:val="24"/>
        </w:rPr>
        <w:t>目标4. 学生能够运用所学知识进行制药工程的创新。</w:t>
      </w:r>
    </w:p>
    <w:p>
      <w:pPr>
        <w:spacing w:line="360" w:lineRule="auto"/>
        <w:ind w:firstLine="480" w:firstLineChars="200"/>
        <w:rPr>
          <w:rFonts w:hint="eastAsia"/>
          <w:color w:val="000000"/>
          <w:sz w:val="24"/>
        </w:rPr>
      </w:pPr>
      <w:r>
        <w:rPr>
          <w:rFonts w:hint="eastAsia"/>
          <w:sz w:val="24"/>
        </w:rPr>
        <w:t>本</w:t>
      </w:r>
      <w:r>
        <w:rPr>
          <w:sz w:val="24"/>
        </w:rPr>
        <w:t>课程设计支撑专业</w:t>
      </w:r>
      <w:r>
        <w:rPr>
          <w:rFonts w:hint="eastAsia"/>
          <w:sz w:val="24"/>
        </w:rPr>
        <w:t>人才</w:t>
      </w:r>
      <w:r>
        <w:rPr>
          <w:sz w:val="24"/>
        </w:rPr>
        <w:t>培养</w:t>
      </w:r>
      <w:r>
        <w:rPr>
          <w:rFonts w:hint="eastAsia"/>
          <w:sz w:val="24"/>
        </w:rPr>
        <w:t>方案</w:t>
      </w:r>
      <w:r>
        <w:rPr>
          <w:sz w:val="24"/>
        </w:rPr>
        <w:t>中毕业要求</w:t>
      </w:r>
      <w:r>
        <w:rPr>
          <w:rFonts w:hint="eastAsia"/>
          <w:sz w:val="24"/>
        </w:rPr>
        <w:t>1（</w:t>
      </w:r>
      <w:r>
        <w:rPr>
          <w:sz w:val="24"/>
        </w:rPr>
        <w:t>占该指标点达成度的</w:t>
      </w:r>
      <w:r>
        <w:rPr>
          <w:rFonts w:hint="eastAsia"/>
          <w:sz w:val="24"/>
        </w:rPr>
        <w:t>1</w:t>
      </w:r>
      <w:r>
        <w:rPr>
          <w:sz w:val="24"/>
        </w:rPr>
        <w:t>0%</w:t>
      </w:r>
      <w:r>
        <w:rPr>
          <w:rFonts w:hint="eastAsia"/>
          <w:sz w:val="24"/>
        </w:rPr>
        <w:t>）</w:t>
      </w:r>
      <w:r>
        <w:rPr>
          <w:sz w:val="24"/>
        </w:rPr>
        <w:t>、毕业要求</w:t>
      </w:r>
      <w:r>
        <w:rPr>
          <w:rFonts w:hint="eastAsia"/>
          <w:sz w:val="24"/>
        </w:rPr>
        <w:t>3（</w:t>
      </w:r>
      <w:r>
        <w:rPr>
          <w:sz w:val="24"/>
        </w:rPr>
        <w:t>占该指标点达成度的</w:t>
      </w:r>
      <w:r>
        <w:rPr>
          <w:rFonts w:hint="eastAsia"/>
          <w:sz w:val="24"/>
        </w:rPr>
        <w:t>1</w:t>
      </w:r>
      <w:r>
        <w:rPr>
          <w:sz w:val="24"/>
        </w:rPr>
        <w:t>0%</w:t>
      </w:r>
      <w:r>
        <w:rPr>
          <w:rFonts w:hint="eastAsia"/>
          <w:sz w:val="24"/>
        </w:rPr>
        <w:t>）、6（</w:t>
      </w:r>
      <w:r>
        <w:rPr>
          <w:sz w:val="24"/>
        </w:rPr>
        <w:t>占该指标点达成度的</w:t>
      </w:r>
      <w:r>
        <w:rPr>
          <w:rFonts w:hint="eastAsia"/>
          <w:sz w:val="24"/>
        </w:rPr>
        <w:t>10</w:t>
      </w:r>
      <w:r>
        <w:rPr>
          <w:sz w:val="24"/>
        </w:rPr>
        <w:t>%</w:t>
      </w:r>
      <w:r>
        <w:rPr>
          <w:rFonts w:hint="eastAsia"/>
          <w:sz w:val="24"/>
        </w:rPr>
        <w:t>）</w:t>
      </w:r>
      <w:r>
        <w:rPr>
          <w:sz w:val="24"/>
        </w:rPr>
        <w:t>、</w:t>
      </w:r>
      <w:r>
        <w:rPr>
          <w:rFonts w:hint="eastAsia"/>
          <w:sz w:val="24"/>
        </w:rPr>
        <w:t>8（</w:t>
      </w:r>
      <w:r>
        <w:rPr>
          <w:sz w:val="24"/>
        </w:rPr>
        <w:t>占该指标点达成度的</w:t>
      </w:r>
      <w:r>
        <w:rPr>
          <w:rFonts w:hint="eastAsia"/>
          <w:sz w:val="24"/>
        </w:rPr>
        <w:t>10</w:t>
      </w:r>
      <w:r>
        <w:rPr>
          <w:sz w:val="24"/>
        </w:rPr>
        <w:t>%</w:t>
      </w:r>
      <w:r>
        <w:rPr>
          <w:rFonts w:hint="eastAsia"/>
          <w:sz w:val="24"/>
        </w:rPr>
        <w:t>），</w:t>
      </w:r>
      <w:r>
        <w:rPr>
          <w:rFonts w:hint="eastAsia"/>
          <w:color w:val="000000"/>
          <w:sz w:val="24"/>
        </w:rPr>
        <w:t>对应关系如表所示。</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850"/>
        <w:gridCol w:w="1134"/>
        <w:gridCol w:w="1134"/>
        <w:gridCol w:w="1134"/>
        <w:gridCol w:w="1134"/>
        <w:gridCol w:w="1134"/>
        <w:gridCol w:w="1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Merge w:val="restart"/>
            <w:noWrap w:val="0"/>
            <w:vAlign w:val="center"/>
          </w:tcPr>
          <w:p>
            <w:pPr>
              <w:widowControl/>
              <w:jc w:val="center"/>
              <w:rPr>
                <w:kern w:val="0"/>
                <w:szCs w:val="21"/>
              </w:rPr>
            </w:pPr>
            <w:r>
              <w:rPr>
                <w:kern w:val="0"/>
                <w:szCs w:val="21"/>
              </w:rPr>
              <w:t>毕业要求</w:t>
            </w:r>
          </w:p>
          <w:p>
            <w:pPr>
              <w:spacing w:line="360" w:lineRule="auto"/>
              <w:jc w:val="center"/>
              <w:rPr>
                <w:color w:val="000000"/>
                <w:sz w:val="24"/>
              </w:rPr>
            </w:pPr>
            <w:r>
              <w:rPr>
                <w:kern w:val="0"/>
                <w:szCs w:val="21"/>
              </w:rPr>
              <w:t>指标点</w:t>
            </w:r>
          </w:p>
        </w:tc>
        <w:tc>
          <w:tcPr>
            <w:tcW w:w="7618" w:type="dxa"/>
            <w:gridSpan w:val="7"/>
            <w:noWrap w:val="0"/>
            <w:vAlign w:val="center"/>
          </w:tcPr>
          <w:p>
            <w:pPr>
              <w:spacing w:line="360" w:lineRule="auto"/>
              <w:jc w:val="center"/>
              <w:rPr>
                <w:color w:val="000000"/>
                <w:sz w:val="24"/>
              </w:rPr>
            </w:pPr>
            <w:r>
              <w:rPr>
                <w:kern w:val="0"/>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668" w:type="dxa"/>
            <w:vMerge w:val="continue"/>
            <w:noWrap w:val="0"/>
            <w:vAlign w:val="top"/>
          </w:tcPr>
          <w:p>
            <w:pPr>
              <w:spacing w:line="360" w:lineRule="auto"/>
              <w:rPr>
                <w:color w:val="000000"/>
                <w:sz w:val="24"/>
              </w:rPr>
            </w:pPr>
          </w:p>
        </w:tc>
        <w:tc>
          <w:tcPr>
            <w:tcW w:w="850" w:type="dxa"/>
            <w:noWrap w:val="0"/>
            <w:vAlign w:val="center"/>
          </w:tcPr>
          <w:p>
            <w:pPr>
              <w:widowControl/>
              <w:jc w:val="center"/>
              <w:rPr>
                <w:kern w:val="0"/>
                <w:szCs w:val="21"/>
              </w:rPr>
            </w:pPr>
            <w:r>
              <w:rPr>
                <w:kern w:val="0"/>
                <w:szCs w:val="21"/>
              </w:rPr>
              <w:t>目标1</w:t>
            </w:r>
          </w:p>
        </w:tc>
        <w:tc>
          <w:tcPr>
            <w:tcW w:w="1134" w:type="dxa"/>
            <w:noWrap w:val="0"/>
            <w:vAlign w:val="center"/>
          </w:tcPr>
          <w:p>
            <w:pPr>
              <w:widowControl/>
              <w:jc w:val="center"/>
              <w:rPr>
                <w:kern w:val="0"/>
                <w:szCs w:val="21"/>
              </w:rPr>
            </w:pPr>
            <w:r>
              <w:rPr>
                <w:kern w:val="0"/>
                <w:szCs w:val="21"/>
              </w:rPr>
              <w:t>目标2</w:t>
            </w:r>
          </w:p>
        </w:tc>
        <w:tc>
          <w:tcPr>
            <w:tcW w:w="1134" w:type="dxa"/>
            <w:noWrap w:val="0"/>
            <w:vAlign w:val="center"/>
          </w:tcPr>
          <w:p>
            <w:pPr>
              <w:widowControl/>
              <w:jc w:val="center"/>
              <w:rPr>
                <w:kern w:val="0"/>
                <w:szCs w:val="21"/>
              </w:rPr>
            </w:pPr>
            <w:r>
              <w:rPr>
                <w:kern w:val="0"/>
                <w:szCs w:val="21"/>
              </w:rPr>
              <w:t>目标3</w:t>
            </w:r>
          </w:p>
        </w:tc>
        <w:tc>
          <w:tcPr>
            <w:tcW w:w="1134" w:type="dxa"/>
            <w:noWrap w:val="0"/>
            <w:vAlign w:val="center"/>
          </w:tcPr>
          <w:p>
            <w:pPr>
              <w:widowControl/>
              <w:jc w:val="center"/>
              <w:rPr>
                <w:kern w:val="0"/>
                <w:szCs w:val="21"/>
              </w:rPr>
            </w:pPr>
            <w:r>
              <w:rPr>
                <w:kern w:val="0"/>
                <w:szCs w:val="21"/>
              </w:rPr>
              <w:t>目标4</w:t>
            </w:r>
          </w:p>
        </w:tc>
        <w:tc>
          <w:tcPr>
            <w:tcW w:w="1134" w:type="dxa"/>
            <w:noWrap w:val="0"/>
            <w:vAlign w:val="center"/>
          </w:tcPr>
          <w:p>
            <w:pPr>
              <w:widowControl/>
              <w:jc w:val="center"/>
              <w:rPr>
                <w:kern w:val="0"/>
                <w:szCs w:val="21"/>
              </w:rPr>
            </w:pPr>
          </w:p>
        </w:tc>
        <w:tc>
          <w:tcPr>
            <w:tcW w:w="1134" w:type="dxa"/>
            <w:noWrap w:val="0"/>
            <w:vAlign w:val="center"/>
          </w:tcPr>
          <w:p>
            <w:pPr>
              <w:widowControl/>
              <w:jc w:val="center"/>
              <w:rPr>
                <w:kern w:val="0"/>
                <w:szCs w:val="21"/>
                <w:highlight w:val="yellow"/>
              </w:rPr>
            </w:pPr>
          </w:p>
        </w:tc>
        <w:tc>
          <w:tcPr>
            <w:tcW w:w="1098" w:type="dxa"/>
            <w:noWrap w:val="0"/>
            <w:vAlign w:val="center"/>
          </w:tcPr>
          <w:p>
            <w:pPr>
              <w:widowControl/>
              <w:jc w:val="center"/>
              <w:rPr>
                <w:kern w:val="0"/>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1668" w:type="dxa"/>
            <w:noWrap w:val="0"/>
            <w:vAlign w:val="center"/>
          </w:tcPr>
          <w:p>
            <w:pPr>
              <w:widowControl/>
              <w:jc w:val="center"/>
              <w:rPr>
                <w:rFonts w:hint="eastAsia"/>
                <w:kern w:val="0"/>
                <w:szCs w:val="21"/>
              </w:rPr>
            </w:pPr>
            <w:r>
              <w:rPr>
                <w:kern w:val="0"/>
                <w:szCs w:val="21"/>
              </w:rPr>
              <w:t>毕业要求</w:t>
            </w:r>
            <w:r>
              <w:rPr>
                <w:rFonts w:hint="eastAsia"/>
                <w:kern w:val="0"/>
                <w:szCs w:val="21"/>
              </w:rPr>
              <w:t>1</w:t>
            </w:r>
          </w:p>
        </w:tc>
        <w:tc>
          <w:tcPr>
            <w:tcW w:w="850"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p>
        </w:tc>
        <w:tc>
          <w:tcPr>
            <w:tcW w:w="1134" w:type="dxa"/>
            <w:noWrap w:val="0"/>
            <w:vAlign w:val="center"/>
          </w:tcPr>
          <w:p>
            <w:pPr>
              <w:widowControl/>
              <w:jc w:val="center"/>
              <w:rPr>
                <w:kern w:val="0"/>
                <w:szCs w:val="21"/>
                <w:highlight w:val="yellow"/>
              </w:rPr>
            </w:pPr>
          </w:p>
        </w:tc>
        <w:tc>
          <w:tcPr>
            <w:tcW w:w="1098" w:type="dxa"/>
            <w:noWrap w:val="0"/>
            <w:vAlign w:val="center"/>
          </w:tcPr>
          <w:p>
            <w:pPr>
              <w:widowControl/>
              <w:jc w:val="center"/>
              <w:rPr>
                <w:kern w:val="0"/>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668" w:type="dxa"/>
            <w:noWrap w:val="0"/>
            <w:vAlign w:val="center"/>
          </w:tcPr>
          <w:p>
            <w:pPr>
              <w:widowControl/>
              <w:jc w:val="center"/>
              <w:rPr>
                <w:kern w:val="0"/>
                <w:szCs w:val="21"/>
              </w:rPr>
            </w:pPr>
            <w:r>
              <w:rPr>
                <w:kern w:val="0"/>
                <w:szCs w:val="21"/>
              </w:rPr>
              <w:t>毕业要求</w:t>
            </w:r>
            <w:r>
              <w:rPr>
                <w:rFonts w:hint="eastAsia"/>
                <w:kern w:val="0"/>
                <w:szCs w:val="21"/>
              </w:rPr>
              <w:t>3</w:t>
            </w:r>
          </w:p>
        </w:tc>
        <w:tc>
          <w:tcPr>
            <w:tcW w:w="850"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p>
        </w:tc>
        <w:tc>
          <w:tcPr>
            <w:tcW w:w="1134" w:type="dxa"/>
            <w:noWrap w:val="0"/>
            <w:vAlign w:val="center"/>
          </w:tcPr>
          <w:p>
            <w:pPr>
              <w:widowControl/>
              <w:jc w:val="center"/>
              <w:rPr>
                <w:kern w:val="0"/>
                <w:szCs w:val="21"/>
                <w:highlight w:val="yellow"/>
              </w:rPr>
            </w:pPr>
          </w:p>
        </w:tc>
        <w:tc>
          <w:tcPr>
            <w:tcW w:w="1098" w:type="dxa"/>
            <w:noWrap w:val="0"/>
            <w:vAlign w:val="center"/>
          </w:tcPr>
          <w:p>
            <w:pPr>
              <w:widowControl/>
              <w:jc w:val="center"/>
              <w:rPr>
                <w:kern w:val="0"/>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668" w:type="dxa"/>
            <w:noWrap w:val="0"/>
            <w:vAlign w:val="center"/>
          </w:tcPr>
          <w:p>
            <w:pPr>
              <w:widowControl/>
              <w:jc w:val="center"/>
              <w:rPr>
                <w:rFonts w:hint="eastAsia"/>
                <w:kern w:val="0"/>
                <w:szCs w:val="21"/>
              </w:rPr>
            </w:pPr>
            <w:r>
              <w:rPr>
                <w:kern w:val="0"/>
                <w:szCs w:val="21"/>
              </w:rPr>
              <w:t>毕业要求</w:t>
            </w:r>
            <w:r>
              <w:rPr>
                <w:rFonts w:hint="eastAsia"/>
                <w:kern w:val="0"/>
                <w:szCs w:val="21"/>
              </w:rPr>
              <w:t>6</w:t>
            </w:r>
          </w:p>
        </w:tc>
        <w:tc>
          <w:tcPr>
            <w:tcW w:w="850"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p>
        </w:tc>
        <w:tc>
          <w:tcPr>
            <w:tcW w:w="1134" w:type="dxa"/>
            <w:noWrap w:val="0"/>
            <w:vAlign w:val="center"/>
          </w:tcPr>
          <w:p>
            <w:pPr>
              <w:widowControl/>
              <w:jc w:val="center"/>
              <w:rPr>
                <w:kern w:val="0"/>
                <w:szCs w:val="21"/>
                <w:highlight w:val="yellow"/>
              </w:rPr>
            </w:pPr>
          </w:p>
        </w:tc>
        <w:tc>
          <w:tcPr>
            <w:tcW w:w="1098" w:type="dxa"/>
            <w:noWrap w:val="0"/>
            <w:vAlign w:val="center"/>
          </w:tcPr>
          <w:p>
            <w:pPr>
              <w:widowControl/>
              <w:jc w:val="center"/>
              <w:rPr>
                <w:kern w:val="0"/>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668" w:type="dxa"/>
            <w:noWrap w:val="0"/>
            <w:vAlign w:val="center"/>
          </w:tcPr>
          <w:p>
            <w:pPr>
              <w:widowControl/>
              <w:jc w:val="center"/>
              <w:rPr>
                <w:rFonts w:hint="eastAsia"/>
                <w:kern w:val="0"/>
                <w:szCs w:val="21"/>
              </w:rPr>
            </w:pPr>
            <w:r>
              <w:rPr>
                <w:kern w:val="0"/>
                <w:szCs w:val="21"/>
              </w:rPr>
              <w:t>毕业要求</w:t>
            </w:r>
            <w:r>
              <w:rPr>
                <w:rFonts w:hint="eastAsia"/>
                <w:kern w:val="0"/>
                <w:szCs w:val="21"/>
              </w:rPr>
              <w:t>8</w:t>
            </w:r>
          </w:p>
        </w:tc>
        <w:tc>
          <w:tcPr>
            <w:tcW w:w="850"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p>
        </w:tc>
        <w:tc>
          <w:tcPr>
            <w:tcW w:w="1134" w:type="dxa"/>
            <w:noWrap w:val="0"/>
            <w:vAlign w:val="center"/>
          </w:tcPr>
          <w:p>
            <w:pPr>
              <w:widowControl/>
              <w:jc w:val="center"/>
              <w:rPr>
                <w:kern w:val="0"/>
                <w:szCs w:val="21"/>
                <w:highlight w:val="yellow"/>
              </w:rPr>
            </w:pPr>
          </w:p>
        </w:tc>
        <w:tc>
          <w:tcPr>
            <w:tcW w:w="1098" w:type="dxa"/>
            <w:noWrap w:val="0"/>
            <w:vAlign w:val="center"/>
          </w:tcPr>
          <w:p>
            <w:pPr>
              <w:widowControl/>
              <w:jc w:val="center"/>
              <w:rPr>
                <w:kern w:val="0"/>
                <w:szCs w:val="21"/>
                <w:highlight w:val="yellow"/>
              </w:rPr>
            </w:pPr>
          </w:p>
        </w:tc>
      </w:tr>
    </w:tbl>
    <w:p>
      <w:pPr>
        <w:spacing w:line="360" w:lineRule="auto"/>
        <w:ind w:firstLine="551" w:firstLineChars="196"/>
        <w:rPr>
          <w:b/>
          <w:sz w:val="28"/>
          <w:szCs w:val="28"/>
        </w:rPr>
      </w:pPr>
      <w:r>
        <w:rPr>
          <w:rFonts w:hint="eastAsia"/>
          <w:b/>
          <w:sz w:val="28"/>
          <w:szCs w:val="28"/>
        </w:rPr>
        <w:t>三</w:t>
      </w:r>
      <w:r>
        <w:rPr>
          <w:b/>
          <w:sz w:val="28"/>
          <w:szCs w:val="28"/>
        </w:rPr>
        <w:t>、课程内容与要求</w:t>
      </w:r>
    </w:p>
    <w:p>
      <w:pPr>
        <w:pStyle w:val="15"/>
        <w:spacing w:line="360" w:lineRule="auto"/>
        <w:ind w:left="480" w:firstLine="0" w:firstLineChars="0"/>
        <w:rPr>
          <w:sz w:val="24"/>
        </w:rPr>
      </w:pPr>
      <w:r>
        <w:rPr>
          <w:rFonts w:hint="eastAsia"/>
          <w:b/>
          <w:sz w:val="24"/>
        </w:rPr>
        <w:t>（一）课程</w:t>
      </w:r>
      <w:r>
        <w:rPr>
          <w:b/>
          <w:sz w:val="24"/>
        </w:rPr>
        <w:t>内容</w:t>
      </w:r>
    </w:p>
    <w:p>
      <w:pPr>
        <w:adjustRightInd w:val="0"/>
        <w:snapToGrid w:val="0"/>
        <w:spacing w:line="300" w:lineRule="auto"/>
        <w:ind w:firstLine="480" w:firstLineChars="200"/>
        <w:rPr>
          <w:rFonts w:hint="eastAsia"/>
          <w:sz w:val="24"/>
        </w:rPr>
      </w:pPr>
      <w:r>
        <w:rPr>
          <w:rFonts w:hint="eastAsia"/>
          <w:sz w:val="24"/>
        </w:rPr>
        <w:t>（一）绪论</w:t>
      </w:r>
    </w:p>
    <w:p>
      <w:pPr>
        <w:adjustRightInd w:val="0"/>
        <w:snapToGrid w:val="0"/>
        <w:spacing w:line="300" w:lineRule="auto"/>
        <w:ind w:firstLine="480" w:firstLineChars="200"/>
        <w:rPr>
          <w:rFonts w:hint="eastAsia"/>
          <w:sz w:val="24"/>
        </w:rPr>
      </w:pPr>
      <w:r>
        <w:rPr>
          <w:rFonts w:hint="eastAsia"/>
          <w:sz w:val="24"/>
        </w:rPr>
        <w:t>1. 制药工程概念（掌握）</w:t>
      </w:r>
    </w:p>
    <w:p>
      <w:pPr>
        <w:adjustRightInd w:val="0"/>
        <w:snapToGrid w:val="0"/>
        <w:spacing w:line="300" w:lineRule="auto"/>
        <w:ind w:firstLine="480" w:firstLineChars="200"/>
        <w:rPr>
          <w:rFonts w:hint="eastAsia"/>
          <w:sz w:val="24"/>
        </w:rPr>
      </w:pPr>
      <w:r>
        <w:rPr>
          <w:rFonts w:hint="eastAsia"/>
          <w:sz w:val="24"/>
        </w:rPr>
        <w:t>2. 制药工业的发展及特点（理解）</w:t>
      </w:r>
    </w:p>
    <w:p>
      <w:pPr>
        <w:adjustRightInd w:val="0"/>
        <w:snapToGrid w:val="0"/>
        <w:spacing w:line="300" w:lineRule="auto"/>
        <w:ind w:firstLine="480" w:firstLineChars="200"/>
        <w:rPr>
          <w:rFonts w:hint="eastAsia"/>
          <w:sz w:val="24"/>
        </w:rPr>
      </w:pPr>
      <w:r>
        <w:rPr>
          <w:rFonts w:hint="eastAsia"/>
          <w:sz w:val="24"/>
        </w:rPr>
        <w:t>3. 制药工程技术的作用和创新（了解）</w:t>
      </w:r>
    </w:p>
    <w:p>
      <w:pPr>
        <w:adjustRightInd w:val="0"/>
        <w:snapToGrid w:val="0"/>
        <w:spacing w:line="300" w:lineRule="auto"/>
        <w:ind w:firstLine="480" w:firstLineChars="200"/>
        <w:rPr>
          <w:rFonts w:hint="eastAsia"/>
          <w:sz w:val="24"/>
        </w:rPr>
      </w:pPr>
      <w:r>
        <w:rPr>
          <w:rFonts w:hint="eastAsia"/>
          <w:sz w:val="24"/>
        </w:rPr>
        <w:t>4. 制药设备的分类及发展（了解）</w:t>
      </w:r>
    </w:p>
    <w:p>
      <w:pPr>
        <w:adjustRightInd w:val="0"/>
        <w:snapToGrid w:val="0"/>
        <w:spacing w:line="300" w:lineRule="auto"/>
        <w:ind w:firstLine="480" w:firstLineChars="200"/>
        <w:rPr>
          <w:rFonts w:hint="eastAsia"/>
          <w:sz w:val="24"/>
        </w:rPr>
      </w:pPr>
      <w:r>
        <w:rPr>
          <w:rFonts w:hint="eastAsia"/>
          <w:sz w:val="24"/>
        </w:rPr>
        <w:t>重点：制药工程概念</w:t>
      </w:r>
    </w:p>
    <w:p>
      <w:pPr>
        <w:adjustRightInd w:val="0"/>
        <w:snapToGrid w:val="0"/>
        <w:spacing w:line="300" w:lineRule="auto"/>
        <w:ind w:firstLine="480" w:firstLineChars="200"/>
        <w:rPr>
          <w:rFonts w:hint="eastAsia"/>
          <w:sz w:val="24"/>
        </w:rPr>
      </w:pPr>
      <w:r>
        <w:rPr>
          <w:rFonts w:hint="eastAsia"/>
          <w:sz w:val="24"/>
        </w:rPr>
        <w:t>（二）化学制药原理与设备</w:t>
      </w:r>
    </w:p>
    <w:p>
      <w:pPr>
        <w:adjustRightInd w:val="0"/>
        <w:snapToGrid w:val="0"/>
        <w:spacing w:line="300" w:lineRule="auto"/>
        <w:ind w:firstLine="480" w:firstLineChars="200"/>
        <w:rPr>
          <w:rFonts w:hint="eastAsia"/>
          <w:sz w:val="24"/>
        </w:rPr>
      </w:pPr>
      <w:r>
        <w:rPr>
          <w:rFonts w:hint="eastAsia"/>
          <w:sz w:val="24"/>
        </w:rPr>
        <w:t xml:space="preserve">1化学药物概述 （理解）  </w:t>
      </w:r>
    </w:p>
    <w:p>
      <w:pPr>
        <w:adjustRightInd w:val="0"/>
        <w:snapToGrid w:val="0"/>
        <w:spacing w:line="300" w:lineRule="auto"/>
        <w:ind w:firstLine="480" w:firstLineChars="200"/>
        <w:rPr>
          <w:rFonts w:hint="eastAsia"/>
          <w:sz w:val="24"/>
        </w:rPr>
      </w:pPr>
      <w:r>
        <w:rPr>
          <w:rFonts w:hint="eastAsia"/>
          <w:sz w:val="24"/>
        </w:rPr>
        <w:t>2化学药物合成及工艺基本原理 （掌握）</w:t>
      </w:r>
    </w:p>
    <w:p>
      <w:pPr>
        <w:adjustRightInd w:val="0"/>
        <w:snapToGrid w:val="0"/>
        <w:spacing w:line="300" w:lineRule="auto"/>
        <w:ind w:firstLine="480" w:firstLineChars="200"/>
        <w:rPr>
          <w:rFonts w:hint="eastAsia"/>
          <w:sz w:val="24"/>
        </w:rPr>
      </w:pPr>
      <w:r>
        <w:rPr>
          <w:rFonts w:hint="eastAsia"/>
          <w:sz w:val="24"/>
        </w:rPr>
        <w:t>3药物合成工艺的优化（掌握）</w:t>
      </w:r>
    </w:p>
    <w:p>
      <w:pPr>
        <w:adjustRightInd w:val="0"/>
        <w:snapToGrid w:val="0"/>
        <w:spacing w:line="300" w:lineRule="auto"/>
        <w:ind w:firstLine="480" w:firstLineChars="200"/>
        <w:rPr>
          <w:rFonts w:hint="eastAsia"/>
          <w:sz w:val="24"/>
        </w:rPr>
      </w:pPr>
      <w:r>
        <w:rPr>
          <w:rFonts w:hint="eastAsia"/>
          <w:sz w:val="24"/>
        </w:rPr>
        <w:t>4化学制药设备（理解）</w:t>
      </w:r>
    </w:p>
    <w:p>
      <w:pPr>
        <w:adjustRightInd w:val="0"/>
        <w:snapToGrid w:val="0"/>
        <w:spacing w:line="300" w:lineRule="auto"/>
        <w:ind w:firstLine="480" w:firstLineChars="200"/>
        <w:rPr>
          <w:rFonts w:hint="eastAsia"/>
          <w:sz w:val="24"/>
        </w:rPr>
      </w:pPr>
      <w:r>
        <w:rPr>
          <w:rFonts w:hint="eastAsia"/>
          <w:sz w:val="24"/>
        </w:rPr>
        <w:t>5化学制药技术的新进展与展望（了解）</w:t>
      </w:r>
    </w:p>
    <w:p>
      <w:pPr>
        <w:adjustRightInd w:val="0"/>
        <w:snapToGrid w:val="0"/>
        <w:spacing w:line="300" w:lineRule="auto"/>
        <w:ind w:firstLine="480" w:firstLineChars="200"/>
        <w:rPr>
          <w:rFonts w:hint="eastAsia"/>
          <w:sz w:val="24"/>
        </w:rPr>
      </w:pPr>
      <w:r>
        <w:rPr>
          <w:rFonts w:hint="eastAsia"/>
          <w:sz w:val="24"/>
        </w:rPr>
        <w:t>重点：化学药物合成及工艺基本原理、化学合成工艺的优化</w:t>
      </w:r>
    </w:p>
    <w:p>
      <w:pPr>
        <w:adjustRightInd w:val="0"/>
        <w:snapToGrid w:val="0"/>
        <w:spacing w:line="300" w:lineRule="auto"/>
        <w:ind w:firstLine="480" w:firstLineChars="200"/>
        <w:rPr>
          <w:rFonts w:hint="eastAsia"/>
          <w:sz w:val="24"/>
        </w:rPr>
      </w:pPr>
      <w:r>
        <w:rPr>
          <w:rFonts w:hint="eastAsia"/>
          <w:sz w:val="24"/>
        </w:rPr>
        <w:t>难点：化学药物合成及工艺基本原理</w:t>
      </w:r>
    </w:p>
    <w:p>
      <w:pPr>
        <w:adjustRightInd w:val="0"/>
        <w:snapToGrid w:val="0"/>
        <w:spacing w:line="300" w:lineRule="auto"/>
        <w:ind w:firstLine="480" w:firstLineChars="200"/>
        <w:rPr>
          <w:rFonts w:hint="eastAsia"/>
          <w:sz w:val="24"/>
        </w:rPr>
      </w:pPr>
      <w:r>
        <w:rPr>
          <w:rFonts w:hint="eastAsia"/>
          <w:sz w:val="24"/>
        </w:rPr>
        <w:t>（三）生物制药工程</w:t>
      </w:r>
    </w:p>
    <w:p>
      <w:pPr>
        <w:adjustRightInd w:val="0"/>
        <w:snapToGrid w:val="0"/>
        <w:spacing w:line="300" w:lineRule="auto"/>
        <w:ind w:firstLine="480" w:firstLineChars="200"/>
        <w:rPr>
          <w:rFonts w:hint="eastAsia"/>
          <w:sz w:val="24"/>
        </w:rPr>
      </w:pPr>
      <w:r>
        <w:rPr>
          <w:rFonts w:hint="eastAsia"/>
          <w:sz w:val="24"/>
        </w:rPr>
        <w:t>1 生物制药概述（理解）</w:t>
      </w:r>
    </w:p>
    <w:p>
      <w:pPr>
        <w:adjustRightInd w:val="0"/>
        <w:snapToGrid w:val="0"/>
        <w:spacing w:line="300" w:lineRule="auto"/>
        <w:ind w:firstLine="480" w:firstLineChars="200"/>
        <w:rPr>
          <w:rFonts w:hint="eastAsia"/>
          <w:sz w:val="24"/>
        </w:rPr>
      </w:pPr>
      <w:r>
        <w:rPr>
          <w:rFonts w:hint="eastAsia"/>
          <w:sz w:val="24"/>
        </w:rPr>
        <w:t>2 微生物发酵制药的原理与设备（掌握，理解）</w:t>
      </w:r>
    </w:p>
    <w:p>
      <w:pPr>
        <w:adjustRightInd w:val="0"/>
        <w:snapToGrid w:val="0"/>
        <w:spacing w:line="300" w:lineRule="auto"/>
        <w:ind w:firstLine="480" w:firstLineChars="200"/>
        <w:rPr>
          <w:rFonts w:hint="eastAsia"/>
          <w:sz w:val="24"/>
        </w:rPr>
      </w:pPr>
      <w:r>
        <w:rPr>
          <w:rFonts w:hint="eastAsia"/>
          <w:sz w:val="24"/>
        </w:rPr>
        <w:t>3 动物植物细胞制药的原理与设备（掌握，理解）</w:t>
      </w:r>
    </w:p>
    <w:p>
      <w:pPr>
        <w:adjustRightInd w:val="0"/>
        <w:snapToGrid w:val="0"/>
        <w:spacing w:line="300" w:lineRule="auto"/>
        <w:ind w:firstLine="480" w:firstLineChars="200"/>
        <w:rPr>
          <w:rFonts w:hint="eastAsia"/>
          <w:sz w:val="24"/>
        </w:rPr>
      </w:pPr>
      <w:r>
        <w:rPr>
          <w:rFonts w:hint="eastAsia"/>
          <w:sz w:val="24"/>
        </w:rPr>
        <w:t>4 酶工程制药的原理与设备（掌握，理解）</w:t>
      </w:r>
    </w:p>
    <w:p>
      <w:pPr>
        <w:adjustRightInd w:val="0"/>
        <w:snapToGrid w:val="0"/>
        <w:spacing w:line="300" w:lineRule="auto"/>
        <w:ind w:firstLine="480" w:firstLineChars="200"/>
        <w:rPr>
          <w:rFonts w:hint="eastAsia"/>
          <w:sz w:val="24"/>
        </w:rPr>
      </w:pPr>
      <w:r>
        <w:rPr>
          <w:rFonts w:hint="eastAsia"/>
          <w:sz w:val="24"/>
        </w:rPr>
        <w:t>5 生物制药技术的新进展与展望（了解）</w:t>
      </w:r>
    </w:p>
    <w:p>
      <w:pPr>
        <w:adjustRightInd w:val="0"/>
        <w:snapToGrid w:val="0"/>
        <w:spacing w:line="300" w:lineRule="auto"/>
        <w:ind w:firstLine="480" w:firstLineChars="200"/>
        <w:rPr>
          <w:rFonts w:hint="eastAsia"/>
          <w:sz w:val="24"/>
        </w:rPr>
      </w:pPr>
      <w:r>
        <w:rPr>
          <w:rFonts w:hint="eastAsia"/>
          <w:sz w:val="24"/>
        </w:rPr>
        <w:t>重点：微生物发酵制药的原理、动物植物细胞制药的原理、酶工程制药的原理</w:t>
      </w:r>
    </w:p>
    <w:p>
      <w:pPr>
        <w:adjustRightInd w:val="0"/>
        <w:snapToGrid w:val="0"/>
        <w:spacing w:line="300" w:lineRule="auto"/>
        <w:ind w:firstLine="480" w:firstLineChars="200"/>
        <w:rPr>
          <w:rFonts w:hint="eastAsia"/>
          <w:sz w:val="24"/>
        </w:rPr>
      </w:pPr>
      <w:r>
        <w:rPr>
          <w:rFonts w:hint="eastAsia"/>
          <w:sz w:val="24"/>
        </w:rPr>
        <w:t>难点：动物植物细胞制药的原理</w:t>
      </w:r>
    </w:p>
    <w:p>
      <w:pPr>
        <w:adjustRightInd w:val="0"/>
        <w:snapToGrid w:val="0"/>
        <w:spacing w:line="300" w:lineRule="auto"/>
        <w:ind w:firstLine="480" w:firstLineChars="200"/>
        <w:rPr>
          <w:rFonts w:hint="eastAsia"/>
          <w:sz w:val="24"/>
        </w:rPr>
      </w:pPr>
      <w:r>
        <w:rPr>
          <w:rFonts w:hint="eastAsia"/>
          <w:sz w:val="24"/>
        </w:rPr>
        <w:t>（四）中药与天然药物制药技术与工程</w:t>
      </w:r>
    </w:p>
    <w:p>
      <w:pPr>
        <w:adjustRightInd w:val="0"/>
        <w:snapToGrid w:val="0"/>
        <w:spacing w:line="300" w:lineRule="auto"/>
        <w:ind w:firstLine="480" w:firstLineChars="200"/>
        <w:rPr>
          <w:rFonts w:hint="eastAsia"/>
          <w:sz w:val="24"/>
        </w:rPr>
      </w:pPr>
      <w:r>
        <w:rPr>
          <w:rFonts w:hint="eastAsia"/>
          <w:sz w:val="24"/>
        </w:rPr>
        <w:t>1中药与天然药物概述（理解）</w:t>
      </w:r>
    </w:p>
    <w:p>
      <w:pPr>
        <w:adjustRightInd w:val="0"/>
        <w:snapToGrid w:val="0"/>
        <w:spacing w:line="300" w:lineRule="auto"/>
        <w:ind w:firstLine="480" w:firstLineChars="200"/>
        <w:rPr>
          <w:rFonts w:hint="eastAsia"/>
          <w:sz w:val="24"/>
        </w:rPr>
      </w:pPr>
      <w:r>
        <w:rPr>
          <w:rFonts w:hint="eastAsia"/>
          <w:sz w:val="24"/>
        </w:rPr>
        <w:t>2中药与天然药物原材料的质量控制（了解）</w:t>
      </w:r>
    </w:p>
    <w:p>
      <w:pPr>
        <w:adjustRightInd w:val="0"/>
        <w:snapToGrid w:val="0"/>
        <w:spacing w:line="300" w:lineRule="auto"/>
        <w:ind w:firstLine="480" w:firstLineChars="200"/>
        <w:rPr>
          <w:rFonts w:hint="eastAsia"/>
          <w:sz w:val="24"/>
        </w:rPr>
      </w:pPr>
      <w:r>
        <w:rPr>
          <w:rFonts w:hint="eastAsia"/>
          <w:sz w:val="24"/>
        </w:rPr>
        <w:t>3中药与天然药物原材料的工业生产及设备（掌握）</w:t>
      </w:r>
    </w:p>
    <w:p>
      <w:pPr>
        <w:adjustRightInd w:val="0"/>
        <w:snapToGrid w:val="0"/>
        <w:spacing w:line="300" w:lineRule="auto"/>
        <w:ind w:firstLine="480" w:firstLineChars="200"/>
        <w:rPr>
          <w:rFonts w:hint="eastAsia"/>
          <w:sz w:val="24"/>
        </w:rPr>
      </w:pPr>
      <w:r>
        <w:rPr>
          <w:rFonts w:hint="eastAsia"/>
          <w:sz w:val="24"/>
        </w:rPr>
        <w:t>4中药与天然药物研制的现状与发展前景（了解）</w:t>
      </w:r>
    </w:p>
    <w:p>
      <w:pPr>
        <w:adjustRightInd w:val="0"/>
        <w:snapToGrid w:val="0"/>
        <w:spacing w:line="300" w:lineRule="auto"/>
        <w:ind w:firstLine="480" w:firstLineChars="200"/>
        <w:rPr>
          <w:rFonts w:hint="eastAsia"/>
          <w:sz w:val="24"/>
        </w:rPr>
      </w:pPr>
      <w:r>
        <w:rPr>
          <w:rFonts w:hint="eastAsia"/>
          <w:sz w:val="24"/>
        </w:rPr>
        <w:t>重点：中药与天然药物原材料的工业生产及设备</w:t>
      </w:r>
    </w:p>
    <w:p>
      <w:pPr>
        <w:adjustRightInd w:val="0"/>
        <w:snapToGrid w:val="0"/>
        <w:spacing w:line="300" w:lineRule="auto"/>
        <w:ind w:firstLine="480" w:firstLineChars="200"/>
        <w:rPr>
          <w:rFonts w:hint="eastAsia"/>
          <w:sz w:val="24"/>
        </w:rPr>
      </w:pPr>
      <w:r>
        <w:rPr>
          <w:rFonts w:hint="eastAsia"/>
          <w:sz w:val="24"/>
        </w:rPr>
        <w:t>难点：新的提取、分离、纯化技术</w:t>
      </w:r>
    </w:p>
    <w:p>
      <w:pPr>
        <w:adjustRightInd w:val="0"/>
        <w:snapToGrid w:val="0"/>
        <w:spacing w:line="300" w:lineRule="auto"/>
        <w:ind w:firstLine="480" w:firstLineChars="200"/>
        <w:rPr>
          <w:rFonts w:hint="eastAsia"/>
          <w:sz w:val="24"/>
        </w:rPr>
      </w:pPr>
      <w:r>
        <w:rPr>
          <w:rFonts w:hint="eastAsia"/>
          <w:sz w:val="24"/>
        </w:rPr>
        <w:t>（五）制药分离工程与设备</w:t>
      </w:r>
    </w:p>
    <w:p>
      <w:pPr>
        <w:adjustRightInd w:val="0"/>
        <w:snapToGrid w:val="0"/>
        <w:spacing w:line="300" w:lineRule="auto"/>
        <w:ind w:firstLine="480" w:firstLineChars="200"/>
        <w:rPr>
          <w:rFonts w:hint="eastAsia"/>
          <w:sz w:val="24"/>
        </w:rPr>
      </w:pPr>
      <w:r>
        <w:rPr>
          <w:rFonts w:hint="eastAsia"/>
          <w:sz w:val="24"/>
        </w:rPr>
        <w:t>1制药分离工程概述 （理解）</w:t>
      </w:r>
    </w:p>
    <w:p>
      <w:pPr>
        <w:adjustRightInd w:val="0"/>
        <w:snapToGrid w:val="0"/>
        <w:spacing w:line="300" w:lineRule="auto"/>
        <w:ind w:firstLine="480" w:firstLineChars="200"/>
        <w:rPr>
          <w:rFonts w:hint="eastAsia"/>
          <w:sz w:val="24"/>
        </w:rPr>
      </w:pPr>
      <w:r>
        <w:rPr>
          <w:rFonts w:hint="eastAsia"/>
          <w:sz w:val="24"/>
        </w:rPr>
        <w:t>2萃取过程及设备（掌握）</w:t>
      </w:r>
    </w:p>
    <w:p>
      <w:pPr>
        <w:adjustRightInd w:val="0"/>
        <w:snapToGrid w:val="0"/>
        <w:spacing w:line="300" w:lineRule="auto"/>
        <w:ind w:firstLine="480" w:firstLineChars="200"/>
        <w:rPr>
          <w:rFonts w:hint="eastAsia"/>
          <w:sz w:val="24"/>
        </w:rPr>
      </w:pPr>
      <w:r>
        <w:rPr>
          <w:rFonts w:hint="eastAsia"/>
          <w:sz w:val="24"/>
        </w:rPr>
        <w:t>3过滤和离心过程及设备（了解）</w:t>
      </w:r>
    </w:p>
    <w:p>
      <w:pPr>
        <w:adjustRightInd w:val="0"/>
        <w:snapToGrid w:val="0"/>
        <w:spacing w:line="300" w:lineRule="auto"/>
        <w:ind w:firstLine="480" w:firstLineChars="200"/>
        <w:rPr>
          <w:rFonts w:hint="eastAsia"/>
          <w:sz w:val="24"/>
        </w:rPr>
      </w:pPr>
      <w:r>
        <w:rPr>
          <w:rFonts w:hint="eastAsia"/>
          <w:sz w:val="24"/>
        </w:rPr>
        <w:t>4膜分离过程及设备（掌握）</w:t>
      </w:r>
    </w:p>
    <w:p>
      <w:pPr>
        <w:adjustRightInd w:val="0"/>
        <w:snapToGrid w:val="0"/>
        <w:spacing w:line="300" w:lineRule="auto"/>
        <w:ind w:firstLine="480" w:firstLineChars="200"/>
        <w:rPr>
          <w:rFonts w:hint="eastAsia"/>
          <w:sz w:val="24"/>
        </w:rPr>
      </w:pPr>
      <w:r>
        <w:rPr>
          <w:rFonts w:hint="eastAsia"/>
          <w:sz w:val="24"/>
        </w:rPr>
        <w:t>5色谱分离（掌握）</w:t>
      </w:r>
    </w:p>
    <w:p>
      <w:pPr>
        <w:adjustRightInd w:val="0"/>
        <w:snapToGrid w:val="0"/>
        <w:spacing w:line="300" w:lineRule="auto"/>
        <w:ind w:firstLine="480" w:firstLineChars="200"/>
        <w:rPr>
          <w:rFonts w:hint="eastAsia"/>
          <w:sz w:val="24"/>
        </w:rPr>
      </w:pPr>
      <w:r>
        <w:rPr>
          <w:rFonts w:hint="eastAsia"/>
          <w:sz w:val="24"/>
        </w:rPr>
        <w:t>6电泳分离技术（掌握）</w:t>
      </w:r>
    </w:p>
    <w:p>
      <w:pPr>
        <w:adjustRightInd w:val="0"/>
        <w:snapToGrid w:val="0"/>
        <w:spacing w:line="300" w:lineRule="auto"/>
        <w:ind w:firstLine="480" w:firstLineChars="200"/>
        <w:rPr>
          <w:rFonts w:hint="eastAsia"/>
          <w:sz w:val="24"/>
        </w:rPr>
      </w:pPr>
      <w:r>
        <w:rPr>
          <w:rFonts w:hint="eastAsia"/>
          <w:sz w:val="24"/>
        </w:rPr>
        <w:t>7干燥技术（了解）</w:t>
      </w:r>
    </w:p>
    <w:p>
      <w:pPr>
        <w:adjustRightInd w:val="0"/>
        <w:snapToGrid w:val="0"/>
        <w:spacing w:line="300" w:lineRule="auto"/>
        <w:ind w:firstLine="480" w:firstLineChars="200"/>
        <w:rPr>
          <w:rFonts w:hint="eastAsia"/>
          <w:sz w:val="24"/>
        </w:rPr>
      </w:pPr>
      <w:r>
        <w:rPr>
          <w:rFonts w:hint="eastAsia"/>
          <w:sz w:val="24"/>
        </w:rPr>
        <w:t>8结晶分离（了解）</w:t>
      </w:r>
    </w:p>
    <w:p>
      <w:pPr>
        <w:adjustRightInd w:val="0"/>
        <w:snapToGrid w:val="0"/>
        <w:spacing w:line="300" w:lineRule="auto"/>
        <w:ind w:firstLine="480" w:firstLineChars="200"/>
        <w:rPr>
          <w:rFonts w:hint="eastAsia"/>
          <w:sz w:val="24"/>
        </w:rPr>
      </w:pPr>
      <w:r>
        <w:rPr>
          <w:rFonts w:hint="eastAsia"/>
          <w:sz w:val="24"/>
        </w:rPr>
        <w:t>9蒸馏技术（掌握）</w:t>
      </w:r>
    </w:p>
    <w:p>
      <w:pPr>
        <w:adjustRightInd w:val="0"/>
        <w:snapToGrid w:val="0"/>
        <w:spacing w:line="300" w:lineRule="auto"/>
        <w:ind w:firstLine="480" w:firstLineChars="200"/>
        <w:rPr>
          <w:rFonts w:hint="eastAsia"/>
          <w:sz w:val="24"/>
        </w:rPr>
      </w:pPr>
      <w:r>
        <w:rPr>
          <w:rFonts w:hint="eastAsia"/>
          <w:sz w:val="24"/>
        </w:rPr>
        <w:t>重点：萃取、膜分离、电泳、蒸馏的原理及设备</w:t>
      </w:r>
    </w:p>
    <w:p>
      <w:pPr>
        <w:adjustRightInd w:val="0"/>
        <w:snapToGrid w:val="0"/>
        <w:spacing w:line="300" w:lineRule="auto"/>
        <w:ind w:firstLine="480" w:firstLineChars="200"/>
        <w:rPr>
          <w:rFonts w:hint="eastAsia"/>
          <w:sz w:val="24"/>
        </w:rPr>
      </w:pPr>
      <w:r>
        <w:rPr>
          <w:rFonts w:hint="eastAsia"/>
          <w:sz w:val="24"/>
        </w:rPr>
        <w:t>难点：双水相和反胶束萃取分离的原理</w:t>
      </w:r>
    </w:p>
    <w:p>
      <w:pPr>
        <w:adjustRightInd w:val="0"/>
        <w:snapToGrid w:val="0"/>
        <w:spacing w:line="300" w:lineRule="auto"/>
        <w:ind w:firstLine="480" w:firstLineChars="200"/>
        <w:rPr>
          <w:rFonts w:hint="eastAsia"/>
          <w:sz w:val="24"/>
        </w:rPr>
      </w:pPr>
      <w:r>
        <w:rPr>
          <w:rFonts w:hint="eastAsia"/>
          <w:sz w:val="24"/>
        </w:rPr>
        <w:t>（六）药物制剂工程与设备</w:t>
      </w:r>
    </w:p>
    <w:p>
      <w:pPr>
        <w:adjustRightInd w:val="0"/>
        <w:snapToGrid w:val="0"/>
        <w:spacing w:line="300" w:lineRule="auto"/>
        <w:ind w:firstLine="480" w:firstLineChars="200"/>
        <w:rPr>
          <w:rFonts w:hint="eastAsia"/>
          <w:sz w:val="24"/>
        </w:rPr>
      </w:pPr>
      <w:r>
        <w:rPr>
          <w:rFonts w:hint="eastAsia"/>
          <w:sz w:val="24"/>
        </w:rPr>
        <w:t>1药物制剂生产原理和工艺简介 （掌握、理解）</w:t>
      </w:r>
    </w:p>
    <w:p>
      <w:pPr>
        <w:adjustRightInd w:val="0"/>
        <w:snapToGrid w:val="0"/>
        <w:spacing w:line="300" w:lineRule="auto"/>
        <w:ind w:firstLine="480" w:firstLineChars="200"/>
        <w:rPr>
          <w:rFonts w:hint="eastAsia"/>
          <w:sz w:val="24"/>
        </w:rPr>
      </w:pPr>
      <w:r>
        <w:rPr>
          <w:rFonts w:hint="eastAsia"/>
          <w:sz w:val="24"/>
        </w:rPr>
        <w:t>2药物制剂生产设备（了解）</w:t>
      </w:r>
    </w:p>
    <w:p>
      <w:pPr>
        <w:adjustRightInd w:val="0"/>
        <w:snapToGrid w:val="0"/>
        <w:spacing w:line="300" w:lineRule="auto"/>
        <w:ind w:firstLine="480" w:firstLineChars="200"/>
        <w:rPr>
          <w:rFonts w:hint="eastAsia"/>
          <w:sz w:val="24"/>
        </w:rPr>
      </w:pPr>
      <w:r>
        <w:rPr>
          <w:rFonts w:hint="eastAsia"/>
          <w:sz w:val="24"/>
        </w:rPr>
        <w:t>重点：药物制剂生产原理与工艺</w:t>
      </w:r>
    </w:p>
    <w:p>
      <w:pPr>
        <w:adjustRightInd w:val="0"/>
        <w:snapToGrid w:val="0"/>
        <w:spacing w:line="300" w:lineRule="auto"/>
        <w:ind w:firstLine="480" w:firstLineChars="200"/>
        <w:rPr>
          <w:rFonts w:hint="eastAsia"/>
          <w:sz w:val="24"/>
        </w:rPr>
      </w:pPr>
      <w:r>
        <w:rPr>
          <w:rFonts w:hint="eastAsia"/>
          <w:sz w:val="24"/>
        </w:rPr>
        <w:t>难点：药物制剂生产原理</w:t>
      </w:r>
    </w:p>
    <w:p>
      <w:pPr>
        <w:numPr>
          <w:ilvl w:val="0"/>
          <w:numId w:val="7"/>
        </w:numPr>
        <w:adjustRightInd w:val="0"/>
        <w:snapToGrid w:val="0"/>
        <w:spacing w:line="300" w:lineRule="auto"/>
        <w:ind w:firstLine="480" w:firstLineChars="200"/>
        <w:rPr>
          <w:rFonts w:hint="eastAsia"/>
          <w:sz w:val="24"/>
        </w:rPr>
      </w:pPr>
      <w:r>
        <w:rPr>
          <w:rFonts w:hint="eastAsia"/>
          <w:sz w:val="24"/>
        </w:rPr>
        <w:t>连续制造技术与设备</w:t>
      </w:r>
    </w:p>
    <w:p>
      <w:pPr>
        <w:adjustRightInd w:val="0"/>
        <w:snapToGrid w:val="0"/>
        <w:spacing w:line="300" w:lineRule="auto"/>
        <w:ind w:firstLine="480" w:firstLineChars="200"/>
        <w:rPr>
          <w:rFonts w:hint="eastAsia"/>
          <w:sz w:val="24"/>
        </w:rPr>
      </w:pPr>
      <w:r>
        <w:rPr>
          <w:rFonts w:hint="eastAsia"/>
          <w:sz w:val="24"/>
        </w:rPr>
        <w:t>1连续制造技术概述（了解）</w:t>
      </w:r>
    </w:p>
    <w:p>
      <w:pPr>
        <w:adjustRightInd w:val="0"/>
        <w:snapToGrid w:val="0"/>
        <w:spacing w:line="300" w:lineRule="auto"/>
        <w:ind w:firstLine="480" w:firstLineChars="200"/>
        <w:rPr>
          <w:rFonts w:hint="eastAsia"/>
          <w:sz w:val="24"/>
        </w:rPr>
      </w:pPr>
      <w:r>
        <w:rPr>
          <w:rFonts w:hint="eastAsia"/>
          <w:sz w:val="24"/>
        </w:rPr>
        <w:t>2连续制造技术研究进展（了解）</w:t>
      </w:r>
    </w:p>
    <w:p>
      <w:pPr>
        <w:adjustRightInd w:val="0"/>
        <w:snapToGrid w:val="0"/>
        <w:spacing w:line="300" w:lineRule="auto"/>
        <w:ind w:firstLine="480" w:firstLineChars="200"/>
        <w:rPr>
          <w:rFonts w:hint="eastAsia"/>
          <w:sz w:val="24"/>
        </w:rPr>
      </w:pPr>
      <w:r>
        <w:rPr>
          <w:rFonts w:hint="eastAsia"/>
          <w:sz w:val="24"/>
        </w:rPr>
        <w:t>3连续制造技术常用设备及原理（掌握、了解）</w:t>
      </w:r>
    </w:p>
    <w:p>
      <w:pPr>
        <w:adjustRightInd w:val="0"/>
        <w:snapToGrid w:val="0"/>
        <w:spacing w:line="300" w:lineRule="auto"/>
        <w:ind w:firstLine="480" w:firstLineChars="200"/>
        <w:rPr>
          <w:rFonts w:hint="eastAsia"/>
          <w:sz w:val="24"/>
        </w:rPr>
      </w:pPr>
      <w:r>
        <w:rPr>
          <w:rFonts w:hint="eastAsia"/>
          <w:sz w:val="24"/>
        </w:rPr>
        <w:t>4连续制造技术应用与发展前景（了解）</w:t>
      </w:r>
    </w:p>
    <w:p>
      <w:pPr>
        <w:adjustRightInd w:val="0"/>
        <w:snapToGrid w:val="0"/>
        <w:spacing w:line="300" w:lineRule="auto"/>
        <w:ind w:firstLine="480" w:firstLineChars="200"/>
        <w:rPr>
          <w:rFonts w:hint="eastAsia"/>
          <w:sz w:val="24"/>
        </w:rPr>
      </w:pPr>
      <w:r>
        <w:rPr>
          <w:rFonts w:hint="eastAsia"/>
          <w:sz w:val="24"/>
        </w:rPr>
        <w:t>重点：连续制造技术常用设备及原理</w:t>
      </w:r>
    </w:p>
    <w:p>
      <w:pPr>
        <w:adjustRightInd w:val="0"/>
        <w:snapToGrid w:val="0"/>
        <w:spacing w:line="300" w:lineRule="auto"/>
        <w:ind w:firstLine="480" w:firstLineChars="200"/>
        <w:rPr>
          <w:rFonts w:hint="eastAsia"/>
          <w:sz w:val="24"/>
        </w:rPr>
      </w:pPr>
      <w:r>
        <w:rPr>
          <w:rFonts w:hint="eastAsia"/>
          <w:sz w:val="24"/>
        </w:rPr>
        <w:t>（八）药品包装设备</w:t>
      </w:r>
    </w:p>
    <w:p>
      <w:pPr>
        <w:adjustRightInd w:val="0"/>
        <w:snapToGrid w:val="0"/>
        <w:spacing w:line="300" w:lineRule="auto"/>
        <w:ind w:firstLine="480" w:firstLineChars="200"/>
        <w:rPr>
          <w:rFonts w:hint="eastAsia"/>
          <w:sz w:val="24"/>
        </w:rPr>
      </w:pPr>
      <w:r>
        <w:rPr>
          <w:rFonts w:hint="eastAsia"/>
          <w:sz w:val="24"/>
        </w:rPr>
        <w:t>1药品包装概述（理解，掌握）</w:t>
      </w:r>
    </w:p>
    <w:p>
      <w:pPr>
        <w:adjustRightInd w:val="0"/>
        <w:snapToGrid w:val="0"/>
        <w:spacing w:line="300" w:lineRule="auto"/>
        <w:ind w:firstLine="480" w:firstLineChars="200"/>
        <w:rPr>
          <w:rFonts w:hint="eastAsia"/>
          <w:sz w:val="24"/>
        </w:rPr>
      </w:pPr>
      <w:r>
        <w:rPr>
          <w:rFonts w:hint="eastAsia"/>
          <w:sz w:val="24"/>
        </w:rPr>
        <w:t>2固体制剂包装设备（掌握、理解）</w:t>
      </w:r>
    </w:p>
    <w:p>
      <w:pPr>
        <w:adjustRightInd w:val="0"/>
        <w:snapToGrid w:val="0"/>
        <w:spacing w:line="300" w:lineRule="auto"/>
        <w:ind w:firstLine="480" w:firstLineChars="200"/>
        <w:rPr>
          <w:rFonts w:hint="eastAsia"/>
          <w:sz w:val="24"/>
        </w:rPr>
      </w:pPr>
      <w:r>
        <w:rPr>
          <w:rFonts w:hint="eastAsia"/>
          <w:sz w:val="24"/>
        </w:rPr>
        <w:t>3注射剂包装设备（掌握、理解）</w:t>
      </w:r>
    </w:p>
    <w:p>
      <w:pPr>
        <w:adjustRightInd w:val="0"/>
        <w:snapToGrid w:val="0"/>
        <w:spacing w:line="300" w:lineRule="auto"/>
        <w:ind w:firstLine="480" w:firstLineChars="200"/>
        <w:rPr>
          <w:rFonts w:hint="eastAsia"/>
          <w:sz w:val="24"/>
        </w:rPr>
      </w:pPr>
      <w:r>
        <w:rPr>
          <w:rFonts w:hint="eastAsia"/>
          <w:sz w:val="24"/>
        </w:rPr>
        <w:t>重点：固体制剂和注射剂的典型设备</w:t>
      </w:r>
    </w:p>
    <w:p>
      <w:pPr>
        <w:adjustRightInd w:val="0"/>
        <w:snapToGrid w:val="0"/>
        <w:spacing w:line="300" w:lineRule="auto"/>
        <w:ind w:firstLine="480" w:firstLineChars="200"/>
        <w:rPr>
          <w:rFonts w:hint="eastAsia"/>
          <w:sz w:val="24"/>
        </w:rPr>
      </w:pPr>
      <w:r>
        <w:rPr>
          <w:rFonts w:hint="eastAsia"/>
          <w:sz w:val="24"/>
        </w:rPr>
        <w:t>（九）药厂车间工艺设计</w:t>
      </w:r>
    </w:p>
    <w:p>
      <w:pPr>
        <w:adjustRightInd w:val="0"/>
        <w:snapToGrid w:val="0"/>
        <w:spacing w:line="300" w:lineRule="auto"/>
        <w:ind w:firstLine="480" w:firstLineChars="200"/>
        <w:rPr>
          <w:rFonts w:hint="eastAsia"/>
          <w:sz w:val="24"/>
        </w:rPr>
      </w:pPr>
      <w:r>
        <w:rPr>
          <w:rFonts w:hint="eastAsia"/>
          <w:sz w:val="24"/>
        </w:rPr>
        <w:t>1车间工艺设计GMP基础（掌握）</w:t>
      </w:r>
    </w:p>
    <w:p>
      <w:pPr>
        <w:adjustRightInd w:val="0"/>
        <w:snapToGrid w:val="0"/>
        <w:spacing w:line="300" w:lineRule="auto"/>
        <w:ind w:firstLine="480" w:firstLineChars="200"/>
        <w:rPr>
          <w:rFonts w:hint="eastAsia"/>
          <w:sz w:val="24"/>
        </w:rPr>
      </w:pPr>
      <w:r>
        <w:rPr>
          <w:rFonts w:hint="eastAsia"/>
          <w:sz w:val="24"/>
        </w:rPr>
        <w:t>2药厂车间工艺设计（理解）</w:t>
      </w:r>
    </w:p>
    <w:p>
      <w:pPr>
        <w:adjustRightInd w:val="0"/>
        <w:snapToGrid w:val="0"/>
        <w:spacing w:line="300" w:lineRule="auto"/>
        <w:ind w:firstLine="480" w:firstLineChars="200"/>
        <w:rPr>
          <w:rFonts w:hint="eastAsia"/>
          <w:sz w:val="24"/>
        </w:rPr>
      </w:pPr>
      <w:r>
        <w:rPr>
          <w:rFonts w:hint="eastAsia"/>
          <w:sz w:val="24"/>
        </w:rPr>
        <w:t>3制药车间布置实例分析（了解）</w:t>
      </w:r>
    </w:p>
    <w:p>
      <w:pPr>
        <w:adjustRightInd w:val="0"/>
        <w:snapToGrid w:val="0"/>
        <w:spacing w:line="300" w:lineRule="auto"/>
        <w:ind w:firstLine="480" w:firstLineChars="200"/>
        <w:rPr>
          <w:sz w:val="24"/>
        </w:rPr>
      </w:pPr>
      <w:r>
        <w:rPr>
          <w:rFonts w:hint="eastAsia"/>
          <w:sz w:val="24"/>
        </w:rPr>
        <w:t>重点：《药品生产质量管理规范》GMP</w:t>
      </w:r>
    </w:p>
    <w:p>
      <w:pPr>
        <w:pStyle w:val="15"/>
        <w:spacing w:line="360" w:lineRule="auto"/>
        <w:ind w:left="480" w:firstLine="0" w:firstLineChars="0"/>
        <w:jc w:val="left"/>
        <w:rPr>
          <w:rFonts w:hint="eastAsia"/>
          <w:sz w:val="24"/>
        </w:rPr>
      </w:pPr>
      <w:r>
        <w:rPr>
          <w:rFonts w:hint="eastAsia"/>
          <w:b/>
          <w:sz w:val="24"/>
        </w:rPr>
        <w:t>（二）课程</w:t>
      </w:r>
      <w:r>
        <w:rPr>
          <w:b/>
          <w:sz w:val="24"/>
        </w:rPr>
        <w:t>要求</w:t>
      </w:r>
    </w:p>
    <w:p>
      <w:pPr>
        <w:pStyle w:val="15"/>
        <w:spacing w:line="360" w:lineRule="auto"/>
        <w:ind w:firstLine="480"/>
        <w:rPr>
          <w:sz w:val="24"/>
        </w:rPr>
      </w:pPr>
      <w:r>
        <w:rPr>
          <w:rFonts w:hint="eastAsia"/>
          <w:sz w:val="24"/>
        </w:rPr>
        <w:t>（1）掌握生产中各种单元操作的基本理论；</w:t>
      </w:r>
      <w:r>
        <w:rPr>
          <w:sz w:val="24"/>
        </w:rPr>
        <w:t> </w:t>
      </w:r>
    </w:p>
    <w:p>
      <w:pPr>
        <w:pStyle w:val="15"/>
        <w:spacing w:line="360" w:lineRule="auto"/>
        <w:ind w:firstLine="480"/>
        <w:rPr>
          <w:sz w:val="24"/>
        </w:rPr>
      </w:pPr>
      <w:r>
        <w:rPr>
          <w:rFonts w:hint="eastAsia"/>
          <w:sz w:val="24"/>
        </w:rPr>
        <w:t>（2）了解各类制药设备的主要特点、性能和适用范围，并能根据生产要求选择合适的生产设备；</w:t>
      </w:r>
      <w:r>
        <w:rPr>
          <w:sz w:val="24"/>
        </w:rPr>
        <w:t> </w:t>
      </w:r>
    </w:p>
    <w:p>
      <w:pPr>
        <w:pStyle w:val="15"/>
        <w:spacing w:line="360" w:lineRule="auto"/>
        <w:ind w:firstLine="480"/>
        <w:rPr>
          <w:sz w:val="24"/>
        </w:rPr>
      </w:pPr>
      <w:r>
        <w:rPr>
          <w:rFonts w:hint="eastAsia"/>
          <w:sz w:val="24"/>
        </w:rPr>
        <w:t>（3）熟悉GMP和自动化生产的特点，在制药工业中能初步应用这些知识。</w:t>
      </w:r>
    </w:p>
    <w:p>
      <w:pPr>
        <w:pStyle w:val="15"/>
        <w:spacing w:line="360" w:lineRule="auto"/>
        <w:ind w:left="480" w:firstLine="0" w:firstLineChars="0"/>
        <w:rPr>
          <w:rFonts w:hint="eastAsia"/>
          <w:b/>
          <w:sz w:val="24"/>
        </w:rPr>
      </w:pPr>
      <w:r>
        <w:rPr>
          <w:rFonts w:hint="eastAsia"/>
          <w:b/>
          <w:sz w:val="24"/>
        </w:rPr>
        <w:t>（三）教学内容与</w:t>
      </w:r>
      <w:r>
        <w:rPr>
          <w:b/>
          <w:sz w:val="24"/>
        </w:rPr>
        <w:t>目标的</w:t>
      </w:r>
      <w:r>
        <w:rPr>
          <w:rFonts w:hint="eastAsia"/>
          <w:b/>
          <w:sz w:val="24"/>
        </w:rPr>
        <w:t>对应关系及</w:t>
      </w:r>
      <w:r>
        <w:rPr>
          <w:b/>
          <w:sz w:val="24"/>
        </w:rPr>
        <w:t>学时分配</w:t>
      </w:r>
    </w:p>
    <w:p>
      <w:pPr>
        <w:spacing w:line="360" w:lineRule="auto"/>
        <w:ind w:firstLine="480" w:firstLineChars="200"/>
        <w:rPr>
          <w:sz w:val="24"/>
        </w:rPr>
      </w:pPr>
      <w:r>
        <w:rPr>
          <w:sz w:val="24"/>
        </w:rPr>
        <w:t>本</w:t>
      </w:r>
      <w:r>
        <w:rPr>
          <w:rFonts w:hint="eastAsia"/>
          <w:sz w:val="24"/>
        </w:rPr>
        <w:t>实验课程历时16</w:t>
      </w:r>
      <w:r>
        <w:rPr>
          <w:sz w:val="24"/>
        </w:rPr>
        <w:t>周（</w:t>
      </w:r>
      <w:r>
        <w:rPr>
          <w:rFonts w:hint="eastAsia"/>
          <w:sz w:val="24"/>
        </w:rPr>
        <w:t>1-</w:t>
      </w:r>
      <w:r>
        <w:rPr>
          <w:sz w:val="24"/>
        </w:rPr>
        <w:t>1</w:t>
      </w:r>
      <w:r>
        <w:rPr>
          <w:rFonts w:hint="eastAsia"/>
          <w:sz w:val="24"/>
        </w:rPr>
        <w:t>6周</w:t>
      </w:r>
      <w:r>
        <w:rPr>
          <w:sz w:val="24"/>
        </w:rPr>
        <w:t>），</w:t>
      </w:r>
      <w:r>
        <w:rPr>
          <w:rFonts w:hint="eastAsia"/>
          <w:sz w:val="24"/>
        </w:rPr>
        <w:t>周学时2。教学内容与课程目标的对应关系及建议时间分配如表所示。</w:t>
      </w:r>
    </w:p>
    <w:tbl>
      <w:tblPr>
        <w:tblStyle w:val="10"/>
        <w:tblW w:w="0" w:type="auto"/>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2803"/>
        <w:gridCol w:w="2041"/>
        <w:gridCol w:w="1361"/>
        <w:gridCol w:w="85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shd w:val="clear" w:color="auto" w:fill="FFFFFF"/>
            <w:noWrap w:val="0"/>
            <w:vAlign w:val="center"/>
          </w:tcPr>
          <w:p>
            <w:pPr>
              <w:jc w:val="center"/>
              <w:rPr>
                <w:bCs/>
                <w:szCs w:val="21"/>
              </w:rPr>
            </w:pPr>
            <w:r>
              <w:rPr>
                <w:bCs/>
                <w:szCs w:val="21"/>
              </w:rPr>
              <w:t>序号</w:t>
            </w:r>
          </w:p>
        </w:tc>
        <w:tc>
          <w:tcPr>
            <w:tcW w:w="2803" w:type="dxa"/>
            <w:shd w:val="clear" w:color="auto" w:fill="FFFFFF"/>
            <w:noWrap w:val="0"/>
            <w:vAlign w:val="center"/>
          </w:tcPr>
          <w:p>
            <w:pPr>
              <w:jc w:val="center"/>
              <w:rPr>
                <w:bCs/>
                <w:szCs w:val="21"/>
              </w:rPr>
            </w:pPr>
            <w:r>
              <w:rPr>
                <w:rFonts w:hint="eastAsia"/>
                <w:bCs/>
                <w:szCs w:val="21"/>
              </w:rPr>
              <w:t>教学内容</w:t>
            </w:r>
          </w:p>
        </w:tc>
        <w:tc>
          <w:tcPr>
            <w:tcW w:w="2041" w:type="dxa"/>
            <w:shd w:val="clear" w:color="auto" w:fill="FFFFFF"/>
            <w:noWrap w:val="0"/>
            <w:vAlign w:val="top"/>
          </w:tcPr>
          <w:p>
            <w:pPr>
              <w:jc w:val="center"/>
              <w:rPr>
                <w:rFonts w:hint="eastAsia"/>
                <w:bCs/>
                <w:szCs w:val="21"/>
              </w:rPr>
            </w:pPr>
            <w:r>
              <w:rPr>
                <w:bCs/>
                <w:szCs w:val="21"/>
              </w:rPr>
              <w:t>支撑的</w:t>
            </w:r>
          </w:p>
          <w:p>
            <w:pPr>
              <w:jc w:val="center"/>
              <w:rPr>
                <w:bCs/>
                <w:szCs w:val="21"/>
              </w:rPr>
            </w:pPr>
            <w:r>
              <w:rPr>
                <w:bCs/>
                <w:szCs w:val="21"/>
              </w:rPr>
              <w:t>课程目标</w:t>
            </w:r>
          </w:p>
        </w:tc>
        <w:tc>
          <w:tcPr>
            <w:tcW w:w="1361" w:type="dxa"/>
            <w:shd w:val="clear" w:color="auto" w:fill="FFFFFF"/>
            <w:noWrap w:val="0"/>
            <w:vAlign w:val="center"/>
          </w:tcPr>
          <w:p>
            <w:pPr>
              <w:jc w:val="center"/>
              <w:rPr>
                <w:bCs/>
                <w:szCs w:val="21"/>
              </w:rPr>
            </w:pPr>
            <w:r>
              <w:rPr>
                <w:bCs/>
                <w:szCs w:val="21"/>
              </w:rPr>
              <w:t>支撑的毕业要求指标点</w:t>
            </w:r>
          </w:p>
        </w:tc>
        <w:tc>
          <w:tcPr>
            <w:tcW w:w="851" w:type="dxa"/>
            <w:shd w:val="clear" w:color="auto" w:fill="FFFFFF"/>
            <w:noWrap w:val="0"/>
            <w:vAlign w:val="center"/>
          </w:tcPr>
          <w:p>
            <w:pPr>
              <w:jc w:val="center"/>
              <w:rPr>
                <w:rFonts w:hint="eastAsia"/>
                <w:bCs/>
                <w:szCs w:val="21"/>
              </w:rPr>
            </w:pPr>
            <w:r>
              <w:rPr>
                <w:bCs/>
                <w:szCs w:val="21"/>
              </w:rPr>
              <w:t>时间分配/</w:t>
            </w:r>
            <w:r>
              <w:rPr>
                <w:rFonts w:hint="eastAsia"/>
                <w:bCs/>
                <w:szCs w:val="21"/>
              </w:rPr>
              <w:t>时</w:t>
            </w:r>
          </w:p>
        </w:tc>
        <w:tc>
          <w:tcPr>
            <w:tcW w:w="1417" w:type="dxa"/>
            <w:shd w:val="clear" w:color="auto" w:fill="FFFFFF"/>
            <w:noWrap w:val="0"/>
            <w:vAlign w:val="center"/>
          </w:tcPr>
          <w:p>
            <w:pPr>
              <w:jc w:val="center"/>
              <w:rPr>
                <w:bCs/>
                <w:szCs w:val="21"/>
              </w:rPr>
            </w:pPr>
            <w:r>
              <w:rPr>
                <w:bCs/>
                <w:szCs w:val="21"/>
              </w:rPr>
              <w:t>教学形式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05" w:type="dxa"/>
            <w:noWrap w:val="0"/>
            <w:vAlign w:val="center"/>
          </w:tcPr>
          <w:p>
            <w:pPr>
              <w:jc w:val="center"/>
              <w:rPr>
                <w:szCs w:val="21"/>
              </w:rPr>
            </w:pPr>
            <w:r>
              <w:rPr>
                <w:szCs w:val="21"/>
              </w:rPr>
              <w:t>1</w:t>
            </w:r>
          </w:p>
        </w:tc>
        <w:tc>
          <w:tcPr>
            <w:tcW w:w="2803" w:type="dxa"/>
            <w:noWrap w:val="0"/>
            <w:vAlign w:val="top"/>
          </w:tcPr>
          <w:p>
            <w:pPr>
              <w:rPr>
                <w:rFonts w:hint="eastAsia"/>
              </w:rPr>
            </w:pPr>
            <w:r>
              <w:rPr>
                <w:rFonts w:hint="eastAsia"/>
              </w:rPr>
              <w:t>绪论</w:t>
            </w:r>
          </w:p>
        </w:tc>
        <w:tc>
          <w:tcPr>
            <w:tcW w:w="2041" w:type="dxa"/>
            <w:noWrap w:val="0"/>
            <w:vAlign w:val="center"/>
          </w:tcPr>
          <w:p>
            <w:pPr>
              <w:jc w:val="center"/>
              <w:rPr>
                <w:rFonts w:hint="eastAsia"/>
                <w:szCs w:val="21"/>
              </w:rPr>
            </w:pPr>
            <w:r>
              <w:rPr>
                <w:szCs w:val="21"/>
              </w:rPr>
              <w:t>目标1</w:t>
            </w:r>
            <w:r>
              <w:rPr>
                <w:rFonts w:hint="eastAsia"/>
                <w:szCs w:val="21"/>
              </w:rPr>
              <w:t>、4</w:t>
            </w:r>
          </w:p>
        </w:tc>
        <w:tc>
          <w:tcPr>
            <w:tcW w:w="1361" w:type="dxa"/>
            <w:noWrap w:val="0"/>
            <w:vAlign w:val="center"/>
          </w:tcPr>
          <w:p>
            <w:pPr>
              <w:jc w:val="center"/>
              <w:rPr>
                <w:rFonts w:hint="eastAsia"/>
                <w:szCs w:val="21"/>
              </w:rPr>
            </w:pPr>
            <w:r>
              <w:rPr>
                <w:rFonts w:hint="eastAsia"/>
                <w:szCs w:val="21"/>
              </w:rPr>
              <w:t>1、3、6、8</w:t>
            </w:r>
          </w:p>
        </w:tc>
        <w:tc>
          <w:tcPr>
            <w:tcW w:w="851" w:type="dxa"/>
            <w:noWrap w:val="0"/>
            <w:vAlign w:val="center"/>
          </w:tcPr>
          <w:p>
            <w:pPr>
              <w:jc w:val="center"/>
              <w:rPr>
                <w:rFonts w:hint="eastAsia"/>
                <w:szCs w:val="21"/>
              </w:rPr>
            </w:pPr>
            <w:r>
              <w:rPr>
                <w:rFonts w:hint="eastAsia"/>
                <w:szCs w:val="21"/>
              </w:rPr>
              <w:t>2</w:t>
            </w:r>
          </w:p>
        </w:tc>
        <w:tc>
          <w:tcPr>
            <w:tcW w:w="1417" w:type="dxa"/>
            <w:noWrap w:val="0"/>
            <w:vAlign w:val="center"/>
          </w:tcPr>
          <w:p>
            <w:pPr>
              <w:jc w:val="center"/>
              <w:rPr>
                <w:szCs w:val="21"/>
              </w:rPr>
            </w:pPr>
            <w:r>
              <w:rPr>
                <w:rFonts w:hint="eastAsia"/>
                <w:szCs w:val="21"/>
              </w:rPr>
              <w:t>讲</w:t>
            </w:r>
            <w:r>
              <w:rPr>
                <w:szCs w:val="21"/>
              </w:rPr>
              <w:t>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05" w:type="dxa"/>
            <w:noWrap w:val="0"/>
            <w:vAlign w:val="center"/>
          </w:tcPr>
          <w:p>
            <w:pPr>
              <w:jc w:val="center"/>
              <w:rPr>
                <w:szCs w:val="21"/>
              </w:rPr>
            </w:pPr>
            <w:r>
              <w:rPr>
                <w:szCs w:val="21"/>
              </w:rPr>
              <w:t>2</w:t>
            </w:r>
          </w:p>
        </w:tc>
        <w:tc>
          <w:tcPr>
            <w:tcW w:w="2803" w:type="dxa"/>
            <w:noWrap w:val="0"/>
            <w:vAlign w:val="top"/>
          </w:tcPr>
          <w:p>
            <w:pPr>
              <w:rPr>
                <w:rFonts w:hint="eastAsia"/>
              </w:rPr>
            </w:pPr>
            <w:r>
              <w:rPr>
                <w:rFonts w:hint="eastAsia"/>
              </w:rPr>
              <w:t>化学制药原理与设备</w:t>
            </w:r>
          </w:p>
        </w:tc>
        <w:tc>
          <w:tcPr>
            <w:tcW w:w="2041" w:type="dxa"/>
            <w:noWrap w:val="0"/>
            <w:vAlign w:val="center"/>
          </w:tcPr>
          <w:p>
            <w:pPr>
              <w:jc w:val="center"/>
              <w:rPr>
                <w:szCs w:val="21"/>
              </w:rPr>
            </w:pPr>
            <w:r>
              <w:rPr>
                <w:szCs w:val="21"/>
              </w:rPr>
              <w:t>目标</w:t>
            </w:r>
            <w:r>
              <w:rPr>
                <w:rFonts w:hint="eastAsia"/>
                <w:szCs w:val="21"/>
              </w:rPr>
              <w:t>2</w:t>
            </w:r>
          </w:p>
        </w:tc>
        <w:tc>
          <w:tcPr>
            <w:tcW w:w="1361" w:type="dxa"/>
            <w:noWrap w:val="0"/>
            <w:vAlign w:val="center"/>
          </w:tcPr>
          <w:p>
            <w:pPr>
              <w:jc w:val="center"/>
              <w:rPr>
                <w:rFonts w:hint="eastAsia"/>
                <w:szCs w:val="21"/>
              </w:rPr>
            </w:pPr>
            <w:r>
              <w:rPr>
                <w:rFonts w:hint="eastAsia"/>
                <w:szCs w:val="21"/>
              </w:rPr>
              <w:t>1、3、6、8</w:t>
            </w:r>
          </w:p>
        </w:tc>
        <w:tc>
          <w:tcPr>
            <w:tcW w:w="851" w:type="dxa"/>
            <w:noWrap w:val="0"/>
            <w:vAlign w:val="top"/>
          </w:tcPr>
          <w:p>
            <w:pPr>
              <w:jc w:val="center"/>
              <w:rPr>
                <w:rFonts w:hint="eastAsia"/>
              </w:rPr>
            </w:pPr>
            <w:r>
              <w:rPr>
                <w:rFonts w:hint="eastAsia"/>
                <w:szCs w:val="21"/>
              </w:rPr>
              <w:t>6</w:t>
            </w:r>
          </w:p>
        </w:tc>
        <w:tc>
          <w:tcPr>
            <w:tcW w:w="1417" w:type="dxa"/>
            <w:noWrap w:val="0"/>
            <w:vAlign w:val="center"/>
          </w:tcPr>
          <w:p>
            <w:pPr>
              <w:jc w:val="center"/>
              <w:rPr>
                <w:szCs w:val="21"/>
              </w:rPr>
            </w:pPr>
            <w:r>
              <w:rPr>
                <w:rFonts w:hint="eastAsia"/>
                <w:szCs w:val="21"/>
              </w:rPr>
              <w:t>讲授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05" w:type="dxa"/>
            <w:noWrap w:val="0"/>
            <w:vAlign w:val="center"/>
          </w:tcPr>
          <w:p>
            <w:pPr>
              <w:jc w:val="center"/>
              <w:rPr>
                <w:szCs w:val="21"/>
              </w:rPr>
            </w:pPr>
            <w:r>
              <w:rPr>
                <w:szCs w:val="21"/>
              </w:rPr>
              <w:t>3</w:t>
            </w:r>
          </w:p>
        </w:tc>
        <w:tc>
          <w:tcPr>
            <w:tcW w:w="2803" w:type="dxa"/>
            <w:noWrap w:val="0"/>
            <w:vAlign w:val="top"/>
          </w:tcPr>
          <w:p>
            <w:pPr>
              <w:rPr>
                <w:rFonts w:hint="eastAsia"/>
              </w:rPr>
            </w:pPr>
            <w:r>
              <w:rPr>
                <w:rFonts w:hint="eastAsia"/>
              </w:rPr>
              <w:t>生物制药工程</w:t>
            </w:r>
          </w:p>
        </w:tc>
        <w:tc>
          <w:tcPr>
            <w:tcW w:w="2041" w:type="dxa"/>
            <w:noWrap w:val="0"/>
            <w:vAlign w:val="center"/>
          </w:tcPr>
          <w:p>
            <w:pPr>
              <w:jc w:val="center"/>
              <w:rPr>
                <w:rFonts w:hint="eastAsia"/>
                <w:szCs w:val="21"/>
              </w:rPr>
            </w:pPr>
            <w:r>
              <w:rPr>
                <w:szCs w:val="21"/>
              </w:rPr>
              <w:t>目标</w:t>
            </w:r>
            <w:r>
              <w:rPr>
                <w:rFonts w:hint="eastAsia"/>
                <w:szCs w:val="21"/>
              </w:rPr>
              <w:t>2</w:t>
            </w:r>
          </w:p>
        </w:tc>
        <w:tc>
          <w:tcPr>
            <w:tcW w:w="1361" w:type="dxa"/>
            <w:noWrap w:val="0"/>
            <w:vAlign w:val="center"/>
          </w:tcPr>
          <w:p>
            <w:pPr>
              <w:jc w:val="center"/>
              <w:rPr>
                <w:rFonts w:hint="eastAsia"/>
                <w:szCs w:val="21"/>
              </w:rPr>
            </w:pPr>
            <w:r>
              <w:rPr>
                <w:rFonts w:hint="eastAsia"/>
                <w:szCs w:val="21"/>
              </w:rPr>
              <w:t>1、3、6、8</w:t>
            </w:r>
          </w:p>
        </w:tc>
        <w:tc>
          <w:tcPr>
            <w:tcW w:w="851" w:type="dxa"/>
            <w:noWrap w:val="0"/>
            <w:vAlign w:val="top"/>
          </w:tcPr>
          <w:p>
            <w:pPr>
              <w:jc w:val="center"/>
              <w:rPr>
                <w:rFonts w:hint="eastAsia"/>
              </w:rPr>
            </w:pPr>
            <w:r>
              <w:rPr>
                <w:rFonts w:hint="eastAsia"/>
              </w:rPr>
              <w:t>4</w:t>
            </w:r>
          </w:p>
        </w:tc>
        <w:tc>
          <w:tcPr>
            <w:tcW w:w="1417" w:type="dxa"/>
            <w:noWrap w:val="0"/>
            <w:vAlign w:val="center"/>
          </w:tcPr>
          <w:p>
            <w:pPr>
              <w:jc w:val="center"/>
              <w:rPr>
                <w:szCs w:val="21"/>
              </w:rPr>
            </w:pPr>
            <w:r>
              <w:rPr>
                <w:rFonts w:hint="eastAsia"/>
                <w:szCs w:val="21"/>
              </w:rPr>
              <w:t>讲授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05" w:type="dxa"/>
            <w:noWrap w:val="0"/>
            <w:vAlign w:val="center"/>
          </w:tcPr>
          <w:p>
            <w:pPr>
              <w:jc w:val="center"/>
              <w:rPr>
                <w:szCs w:val="21"/>
              </w:rPr>
            </w:pPr>
            <w:r>
              <w:rPr>
                <w:szCs w:val="21"/>
              </w:rPr>
              <w:t>4</w:t>
            </w:r>
          </w:p>
        </w:tc>
        <w:tc>
          <w:tcPr>
            <w:tcW w:w="2803" w:type="dxa"/>
            <w:noWrap w:val="0"/>
            <w:vAlign w:val="top"/>
          </w:tcPr>
          <w:p>
            <w:pPr>
              <w:rPr>
                <w:rFonts w:hint="eastAsia"/>
              </w:rPr>
            </w:pPr>
            <w:r>
              <w:rPr>
                <w:rFonts w:hint="eastAsia"/>
              </w:rPr>
              <w:t>中药与天然药物制药技术与工程</w:t>
            </w:r>
          </w:p>
        </w:tc>
        <w:tc>
          <w:tcPr>
            <w:tcW w:w="2041" w:type="dxa"/>
            <w:noWrap w:val="0"/>
            <w:vAlign w:val="center"/>
          </w:tcPr>
          <w:p>
            <w:pPr>
              <w:jc w:val="center"/>
              <w:rPr>
                <w:szCs w:val="21"/>
              </w:rPr>
            </w:pPr>
            <w:r>
              <w:rPr>
                <w:szCs w:val="21"/>
              </w:rPr>
              <w:t>目标</w:t>
            </w:r>
            <w:r>
              <w:rPr>
                <w:rFonts w:hint="eastAsia"/>
                <w:szCs w:val="21"/>
              </w:rPr>
              <w:t>2</w:t>
            </w:r>
          </w:p>
        </w:tc>
        <w:tc>
          <w:tcPr>
            <w:tcW w:w="1361" w:type="dxa"/>
            <w:noWrap w:val="0"/>
            <w:vAlign w:val="center"/>
          </w:tcPr>
          <w:p>
            <w:pPr>
              <w:jc w:val="center"/>
              <w:rPr>
                <w:szCs w:val="21"/>
              </w:rPr>
            </w:pPr>
            <w:r>
              <w:rPr>
                <w:rFonts w:hint="eastAsia"/>
                <w:szCs w:val="21"/>
              </w:rPr>
              <w:t>1、3、6、8</w:t>
            </w:r>
          </w:p>
        </w:tc>
        <w:tc>
          <w:tcPr>
            <w:tcW w:w="851" w:type="dxa"/>
            <w:noWrap w:val="0"/>
            <w:vAlign w:val="top"/>
          </w:tcPr>
          <w:p>
            <w:pPr>
              <w:jc w:val="center"/>
              <w:rPr>
                <w:rFonts w:hint="eastAsia"/>
              </w:rPr>
            </w:pPr>
            <w:r>
              <w:rPr>
                <w:rFonts w:hint="eastAsia"/>
              </w:rPr>
              <w:t>4</w:t>
            </w:r>
          </w:p>
        </w:tc>
        <w:tc>
          <w:tcPr>
            <w:tcW w:w="1417" w:type="dxa"/>
            <w:noWrap w:val="0"/>
            <w:vAlign w:val="center"/>
          </w:tcPr>
          <w:p>
            <w:pPr>
              <w:jc w:val="center"/>
              <w:rPr>
                <w:szCs w:val="21"/>
              </w:rPr>
            </w:pPr>
            <w:r>
              <w:rPr>
                <w:rFonts w:hint="eastAsia"/>
                <w:szCs w:val="21"/>
              </w:rPr>
              <w:t>讲授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05" w:type="dxa"/>
            <w:noWrap w:val="0"/>
            <w:vAlign w:val="center"/>
          </w:tcPr>
          <w:p>
            <w:pPr>
              <w:jc w:val="center"/>
              <w:rPr>
                <w:szCs w:val="21"/>
              </w:rPr>
            </w:pPr>
            <w:r>
              <w:rPr>
                <w:szCs w:val="21"/>
              </w:rPr>
              <w:t>5</w:t>
            </w:r>
          </w:p>
        </w:tc>
        <w:tc>
          <w:tcPr>
            <w:tcW w:w="2803" w:type="dxa"/>
            <w:noWrap w:val="0"/>
            <w:vAlign w:val="top"/>
          </w:tcPr>
          <w:p>
            <w:pPr>
              <w:rPr>
                <w:rFonts w:hint="eastAsia"/>
              </w:rPr>
            </w:pPr>
            <w:r>
              <w:rPr>
                <w:rFonts w:hint="eastAsia"/>
              </w:rPr>
              <w:t>制药分离工程与设备</w:t>
            </w:r>
          </w:p>
        </w:tc>
        <w:tc>
          <w:tcPr>
            <w:tcW w:w="2041" w:type="dxa"/>
            <w:noWrap w:val="0"/>
            <w:vAlign w:val="center"/>
          </w:tcPr>
          <w:p>
            <w:pPr>
              <w:jc w:val="center"/>
              <w:rPr>
                <w:rFonts w:hint="eastAsia"/>
                <w:szCs w:val="21"/>
              </w:rPr>
            </w:pPr>
            <w:r>
              <w:rPr>
                <w:szCs w:val="21"/>
              </w:rPr>
              <w:t>目标</w:t>
            </w:r>
            <w:r>
              <w:rPr>
                <w:rFonts w:hint="eastAsia"/>
                <w:szCs w:val="21"/>
              </w:rPr>
              <w:t>3</w:t>
            </w:r>
          </w:p>
        </w:tc>
        <w:tc>
          <w:tcPr>
            <w:tcW w:w="1361" w:type="dxa"/>
            <w:noWrap w:val="0"/>
            <w:vAlign w:val="center"/>
          </w:tcPr>
          <w:p>
            <w:pPr>
              <w:jc w:val="center"/>
              <w:rPr>
                <w:szCs w:val="21"/>
              </w:rPr>
            </w:pPr>
            <w:r>
              <w:rPr>
                <w:rFonts w:hint="eastAsia"/>
                <w:szCs w:val="21"/>
              </w:rPr>
              <w:t>1、3、6、8</w:t>
            </w:r>
          </w:p>
        </w:tc>
        <w:tc>
          <w:tcPr>
            <w:tcW w:w="851" w:type="dxa"/>
            <w:noWrap w:val="0"/>
            <w:vAlign w:val="top"/>
          </w:tcPr>
          <w:p>
            <w:pPr>
              <w:jc w:val="center"/>
              <w:rPr>
                <w:rFonts w:hint="eastAsia"/>
              </w:rPr>
            </w:pPr>
            <w:r>
              <w:rPr>
                <w:rFonts w:hint="eastAsia"/>
                <w:szCs w:val="21"/>
              </w:rPr>
              <w:t>4</w:t>
            </w:r>
          </w:p>
        </w:tc>
        <w:tc>
          <w:tcPr>
            <w:tcW w:w="1417" w:type="dxa"/>
            <w:noWrap w:val="0"/>
            <w:vAlign w:val="center"/>
          </w:tcPr>
          <w:p>
            <w:pPr>
              <w:jc w:val="center"/>
              <w:rPr>
                <w:szCs w:val="21"/>
              </w:rPr>
            </w:pPr>
            <w:r>
              <w:rPr>
                <w:rFonts w:hint="eastAsia"/>
                <w:szCs w:val="21"/>
              </w:rPr>
              <w:t>讲授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05" w:type="dxa"/>
            <w:noWrap w:val="0"/>
            <w:vAlign w:val="center"/>
          </w:tcPr>
          <w:p>
            <w:pPr>
              <w:jc w:val="center"/>
              <w:rPr>
                <w:szCs w:val="21"/>
              </w:rPr>
            </w:pPr>
            <w:r>
              <w:rPr>
                <w:szCs w:val="21"/>
              </w:rPr>
              <w:t>6</w:t>
            </w:r>
          </w:p>
        </w:tc>
        <w:tc>
          <w:tcPr>
            <w:tcW w:w="2803" w:type="dxa"/>
            <w:noWrap w:val="0"/>
            <w:vAlign w:val="top"/>
          </w:tcPr>
          <w:p>
            <w:pPr>
              <w:rPr>
                <w:rFonts w:hint="eastAsia"/>
              </w:rPr>
            </w:pPr>
            <w:r>
              <w:rPr>
                <w:rFonts w:hint="eastAsia"/>
              </w:rPr>
              <w:t>药物制剂工程与设备</w:t>
            </w:r>
          </w:p>
        </w:tc>
        <w:tc>
          <w:tcPr>
            <w:tcW w:w="2041" w:type="dxa"/>
            <w:noWrap w:val="0"/>
            <w:vAlign w:val="center"/>
          </w:tcPr>
          <w:p>
            <w:pPr>
              <w:jc w:val="center"/>
              <w:rPr>
                <w:szCs w:val="21"/>
              </w:rPr>
            </w:pPr>
            <w:r>
              <w:rPr>
                <w:szCs w:val="21"/>
              </w:rPr>
              <w:t>目标</w:t>
            </w:r>
            <w:r>
              <w:rPr>
                <w:rFonts w:hint="eastAsia"/>
                <w:szCs w:val="21"/>
              </w:rPr>
              <w:t>3</w:t>
            </w:r>
          </w:p>
        </w:tc>
        <w:tc>
          <w:tcPr>
            <w:tcW w:w="1361" w:type="dxa"/>
            <w:noWrap w:val="0"/>
            <w:vAlign w:val="center"/>
          </w:tcPr>
          <w:p>
            <w:pPr>
              <w:jc w:val="center"/>
              <w:rPr>
                <w:szCs w:val="21"/>
              </w:rPr>
            </w:pPr>
            <w:r>
              <w:rPr>
                <w:rFonts w:hint="eastAsia"/>
                <w:szCs w:val="21"/>
              </w:rPr>
              <w:t>1、3、6、8</w:t>
            </w:r>
          </w:p>
        </w:tc>
        <w:tc>
          <w:tcPr>
            <w:tcW w:w="851" w:type="dxa"/>
            <w:noWrap w:val="0"/>
            <w:vAlign w:val="top"/>
          </w:tcPr>
          <w:p>
            <w:pPr>
              <w:jc w:val="center"/>
              <w:rPr>
                <w:rFonts w:hint="eastAsia"/>
              </w:rPr>
            </w:pPr>
            <w:r>
              <w:rPr>
                <w:rFonts w:hint="eastAsia"/>
              </w:rPr>
              <w:t>4</w:t>
            </w:r>
          </w:p>
        </w:tc>
        <w:tc>
          <w:tcPr>
            <w:tcW w:w="1417" w:type="dxa"/>
            <w:noWrap w:val="0"/>
            <w:vAlign w:val="center"/>
          </w:tcPr>
          <w:p>
            <w:pPr>
              <w:jc w:val="center"/>
              <w:rPr>
                <w:szCs w:val="21"/>
              </w:rPr>
            </w:pPr>
            <w:r>
              <w:rPr>
                <w:rFonts w:hint="eastAsia"/>
                <w:szCs w:val="21"/>
              </w:rPr>
              <w:t>讲授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05" w:type="dxa"/>
            <w:noWrap w:val="0"/>
            <w:vAlign w:val="center"/>
          </w:tcPr>
          <w:p>
            <w:pPr>
              <w:jc w:val="center"/>
              <w:rPr>
                <w:rFonts w:hint="eastAsia"/>
                <w:szCs w:val="21"/>
              </w:rPr>
            </w:pPr>
            <w:r>
              <w:rPr>
                <w:rFonts w:hint="eastAsia"/>
                <w:szCs w:val="21"/>
              </w:rPr>
              <w:t>7</w:t>
            </w:r>
          </w:p>
        </w:tc>
        <w:tc>
          <w:tcPr>
            <w:tcW w:w="2803" w:type="dxa"/>
            <w:noWrap w:val="0"/>
            <w:vAlign w:val="top"/>
          </w:tcPr>
          <w:p>
            <w:pPr>
              <w:rPr>
                <w:rFonts w:hint="eastAsia"/>
              </w:rPr>
            </w:pPr>
            <w:r>
              <w:rPr>
                <w:rFonts w:hint="eastAsia"/>
              </w:rPr>
              <w:t>连续制造技术与设备</w:t>
            </w:r>
          </w:p>
        </w:tc>
        <w:tc>
          <w:tcPr>
            <w:tcW w:w="2041" w:type="dxa"/>
            <w:noWrap w:val="0"/>
            <w:vAlign w:val="center"/>
          </w:tcPr>
          <w:p>
            <w:pPr>
              <w:jc w:val="center"/>
              <w:rPr>
                <w:szCs w:val="21"/>
              </w:rPr>
            </w:pPr>
          </w:p>
        </w:tc>
        <w:tc>
          <w:tcPr>
            <w:tcW w:w="1361" w:type="dxa"/>
            <w:noWrap w:val="0"/>
            <w:vAlign w:val="center"/>
          </w:tcPr>
          <w:p>
            <w:pPr>
              <w:jc w:val="center"/>
              <w:rPr>
                <w:szCs w:val="21"/>
              </w:rPr>
            </w:pPr>
            <w:r>
              <w:rPr>
                <w:rFonts w:hint="eastAsia"/>
                <w:szCs w:val="21"/>
              </w:rPr>
              <w:t>1、3、6、8</w:t>
            </w:r>
          </w:p>
        </w:tc>
        <w:tc>
          <w:tcPr>
            <w:tcW w:w="851" w:type="dxa"/>
            <w:noWrap w:val="0"/>
            <w:vAlign w:val="top"/>
          </w:tcPr>
          <w:p>
            <w:pPr>
              <w:jc w:val="center"/>
              <w:rPr>
                <w:rFonts w:hint="eastAsia"/>
              </w:rPr>
            </w:pPr>
            <w:r>
              <w:rPr>
                <w:rFonts w:hint="eastAsia"/>
              </w:rPr>
              <w:t>2</w:t>
            </w:r>
          </w:p>
        </w:tc>
        <w:tc>
          <w:tcPr>
            <w:tcW w:w="1417" w:type="dxa"/>
            <w:noWrap w:val="0"/>
            <w:vAlign w:val="center"/>
          </w:tcPr>
          <w:p>
            <w:pPr>
              <w:jc w:val="center"/>
              <w:rPr>
                <w:rFonts w:hint="eastAsia"/>
                <w:szCs w:val="21"/>
              </w:rPr>
            </w:pPr>
            <w:r>
              <w:rPr>
                <w:rFonts w:hint="eastAsia"/>
                <w:szCs w:val="21"/>
              </w:rPr>
              <w:t>讲授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05" w:type="dxa"/>
            <w:noWrap w:val="0"/>
            <w:vAlign w:val="center"/>
          </w:tcPr>
          <w:p>
            <w:pPr>
              <w:jc w:val="center"/>
              <w:rPr>
                <w:rFonts w:hint="eastAsia"/>
                <w:szCs w:val="21"/>
              </w:rPr>
            </w:pPr>
            <w:r>
              <w:rPr>
                <w:rFonts w:hint="eastAsia"/>
                <w:szCs w:val="21"/>
              </w:rPr>
              <w:t>8</w:t>
            </w:r>
          </w:p>
        </w:tc>
        <w:tc>
          <w:tcPr>
            <w:tcW w:w="2803" w:type="dxa"/>
            <w:noWrap w:val="0"/>
            <w:vAlign w:val="top"/>
          </w:tcPr>
          <w:p>
            <w:pPr>
              <w:rPr>
                <w:rFonts w:hint="eastAsia"/>
              </w:rPr>
            </w:pPr>
            <w:r>
              <w:rPr>
                <w:rFonts w:hint="eastAsia"/>
              </w:rPr>
              <w:t>药品包装设备</w:t>
            </w:r>
          </w:p>
        </w:tc>
        <w:tc>
          <w:tcPr>
            <w:tcW w:w="2041" w:type="dxa"/>
            <w:noWrap w:val="0"/>
            <w:vAlign w:val="center"/>
          </w:tcPr>
          <w:p>
            <w:pPr>
              <w:jc w:val="center"/>
              <w:rPr>
                <w:szCs w:val="21"/>
              </w:rPr>
            </w:pPr>
            <w:r>
              <w:rPr>
                <w:szCs w:val="21"/>
              </w:rPr>
              <w:t>目标</w:t>
            </w:r>
            <w:r>
              <w:rPr>
                <w:rFonts w:hint="eastAsia"/>
                <w:szCs w:val="21"/>
              </w:rPr>
              <w:t>3</w:t>
            </w:r>
          </w:p>
        </w:tc>
        <w:tc>
          <w:tcPr>
            <w:tcW w:w="1361" w:type="dxa"/>
            <w:noWrap w:val="0"/>
            <w:vAlign w:val="center"/>
          </w:tcPr>
          <w:p>
            <w:pPr>
              <w:jc w:val="center"/>
              <w:rPr>
                <w:szCs w:val="21"/>
              </w:rPr>
            </w:pPr>
            <w:r>
              <w:rPr>
                <w:rFonts w:hint="eastAsia"/>
                <w:szCs w:val="21"/>
              </w:rPr>
              <w:t>1、3、6、8</w:t>
            </w:r>
          </w:p>
        </w:tc>
        <w:tc>
          <w:tcPr>
            <w:tcW w:w="851" w:type="dxa"/>
            <w:noWrap w:val="0"/>
            <w:vAlign w:val="top"/>
          </w:tcPr>
          <w:p>
            <w:pPr>
              <w:jc w:val="center"/>
              <w:rPr>
                <w:rFonts w:hint="eastAsia"/>
              </w:rPr>
            </w:pPr>
            <w:r>
              <w:rPr>
                <w:rFonts w:hint="eastAsia"/>
              </w:rPr>
              <w:t>2</w:t>
            </w:r>
          </w:p>
        </w:tc>
        <w:tc>
          <w:tcPr>
            <w:tcW w:w="1417" w:type="dxa"/>
            <w:noWrap w:val="0"/>
            <w:vAlign w:val="center"/>
          </w:tcPr>
          <w:p>
            <w:pPr>
              <w:jc w:val="center"/>
              <w:rPr>
                <w:szCs w:val="21"/>
              </w:rPr>
            </w:pPr>
            <w:r>
              <w:rPr>
                <w:rFonts w:hint="eastAsia"/>
                <w:szCs w:val="21"/>
              </w:rPr>
              <w:t>讲授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05" w:type="dxa"/>
            <w:noWrap w:val="0"/>
            <w:vAlign w:val="center"/>
          </w:tcPr>
          <w:p>
            <w:pPr>
              <w:jc w:val="center"/>
              <w:rPr>
                <w:rFonts w:hint="eastAsia"/>
                <w:szCs w:val="21"/>
              </w:rPr>
            </w:pPr>
            <w:r>
              <w:rPr>
                <w:rFonts w:hint="eastAsia"/>
                <w:szCs w:val="21"/>
              </w:rPr>
              <w:t>9</w:t>
            </w:r>
          </w:p>
        </w:tc>
        <w:tc>
          <w:tcPr>
            <w:tcW w:w="2803" w:type="dxa"/>
            <w:noWrap w:val="0"/>
            <w:vAlign w:val="top"/>
          </w:tcPr>
          <w:p>
            <w:pPr>
              <w:rPr>
                <w:rFonts w:hint="eastAsia"/>
              </w:rPr>
            </w:pPr>
            <w:r>
              <w:rPr>
                <w:rFonts w:hint="eastAsia"/>
              </w:rPr>
              <w:t>药厂车间工艺设计</w:t>
            </w:r>
          </w:p>
        </w:tc>
        <w:tc>
          <w:tcPr>
            <w:tcW w:w="2041" w:type="dxa"/>
            <w:noWrap w:val="0"/>
            <w:vAlign w:val="center"/>
          </w:tcPr>
          <w:p>
            <w:pPr>
              <w:jc w:val="center"/>
              <w:rPr>
                <w:rFonts w:hint="eastAsia"/>
                <w:szCs w:val="21"/>
              </w:rPr>
            </w:pPr>
            <w:r>
              <w:rPr>
                <w:szCs w:val="21"/>
              </w:rPr>
              <w:t>目标</w:t>
            </w:r>
            <w:r>
              <w:rPr>
                <w:rFonts w:hint="eastAsia"/>
                <w:szCs w:val="21"/>
              </w:rPr>
              <w:t>4</w:t>
            </w:r>
          </w:p>
        </w:tc>
        <w:tc>
          <w:tcPr>
            <w:tcW w:w="1361" w:type="dxa"/>
            <w:noWrap w:val="0"/>
            <w:vAlign w:val="center"/>
          </w:tcPr>
          <w:p>
            <w:pPr>
              <w:jc w:val="center"/>
              <w:rPr>
                <w:szCs w:val="21"/>
              </w:rPr>
            </w:pPr>
            <w:r>
              <w:rPr>
                <w:rFonts w:hint="eastAsia"/>
                <w:szCs w:val="21"/>
              </w:rPr>
              <w:t>1、3、6、8</w:t>
            </w:r>
          </w:p>
        </w:tc>
        <w:tc>
          <w:tcPr>
            <w:tcW w:w="851" w:type="dxa"/>
            <w:noWrap w:val="0"/>
            <w:vAlign w:val="top"/>
          </w:tcPr>
          <w:p>
            <w:pPr>
              <w:jc w:val="center"/>
              <w:rPr>
                <w:rFonts w:hint="eastAsia"/>
              </w:rPr>
            </w:pPr>
            <w:r>
              <w:rPr>
                <w:rFonts w:hint="eastAsia"/>
              </w:rPr>
              <w:t>2</w:t>
            </w:r>
          </w:p>
        </w:tc>
        <w:tc>
          <w:tcPr>
            <w:tcW w:w="1417" w:type="dxa"/>
            <w:noWrap w:val="0"/>
            <w:vAlign w:val="center"/>
          </w:tcPr>
          <w:p>
            <w:pPr>
              <w:jc w:val="center"/>
              <w:rPr>
                <w:szCs w:val="21"/>
              </w:rPr>
            </w:pPr>
            <w:r>
              <w:rPr>
                <w:rFonts w:hint="eastAsia"/>
                <w:szCs w:val="21"/>
              </w:rPr>
              <w:t>讲授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05" w:type="dxa"/>
            <w:noWrap w:val="0"/>
            <w:vAlign w:val="center"/>
          </w:tcPr>
          <w:p>
            <w:pPr>
              <w:jc w:val="center"/>
              <w:rPr>
                <w:rFonts w:hint="eastAsia"/>
                <w:szCs w:val="21"/>
              </w:rPr>
            </w:pPr>
            <w:r>
              <w:rPr>
                <w:rFonts w:hint="eastAsia"/>
                <w:szCs w:val="21"/>
              </w:rPr>
              <w:t>10</w:t>
            </w:r>
          </w:p>
        </w:tc>
        <w:tc>
          <w:tcPr>
            <w:tcW w:w="2803" w:type="dxa"/>
            <w:noWrap w:val="0"/>
            <w:vAlign w:val="top"/>
          </w:tcPr>
          <w:p>
            <w:pPr>
              <w:rPr>
                <w:rFonts w:hint="eastAsia"/>
              </w:rPr>
            </w:pPr>
            <w:r>
              <w:rPr>
                <w:rFonts w:hint="eastAsia"/>
              </w:rPr>
              <w:t>考试</w:t>
            </w:r>
          </w:p>
        </w:tc>
        <w:tc>
          <w:tcPr>
            <w:tcW w:w="2041" w:type="dxa"/>
            <w:noWrap w:val="0"/>
            <w:vAlign w:val="center"/>
          </w:tcPr>
          <w:p>
            <w:pPr>
              <w:jc w:val="center"/>
              <w:rPr>
                <w:szCs w:val="21"/>
              </w:rPr>
            </w:pPr>
            <w:r>
              <w:rPr>
                <w:szCs w:val="21"/>
              </w:rPr>
              <w:t>目标</w:t>
            </w:r>
            <w:r>
              <w:rPr>
                <w:rFonts w:hint="eastAsia"/>
                <w:szCs w:val="21"/>
              </w:rPr>
              <w:t>1-4</w:t>
            </w:r>
          </w:p>
        </w:tc>
        <w:tc>
          <w:tcPr>
            <w:tcW w:w="1361" w:type="dxa"/>
            <w:noWrap w:val="0"/>
            <w:vAlign w:val="center"/>
          </w:tcPr>
          <w:p>
            <w:pPr>
              <w:jc w:val="center"/>
              <w:rPr>
                <w:szCs w:val="21"/>
              </w:rPr>
            </w:pPr>
            <w:r>
              <w:rPr>
                <w:rFonts w:hint="eastAsia"/>
                <w:szCs w:val="21"/>
              </w:rPr>
              <w:t>1、3、6、8</w:t>
            </w:r>
          </w:p>
        </w:tc>
        <w:tc>
          <w:tcPr>
            <w:tcW w:w="851" w:type="dxa"/>
            <w:noWrap w:val="0"/>
            <w:vAlign w:val="top"/>
          </w:tcPr>
          <w:p>
            <w:pPr>
              <w:jc w:val="center"/>
              <w:rPr>
                <w:rFonts w:hint="eastAsia"/>
              </w:rPr>
            </w:pPr>
            <w:r>
              <w:rPr>
                <w:rFonts w:hint="eastAsia"/>
              </w:rPr>
              <w:t>2</w:t>
            </w:r>
          </w:p>
        </w:tc>
        <w:tc>
          <w:tcPr>
            <w:tcW w:w="1417" w:type="dxa"/>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6910" w:type="dxa"/>
            <w:gridSpan w:val="4"/>
            <w:noWrap w:val="0"/>
            <w:vAlign w:val="center"/>
          </w:tcPr>
          <w:p>
            <w:pPr>
              <w:jc w:val="center"/>
              <w:rPr>
                <w:szCs w:val="21"/>
              </w:rPr>
            </w:pPr>
            <w:r>
              <w:rPr>
                <w:bCs/>
                <w:szCs w:val="21"/>
              </w:rPr>
              <w:t>合    计</w:t>
            </w:r>
          </w:p>
        </w:tc>
        <w:tc>
          <w:tcPr>
            <w:tcW w:w="851" w:type="dxa"/>
            <w:noWrap w:val="0"/>
            <w:vAlign w:val="center"/>
          </w:tcPr>
          <w:p>
            <w:pPr>
              <w:jc w:val="center"/>
              <w:rPr>
                <w:rFonts w:hint="eastAsia"/>
                <w:szCs w:val="21"/>
              </w:rPr>
            </w:pPr>
            <w:r>
              <w:rPr>
                <w:rFonts w:hint="eastAsia"/>
                <w:szCs w:val="21"/>
              </w:rPr>
              <w:t>32</w:t>
            </w:r>
          </w:p>
        </w:tc>
        <w:tc>
          <w:tcPr>
            <w:tcW w:w="1417" w:type="dxa"/>
            <w:noWrap w:val="0"/>
            <w:vAlign w:val="center"/>
          </w:tcPr>
          <w:p>
            <w:pPr>
              <w:jc w:val="center"/>
              <w:rPr>
                <w:szCs w:val="21"/>
              </w:rPr>
            </w:pPr>
          </w:p>
        </w:tc>
      </w:tr>
    </w:tbl>
    <w:p>
      <w:pPr>
        <w:spacing w:line="360" w:lineRule="auto"/>
        <w:ind w:firstLine="562" w:firstLineChars="200"/>
        <w:rPr>
          <w:rFonts w:hint="eastAsia"/>
          <w:b/>
          <w:sz w:val="28"/>
          <w:szCs w:val="28"/>
        </w:rPr>
      </w:pPr>
    </w:p>
    <w:p>
      <w:pPr>
        <w:spacing w:line="360" w:lineRule="auto"/>
        <w:ind w:firstLine="551" w:firstLineChars="196"/>
        <w:rPr>
          <w:rFonts w:hint="eastAsia"/>
          <w:b/>
          <w:sz w:val="28"/>
          <w:szCs w:val="28"/>
        </w:rPr>
      </w:pPr>
      <w:r>
        <w:rPr>
          <w:rFonts w:hint="eastAsia"/>
          <w:b/>
          <w:sz w:val="28"/>
          <w:szCs w:val="28"/>
        </w:rPr>
        <w:t>四、课内实验（实践）</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1467"/>
        <w:gridCol w:w="3568"/>
        <w:gridCol w:w="735"/>
        <w:gridCol w:w="1155"/>
        <w:gridCol w:w="840"/>
        <w:gridCol w:w="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shd w:val="clear" w:color="auto" w:fill="FFFFFF"/>
            <w:noWrap w:val="0"/>
            <w:vAlign w:val="center"/>
          </w:tcPr>
          <w:p>
            <w:pPr>
              <w:adjustRightInd w:val="0"/>
              <w:snapToGrid w:val="0"/>
              <w:jc w:val="center"/>
              <w:rPr>
                <w:bCs/>
                <w:spacing w:val="-20"/>
                <w:szCs w:val="21"/>
              </w:rPr>
            </w:pPr>
            <w:r>
              <w:rPr>
                <w:bCs/>
                <w:spacing w:val="-20"/>
                <w:szCs w:val="21"/>
              </w:rPr>
              <w:t>序号</w:t>
            </w:r>
          </w:p>
        </w:tc>
        <w:tc>
          <w:tcPr>
            <w:tcW w:w="1467" w:type="dxa"/>
            <w:shd w:val="clear" w:color="auto" w:fill="FFFFFF"/>
            <w:noWrap w:val="0"/>
            <w:vAlign w:val="center"/>
          </w:tcPr>
          <w:p>
            <w:pPr>
              <w:adjustRightInd w:val="0"/>
              <w:snapToGrid w:val="0"/>
              <w:jc w:val="center"/>
              <w:rPr>
                <w:bCs/>
                <w:szCs w:val="21"/>
              </w:rPr>
            </w:pPr>
            <w:r>
              <w:rPr>
                <w:bCs/>
                <w:szCs w:val="21"/>
              </w:rPr>
              <w:t>实验项目名称</w:t>
            </w:r>
          </w:p>
        </w:tc>
        <w:tc>
          <w:tcPr>
            <w:tcW w:w="3568" w:type="dxa"/>
            <w:shd w:val="clear" w:color="auto" w:fill="FFFFFF"/>
            <w:noWrap w:val="0"/>
            <w:vAlign w:val="center"/>
          </w:tcPr>
          <w:p>
            <w:pPr>
              <w:adjustRightInd w:val="0"/>
              <w:snapToGrid w:val="0"/>
              <w:jc w:val="center"/>
              <w:rPr>
                <w:bCs/>
                <w:szCs w:val="21"/>
              </w:rPr>
            </w:pPr>
            <w:r>
              <w:rPr>
                <w:bCs/>
                <w:szCs w:val="21"/>
              </w:rPr>
              <w:t>实验内容及要求</w:t>
            </w:r>
          </w:p>
        </w:tc>
        <w:tc>
          <w:tcPr>
            <w:tcW w:w="735" w:type="dxa"/>
            <w:shd w:val="clear" w:color="auto" w:fill="FFFFFF"/>
            <w:noWrap w:val="0"/>
            <w:vAlign w:val="center"/>
          </w:tcPr>
          <w:p>
            <w:pPr>
              <w:adjustRightInd w:val="0"/>
              <w:snapToGrid w:val="0"/>
              <w:jc w:val="center"/>
              <w:rPr>
                <w:bCs/>
                <w:szCs w:val="21"/>
              </w:rPr>
            </w:pPr>
            <w:r>
              <w:rPr>
                <w:bCs/>
                <w:szCs w:val="21"/>
              </w:rPr>
              <w:t>学时</w:t>
            </w:r>
          </w:p>
        </w:tc>
        <w:tc>
          <w:tcPr>
            <w:tcW w:w="1155" w:type="dxa"/>
            <w:shd w:val="clear" w:color="auto" w:fill="FFFFFF"/>
            <w:noWrap w:val="0"/>
            <w:vAlign w:val="center"/>
          </w:tcPr>
          <w:p>
            <w:pPr>
              <w:adjustRightInd w:val="0"/>
              <w:snapToGrid w:val="0"/>
              <w:jc w:val="center"/>
              <w:rPr>
                <w:bCs/>
                <w:szCs w:val="21"/>
              </w:rPr>
            </w:pPr>
            <w:r>
              <w:rPr>
                <w:bCs/>
                <w:szCs w:val="21"/>
              </w:rPr>
              <w:t>对毕业要求的支撑</w:t>
            </w:r>
          </w:p>
        </w:tc>
        <w:tc>
          <w:tcPr>
            <w:tcW w:w="840" w:type="dxa"/>
            <w:shd w:val="clear" w:color="auto" w:fill="FFFFFF"/>
            <w:noWrap w:val="0"/>
            <w:tcMar>
              <w:left w:w="28" w:type="dxa"/>
              <w:right w:w="28" w:type="dxa"/>
            </w:tcMar>
            <w:vAlign w:val="center"/>
          </w:tcPr>
          <w:p>
            <w:pPr>
              <w:adjustRightInd w:val="0"/>
              <w:snapToGrid w:val="0"/>
              <w:jc w:val="center"/>
              <w:rPr>
                <w:bCs/>
                <w:szCs w:val="21"/>
              </w:rPr>
            </w:pPr>
            <w:r>
              <w:rPr>
                <w:bCs/>
                <w:szCs w:val="21"/>
              </w:rPr>
              <w:t>类型</w:t>
            </w:r>
          </w:p>
        </w:tc>
        <w:tc>
          <w:tcPr>
            <w:tcW w:w="630" w:type="dxa"/>
            <w:shd w:val="clear" w:color="auto" w:fill="FFFFFF"/>
            <w:noWrap w:val="0"/>
            <w:tcMar>
              <w:left w:w="28" w:type="dxa"/>
              <w:right w:w="28" w:type="dxa"/>
            </w:tcMar>
            <w:vAlign w:val="center"/>
          </w:tcPr>
          <w:p>
            <w:pPr>
              <w:adjustRightInd w:val="0"/>
              <w:snapToGrid w:val="0"/>
              <w:jc w:val="center"/>
              <w:rPr>
                <w:bCs/>
                <w:szCs w:val="21"/>
              </w:rPr>
            </w:pPr>
            <w:r>
              <w:rPr>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953" w:type="dxa"/>
            <w:noWrap w:val="0"/>
            <w:vAlign w:val="center"/>
          </w:tcPr>
          <w:p>
            <w:pPr>
              <w:jc w:val="center"/>
              <w:rPr>
                <w:bCs/>
                <w:szCs w:val="21"/>
              </w:rPr>
            </w:pPr>
            <w:r>
              <w:rPr>
                <w:bCs/>
                <w:szCs w:val="21"/>
              </w:rPr>
              <w:t>1</w:t>
            </w:r>
          </w:p>
        </w:tc>
        <w:tc>
          <w:tcPr>
            <w:tcW w:w="1467" w:type="dxa"/>
            <w:noWrap w:val="0"/>
            <w:vAlign w:val="center"/>
          </w:tcPr>
          <w:p>
            <w:pPr>
              <w:jc w:val="center"/>
              <w:rPr>
                <w:bCs/>
                <w:szCs w:val="21"/>
              </w:rPr>
            </w:pPr>
          </w:p>
        </w:tc>
        <w:tc>
          <w:tcPr>
            <w:tcW w:w="3568" w:type="dxa"/>
            <w:noWrap w:val="0"/>
            <w:vAlign w:val="top"/>
          </w:tcPr>
          <w:p>
            <w:pPr>
              <w:rPr>
                <w:bCs/>
                <w:szCs w:val="21"/>
              </w:rPr>
            </w:pPr>
          </w:p>
        </w:tc>
        <w:tc>
          <w:tcPr>
            <w:tcW w:w="735" w:type="dxa"/>
            <w:noWrap w:val="0"/>
            <w:vAlign w:val="center"/>
          </w:tcPr>
          <w:p>
            <w:pPr>
              <w:jc w:val="center"/>
              <w:rPr>
                <w:bCs/>
                <w:szCs w:val="21"/>
              </w:rPr>
            </w:pPr>
          </w:p>
        </w:tc>
        <w:tc>
          <w:tcPr>
            <w:tcW w:w="1155" w:type="dxa"/>
            <w:noWrap w:val="0"/>
            <w:vAlign w:val="center"/>
          </w:tcPr>
          <w:p>
            <w:pPr>
              <w:jc w:val="center"/>
              <w:rPr>
                <w:bCs/>
                <w:szCs w:val="21"/>
              </w:rPr>
            </w:pPr>
          </w:p>
        </w:tc>
        <w:tc>
          <w:tcPr>
            <w:tcW w:w="840" w:type="dxa"/>
            <w:noWrap w:val="0"/>
            <w:tcMar>
              <w:left w:w="28" w:type="dxa"/>
              <w:right w:w="28" w:type="dxa"/>
            </w:tcMar>
            <w:vAlign w:val="center"/>
          </w:tcPr>
          <w:p>
            <w:pPr>
              <w:jc w:val="center"/>
              <w:rPr>
                <w:szCs w:val="21"/>
              </w:rPr>
            </w:pPr>
          </w:p>
        </w:tc>
        <w:tc>
          <w:tcPr>
            <w:tcW w:w="630" w:type="dxa"/>
            <w:noWrap w:val="0"/>
            <w:tcMar>
              <w:left w:w="28" w:type="dxa"/>
              <w:right w:w="28" w:type="dxa"/>
            </w:tcMar>
            <w:vAlign w:val="center"/>
          </w:tcPr>
          <w:p>
            <w:pPr>
              <w:jc w:val="center"/>
              <w:rPr>
                <w:rFonts w:hint="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953" w:type="dxa"/>
            <w:noWrap w:val="0"/>
            <w:vAlign w:val="center"/>
          </w:tcPr>
          <w:p>
            <w:pPr>
              <w:jc w:val="center"/>
              <w:rPr>
                <w:bCs/>
                <w:szCs w:val="21"/>
              </w:rPr>
            </w:pPr>
            <w:r>
              <w:rPr>
                <w:bCs/>
                <w:szCs w:val="21"/>
              </w:rPr>
              <w:t>2</w:t>
            </w:r>
          </w:p>
        </w:tc>
        <w:tc>
          <w:tcPr>
            <w:tcW w:w="1467" w:type="dxa"/>
            <w:noWrap w:val="0"/>
            <w:vAlign w:val="center"/>
          </w:tcPr>
          <w:p>
            <w:pPr>
              <w:jc w:val="center"/>
              <w:rPr>
                <w:bCs/>
                <w:szCs w:val="21"/>
              </w:rPr>
            </w:pPr>
          </w:p>
        </w:tc>
        <w:tc>
          <w:tcPr>
            <w:tcW w:w="3568" w:type="dxa"/>
            <w:noWrap w:val="0"/>
            <w:vAlign w:val="top"/>
          </w:tcPr>
          <w:p>
            <w:pPr>
              <w:rPr>
                <w:bCs/>
                <w:szCs w:val="21"/>
              </w:rPr>
            </w:pPr>
          </w:p>
        </w:tc>
        <w:tc>
          <w:tcPr>
            <w:tcW w:w="735" w:type="dxa"/>
            <w:noWrap w:val="0"/>
            <w:vAlign w:val="center"/>
          </w:tcPr>
          <w:p>
            <w:pPr>
              <w:jc w:val="center"/>
              <w:rPr>
                <w:bCs/>
                <w:szCs w:val="21"/>
              </w:rPr>
            </w:pPr>
          </w:p>
        </w:tc>
        <w:tc>
          <w:tcPr>
            <w:tcW w:w="1155" w:type="dxa"/>
            <w:noWrap w:val="0"/>
            <w:vAlign w:val="center"/>
          </w:tcPr>
          <w:p>
            <w:pPr>
              <w:jc w:val="center"/>
              <w:rPr>
                <w:bCs/>
                <w:szCs w:val="21"/>
              </w:rPr>
            </w:pPr>
          </w:p>
        </w:tc>
        <w:tc>
          <w:tcPr>
            <w:tcW w:w="840" w:type="dxa"/>
            <w:noWrap w:val="0"/>
            <w:tcMar>
              <w:left w:w="28" w:type="dxa"/>
              <w:right w:w="28" w:type="dxa"/>
            </w:tcMar>
            <w:vAlign w:val="center"/>
          </w:tcPr>
          <w:p>
            <w:pPr>
              <w:jc w:val="center"/>
              <w:rPr>
                <w:szCs w:val="21"/>
              </w:rPr>
            </w:pPr>
          </w:p>
        </w:tc>
        <w:tc>
          <w:tcPr>
            <w:tcW w:w="630" w:type="dxa"/>
            <w:noWrap w:val="0"/>
            <w:tcMar>
              <w:left w:w="28" w:type="dxa"/>
              <w:right w:w="28" w:type="dxa"/>
            </w:tcMar>
            <w:vAlign w:val="center"/>
          </w:tcPr>
          <w:p>
            <w:pPr>
              <w:jc w:val="center"/>
              <w:rPr>
                <w:rFonts w:hint="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53" w:type="dxa"/>
            <w:noWrap w:val="0"/>
            <w:vAlign w:val="center"/>
          </w:tcPr>
          <w:p>
            <w:pPr>
              <w:jc w:val="center"/>
              <w:rPr>
                <w:bCs/>
                <w:szCs w:val="21"/>
              </w:rPr>
            </w:pPr>
            <w:r>
              <w:rPr>
                <w:bCs/>
                <w:szCs w:val="21"/>
              </w:rPr>
              <w:t>3</w:t>
            </w:r>
          </w:p>
        </w:tc>
        <w:tc>
          <w:tcPr>
            <w:tcW w:w="1467" w:type="dxa"/>
            <w:noWrap w:val="0"/>
            <w:vAlign w:val="center"/>
          </w:tcPr>
          <w:p>
            <w:pPr>
              <w:jc w:val="center"/>
              <w:rPr>
                <w:bCs/>
                <w:szCs w:val="21"/>
              </w:rPr>
            </w:pPr>
          </w:p>
        </w:tc>
        <w:tc>
          <w:tcPr>
            <w:tcW w:w="3568" w:type="dxa"/>
            <w:noWrap w:val="0"/>
            <w:vAlign w:val="top"/>
          </w:tcPr>
          <w:p>
            <w:pPr>
              <w:rPr>
                <w:bCs/>
                <w:szCs w:val="21"/>
              </w:rPr>
            </w:pPr>
          </w:p>
        </w:tc>
        <w:tc>
          <w:tcPr>
            <w:tcW w:w="735" w:type="dxa"/>
            <w:noWrap w:val="0"/>
            <w:vAlign w:val="center"/>
          </w:tcPr>
          <w:p>
            <w:pPr>
              <w:jc w:val="center"/>
              <w:rPr>
                <w:bCs/>
                <w:szCs w:val="21"/>
              </w:rPr>
            </w:pPr>
          </w:p>
        </w:tc>
        <w:tc>
          <w:tcPr>
            <w:tcW w:w="1155" w:type="dxa"/>
            <w:noWrap w:val="0"/>
            <w:vAlign w:val="center"/>
          </w:tcPr>
          <w:p>
            <w:pPr>
              <w:jc w:val="center"/>
              <w:rPr>
                <w:bCs/>
                <w:szCs w:val="21"/>
              </w:rPr>
            </w:pPr>
          </w:p>
        </w:tc>
        <w:tc>
          <w:tcPr>
            <w:tcW w:w="840" w:type="dxa"/>
            <w:noWrap w:val="0"/>
            <w:tcMar>
              <w:left w:w="28" w:type="dxa"/>
              <w:right w:w="28" w:type="dxa"/>
            </w:tcMar>
            <w:vAlign w:val="center"/>
          </w:tcPr>
          <w:p>
            <w:pPr>
              <w:jc w:val="center"/>
              <w:rPr>
                <w:szCs w:val="21"/>
              </w:rPr>
            </w:pPr>
          </w:p>
        </w:tc>
        <w:tc>
          <w:tcPr>
            <w:tcW w:w="630" w:type="dxa"/>
            <w:noWrap w:val="0"/>
            <w:tcMar>
              <w:left w:w="28" w:type="dxa"/>
              <w:right w:w="28" w:type="dxa"/>
            </w:tcMar>
            <w:vAlign w:val="center"/>
          </w:tcPr>
          <w:p>
            <w:pPr>
              <w:jc w:val="center"/>
              <w:rPr>
                <w:rFonts w:hint="eastAsia"/>
                <w:bCs/>
                <w:szCs w:val="21"/>
              </w:rPr>
            </w:pPr>
          </w:p>
        </w:tc>
      </w:tr>
    </w:tbl>
    <w:p>
      <w:pPr>
        <w:spacing w:line="360" w:lineRule="auto"/>
        <w:ind w:firstLine="551" w:firstLineChars="196"/>
        <w:rPr>
          <w:rFonts w:hint="eastAsia"/>
          <w:b/>
          <w:sz w:val="28"/>
          <w:szCs w:val="28"/>
        </w:rPr>
      </w:pPr>
      <w:r>
        <w:rPr>
          <w:rFonts w:hint="eastAsia"/>
          <w:b/>
          <w:sz w:val="28"/>
          <w:szCs w:val="28"/>
        </w:rPr>
        <w:t>五、课程实施</w:t>
      </w:r>
    </w:p>
    <w:p>
      <w:pPr>
        <w:pStyle w:val="3"/>
        <w:keepNext w:val="0"/>
        <w:keepLines w:val="0"/>
        <w:spacing w:before="156" w:after="156"/>
        <w:ind w:firstLine="482"/>
        <w:rPr>
          <w:rFonts w:hint="eastAsia"/>
        </w:rPr>
      </w:pPr>
      <w:bookmarkStart w:id="255" w:name="_Toc3749"/>
      <w:bookmarkStart w:id="256" w:name="_Toc20254"/>
      <w:r>
        <w:rPr>
          <w:rFonts w:hint="eastAsia"/>
        </w:rPr>
        <w:t>教学方法与教学手段</w:t>
      </w:r>
      <w:bookmarkEnd w:id="255"/>
      <w:bookmarkEnd w:id="256"/>
    </w:p>
    <w:p>
      <w:pPr>
        <w:spacing w:line="360" w:lineRule="auto"/>
        <w:ind w:firstLine="480" w:firstLineChars="200"/>
        <w:rPr>
          <w:sz w:val="24"/>
        </w:rPr>
      </w:pPr>
      <w:r>
        <w:rPr>
          <w:sz w:val="24"/>
        </w:rPr>
        <w:t>1</w:t>
      </w:r>
      <w:r>
        <w:rPr>
          <w:rFonts w:hint="eastAsia"/>
          <w:sz w:val="24"/>
        </w:rPr>
        <w:t>.</w:t>
      </w:r>
      <w:r>
        <w:rPr>
          <w:sz w:val="24"/>
        </w:rPr>
        <w:t>把握主线，引导学生</w:t>
      </w:r>
      <w:r>
        <w:rPr>
          <w:rFonts w:hint="eastAsia"/>
          <w:sz w:val="24"/>
        </w:rPr>
        <w:t>掌握化学制药、生物制药、中药的生产原理、主要设备、主要工艺</w:t>
      </w:r>
      <w:r>
        <w:rPr>
          <w:sz w:val="24"/>
        </w:rPr>
        <w:t>。</w:t>
      </w:r>
    </w:p>
    <w:p>
      <w:pPr>
        <w:spacing w:line="360" w:lineRule="auto"/>
        <w:ind w:firstLine="480" w:firstLineChars="200"/>
        <w:rPr>
          <w:sz w:val="24"/>
        </w:rPr>
      </w:pPr>
      <w:r>
        <w:rPr>
          <w:rFonts w:hint="eastAsia"/>
          <w:sz w:val="24"/>
        </w:rPr>
        <w:t>2.</w:t>
      </w:r>
      <w:r>
        <w:rPr>
          <w:sz w:val="24"/>
        </w:rPr>
        <w:t>采用多媒体教学手段，配合例题的讲解及适当的思考题，保证讲课进度的同时，注意学生的掌握程度和课堂的气氛</w:t>
      </w:r>
      <w:r>
        <w:rPr>
          <w:rFonts w:hint="eastAsia"/>
          <w:sz w:val="24"/>
        </w:rPr>
        <w:t>。</w:t>
      </w:r>
    </w:p>
    <w:p>
      <w:pPr>
        <w:spacing w:line="360" w:lineRule="auto"/>
        <w:ind w:firstLine="480" w:firstLineChars="200"/>
        <w:rPr>
          <w:rFonts w:hint="eastAsia"/>
          <w:sz w:val="24"/>
        </w:rPr>
      </w:pPr>
      <w:r>
        <w:rPr>
          <w:sz w:val="24"/>
        </w:rPr>
        <w:t>3</w:t>
      </w:r>
      <w:r>
        <w:rPr>
          <w:rFonts w:hint="eastAsia"/>
          <w:sz w:val="24"/>
        </w:rPr>
        <w:t>.</w:t>
      </w:r>
      <w:r>
        <w:rPr>
          <w:sz w:val="24"/>
        </w:rPr>
        <w:t>采用案例式教学，引进</w:t>
      </w:r>
      <w:r>
        <w:rPr>
          <w:rFonts w:hint="eastAsia"/>
          <w:sz w:val="24"/>
        </w:rPr>
        <w:t>合成氨过程中的</w:t>
      </w:r>
      <w:r>
        <w:rPr>
          <w:sz w:val="24"/>
        </w:rPr>
        <w:t>的实际案例，让学生真正了解并掌握</w:t>
      </w:r>
      <w:r>
        <w:rPr>
          <w:rFonts w:hint="eastAsia"/>
          <w:sz w:val="24"/>
        </w:rPr>
        <w:t>多种工艺流程</w:t>
      </w:r>
      <w:r>
        <w:rPr>
          <w:sz w:val="24"/>
        </w:rPr>
        <w:t>，从而具备相关知识和方法的实际应用能力。</w:t>
      </w:r>
    </w:p>
    <w:p>
      <w:pPr>
        <w:pStyle w:val="3"/>
        <w:keepNext w:val="0"/>
        <w:keepLines w:val="0"/>
        <w:spacing w:before="156" w:after="156"/>
        <w:ind w:firstLine="482"/>
        <w:rPr>
          <w:rFonts w:hint="eastAsia"/>
        </w:rPr>
      </w:pPr>
      <w:bookmarkStart w:id="257" w:name="_Toc19648"/>
      <w:bookmarkStart w:id="258" w:name="_Toc19966"/>
      <w:r>
        <w:rPr>
          <w:rFonts w:hint="eastAsia"/>
        </w:rPr>
        <w:t>课程实施与保障</w:t>
      </w:r>
      <w:bookmarkEnd w:id="257"/>
      <w:bookmarkEnd w:id="258"/>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273"/>
        <w:gridCol w:w="6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3" w:type="dxa"/>
            <w:gridSpan w:val="2"/>
            <w:tcBorders>
              <w:top w:val="single" w:color="auto" w:sz="8" w:space="0"/>
              <w:left w:val="single" w:color="auto" w:sz="8" w:space="0"/>
              <w:right w:val="single" w:color="auto" w:sz="8" w:space="0"/>
            </w:tcBorders>
            <w:noWrap w:val="0"/>
            <w:tcMar>
              <w:left w:w="28" w:type="dxa"/>
              <w:right w:w="28" w:type="dxa"/>
            </w:tcMar>
            <w:vAlign w:val="center"/>
          </w:tcPr>
          <w:p>
            <w:pPr>
              <w:adjustRightInd w:val="0"/>
              <w:snapToGrid w:val="0"/>
              <w:spacing w:line="276" w:lineRule="auto"/>
              <w:jc w:val="center"/>
              <w:rPr>
                <w:szCs w:val="21"/>
              </w:rPr>
            </w:pPr>
            <w:r>
              <w:rPr>
                <w:bCs/>
                <w:szCs w:val="21"/>
              </w:rPr>
              <w:t>主要教学环节</w:t>
            </w:r>
          </w:p>
        </w:tc>
        <w:tc>
          <w:tcPr>
            <w:tcW w:w="6817" w:type="dxa"/>
            <w:tcBorders>
              <w:top w:val="single" w:color="auto" w:sz="8" w:space="0"/>
              <w:left w:val="single" w:color="auto" w:sz="8" w:space="0"/>
              <w:right w:val="single" w:color="auto" w:sz="8" w:space="0"/>
            </w:tcBorders>
            <w:noWrap w:val="0"/>
            <w:vAlign w:val="center"/>
          </w:tcPr>
          <w:p>
            <w:pPr>
              <w:adjustRightInd w:val="0"/>
              <w:snapToGrid w:val="0"/>
              <w:spacing w:line="276" w:lineRule="auto"/>
              <w:jc w:val="center"/>
              <w:rPr>
                <w:szCs w:val="21"/>
              </w:rPr>
            </w:pPr>
            <w:r>
              <w:rPr>
                <w:bCs/>
                <w:szCs w:val="21"/>
              </w:rPr>
              <w:t>质量</w:t>
            </w:r>
            <w:r>
              <w:rPr>
                <w:rFonts w:hint="eastAsia"/>
                <w:bCs/>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6" w:hRule="atLeast"/>
          <w:jc w:val="center"/>
        </w:trPr>
        <w:tc>
          <w:tcPr>
            <w:tcW w:w="1010" w:type="dxa"/>
            <w:tcBorders>
              <w:left w:val="single" w:color="auto" w:sz="8" w:space="0"/>
            </w:tcBorders>
            <w:noWrap w:val="0"/>
            <w:vAlign w:val="center"/>
          </w:tcPr>
          <w:p>
            <w:pPr>
              <w:spacing w:line="276" w:lineRule="auto"/>
              <w:jc w:val="center"/>
              <w:rPr>
                <w:szCs w:val="21"/>
              </w:rPr>
            </w:pPr>
            <w:r>
              <w:rPr>
                <w:szCs w:val="21"/>
              </w:rPr>
              <w:t>1</w:t>
            </w:r>
          </w:p>
        </w:tc>
        <w:tc>
          <w:tcPr>
            <w:tcW w:w="1273" w:type="dxa"/>
            <w:noWrap w:val="0"/>
            <w:tcMar>
              <w:left w:w="28" w:type="dxa"/>
              <w:right w:w="28" w:type="dxa"/>
            </w:tcMar>
            <w:vAlign w:val="center"/>
          </w:tcPr>
          <w:p>
            <w:pPr>
              <w:adjustRightInd w:val="0"/>
              <w:snapToGrid w:val="0"/>
              <w:spacing w:line="276" w:lineRule="auto"/>
              <w:jc w:val="center"/>
              <w:rPr>
                <w:szCs w:val="21"/>
              </w:rPr>
            </w:pPr>
            <w:r>
              <w:rPr>
                <w:szCs w:val="21"/>
              </w:rPr>
              <w:t>备课</w:t>
            </w:r>
          </w:p>
        </w:tc>
        <w:tc>
          <w:tcPr>
            <w:tcW w:w="6817" w:type="dxa"/>
            <w:tcBorders>
              <w:right w:val="single" w:color="auto" w:sz="8" w:space="0"/>
            </w:tcBorders>
            <w:noWrap w:val="0"/>
            <w:vAlign w:val="center"/>
          </w:tcPr>
          <w:p>
            <w:pPr>
              <w:spacing w:line="276" w:lineRule="auto"/>
              <w:rPr>
                <w:szCs w:val="21"/>
              </w:rPr>
            </w:pPr>
            <w:r>
              <w:rPr>
                <w:szCs w:val="21"/>
              </w:rPr>
              <w:t>（1）掌握本课程教学大纲内容，严格按照教学大纲要求进行课程教学内容的组织。</w:t>
            </w:r>
          </w:p>
          <w:p>
            <w:pPr>
              <w:spacing w:line="276" w:lineRule="auto"/>
              <w:rPr>
                <w:szCs w:val="21"/>
              </w:rPr>
            </w:pPr>
            <w:r>
              <w:rPr>
                <w:szCs w:val="21"/>
              </w:rPr>
              <w:t>（2）熟悉教材各章节，借助专业书籍资料，并依据教学大纲编写授课计划，编写每次授课的教案。教案内容包括章节标题、教学目的、教法设计、课堂类型、时间分配、授课内容、课后作业、教学效果分析等方面。</w:t>
            </w:r>
          </w:p>
          <w:p>
            <w:pPr>
              <w:spacing w:line="276" w:lineRule="auto"/>
              <w:rPr>
                <w:szCs w:val="21"/>
              </w:rPr>
            </w:pPr>
            <w:r>
              <w:rPr>
                <w:szCs w:val="21"/>
              </w:rPr>
              <w:t>（3）</w:t>
            </w:r>
            <w:r>
              <w:rPr>
                <w:rFonts w:hint="eastAsia"/>
                <w:szCs w:val="21"/>
              </w:rPr>
              <w:t>根据</w:t>
            </w:r>
            <w:r>
              <w:rPr>
                <w:szCs w:val="21"/>
              </w:rPr>
              <w:t>各部分</w:t>
            </w:r>
            <w:r>
              <w:rPr>
                <w:rFonts w:hint="eastAsia"/>
                <w:szCs w:val="21"/>
              </w:rPr>
              <w:t>教学</w:t>
            </w:r>
            <w:r>
              <w:rPr>
                <w:szCs w:val="21"/>
              </w:rPr>
              <w:t>内容</w:t>
            </w:r>
            <w:r>
              <w:rPr>
                <w:rFonts w:hint="eastAsia"/>
                <w:szCs w:val="21"/>
              </w:rPr>
              <w:t>，</w:t>
            </w:r>
            <w:r>
              <w:rPr>
                <w:szCs w:val="21"/>
              </w:rPr>
              <w:t>构思授课思路、技巧</w:t>
            </w:r>
            <w:r>
              <w:rPr>
                <w:rFonts w:hint="eastAsia"/>
                <w:szCs w:val="21"/>
              </w:rPr>
              <w:t>，选择合适的</w:t>
            </w:r>
            <w:r>
              <w:rPr>
                <w:szCs w:val="21"/>
              </w:rPr>
              <w:t>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0" w:type="dxa"/>
            <w:tcBorders>
              <w:left w:val="single" w:color="auto" w:sz="8" w:space="0"/>
            </w:tcBorders>
            <w:noWrap w:val="0"/>
            <w:vAlign w:val="center"/>
          </w:tcPr>
          <w:p>
            <w:pPr>
              <w:spacing w:line="276" w:lineRule="auto"/>
              <w:jc w:val="center"/>
              <w:rPr>
                <w:szCs w:val="21"/>
              </w:rPr>
            </w:pPr>
            <w:r>
              <w:rPr>
                <w:szCs w:val="21"/>
              </w:rPr>
              <w:t>2</w:t>
            </w:r>
          </w:p>
        </w:tc>
        <w:tc>
          <w:tcPr>
            <w:tcW w:w="1273" w:type="dxa"/>
            <w:noWrap w:val="0"/>
            <w:tcMar>
              <w:left w:w="28" w:type="dxa"/>
              <w:right w:w="28" w:type="dxa"/>
            </w:tcMar>
            <w:vAlign w:val="center"/>
          </w:tcPr>
          <w:p>
            <w:pPr>
              <w:adjustRightInd w:val="0"/>
              <w:snapToGrid w:val="0"/>
              <w:spacing w:line="276" w:lineRule="auto"/>
              <w:jc w:val="center"/>
              <w:rPr>
                <w:szCs w:val="21"/>
              </w:rPr>
            </w:pPr>
            <w:r>
              <w:rPr>
                <w:szCs w:val="21"/>
              </w:rPr>
              <w:t>讲授</w:t>
            </w:r>
          </w:p>
        </w:tc>
        <w:tc>
          <w:tcPr>
            <w:tcW w:w="6817" w:type="dxa"/>
            <w:tcBorders>
              <w:right w:val="single" w:color="auto" w:sz="8" w:space="0"/>
            </w:tcBorders>
            <w:noWrap w:val="0"/>
            <w:vAlign w:val="center"/>
          </w:tcPr>
          <w:p>
            <w:pPr>
              <w:spacing w:line="276" w:lineRule="auto"/>
              <w:rPr>
                <w:szCs w:val="21"/>
              </w:rPr>
            </w:pPr>
            <w:r>
              <w:rPr>
                <w:rFonts w:hint="eastAsia"/>
                <w:szCs w:val="21"/>
              </w:rPr>
              <w:t>（1）</w:t>
            </w:r>
            <w:r>
              <w:rPr>
                <w:szCs w:val="21"/>
              </w:rPr>
              <w:t>要点准确</w:t>
            </w:r>
            <w:r>
              <w:rPr>
                <w:rFonts w:hint="eastAsia"/>
                <w:szCs w:val="21"/>
              </w:rPr>
              <w:t>、</w:t>
            </w:r>
            <w:r>
              <w:rPr>
                <w:szCs w:val="21"/>
              </w:rPr>
              <w:t>推理正确</w:t>
            </w:r>
            <w:r>
              <w:rPr>
                <w:rFonts w:hint="eastAsia"/>
                <w:szCs w:val="21"/>
              </w:rPr>
              <w:t>、</w:t>
            </w:r>
            <w:r>
              <w:rPr>
                <w:szCs w:val="21"/>
              </w:rPr>
              <w:t>条理清晰</w:t>
            </w:r>
            <w:r>
              <w:rPr>
                <w:rFonts w:hint="eastAsia"/>
                <w:szCs w:val="21"/>
              </w:rPr>
              <w:t>、</w:t>
            </w:r>
            <w:r>
              <w:rPr>
                <w:szCs w:val="21"/>
              </w:rPr>
              <w:t>重点突出，</w:t>
            </w:r>
            <w:r>
              <w:rPr>
                <w:rFonts w:hint="eastAsia"/>
                <w:szCs w:val="21"/>
              </w:rPr>
              <w:t>能够</w:t>
            </w:r>
            <w:r>
              <w:rPr>
                <w:szCs w:val="21"/>
              </w:rPr>
              <w:t>理论联系实际，熟练地解答和讲解例题。</w:t>
            </w:r>
          </w:p>
          <w:p>
            <w:pPr>
              <w:spacing w:line="276" w:lineRule="auto"/>
              <w:rPr>
                <w:szCs w:val="21"/>
              </w:rPr>
            </w:pPr>
            <w:r>
              <w:rPr>
                <w:rFonts w:hint="eastAsia"/>
                <w:szCs w:val="21"/>
              </w:rPr>
              <w:t>（2）</w:t>
            </w:r>
            <w:r>
              <w:rPr>
                <w:szCs w:val="21"/>
              </w:rPr>
              <w:t>采用多种教学方式（如启发式教学、案例分析教学、讨论式教学、多媒体示范教学等），注重培养学生发现、分析和解决问题的能力。</w:t>
            </w:r>
          </w:p>
          <w:p>
            <w:pPr>
              <w:spacing w:line="276" w:lineRule="auto"/>
              <w:rPr>
                <w:szCs w:val="21"/>
              </w:rPr>
            </w:pPr>
            <w:r>
              <w:rPr>
                <w:rFonts w:hint="eastAsia"/>
                <w:szCs w:val="21"/>
              </w:rPr>
              <w:t>（3）能够采用现代信息技术辅助</w:t>
            </w:r>
            <w:r>
              <w:rPr>
                <w:szCs w:val="21"/>
              </w:rPr>
              <w:t>教学。</w:t>
            </w:r>
          </w:p>
          <w:p>
            <w:pPr>
              <w:spacing w:line="276" w:lineRule="auto"/>
              <w:rPr>
                <w:szCs w:val="21"/>
              </w:rPr>
            </w:pPr>
            <w:r>
              <w:rPr>
                <w:rFonts w:hint="eastAsia"/>
                <w:szCs w:val="21"/>
              </w:rPr>
              <w:t>（4）</w:t>
            </w:r>
            <w:r>
              <w:rPr>
                <w:szCs w:val="21"/>
              </w:rPr>
              <w:t>表达方式</w:t>
            </w:r>
            <w:r>
              <w:rPr>
                <w:rFonts w:hint="eastAsia"/>
                <w:szCs w:val="21"/>
              </w:rPr>
              <w:t>应能</w:t>
            </w:r>
            <w:r>
              <w:rPr>
                <w:szCs w:val="21"/>
              </w:rPr>
              <w:t>便于学生理解、接受，力求形象生动，使学生在掌握知识的过程中，保持较为浓厚的</w:t>
            </w:r>
            <w:r>
              <w:rPr>
                <w:rFonts w:hint="eastAsia"/>
                <w:szCs w:val="21"/>
              </w:rPr>
              <w:t>学习</w:t>
            </w:r>
            <w:r>
              <w:rPr>
                <w:szCs w:val="21"/>
              </w:rPr>
              <w:t>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jc w:val="center"/>
        </w:trPr>
        <w:tc>
          <w:tcPr>
            <w:tcW w:w="1010" w:type="dxa"/>
            <w:tcBorders>
              <w:left w:val="single" w:color="auto" w:sz="8" w:space="0"/>
            </w:tcBorders>
            <w:noWrap w:val="0"/>
            <w:vAlign w:val="center"/>
          </w:tcPr>
          <w:p>
            <w:pPr>
              <w:spacing w:line="276" w:lineRule="auto"/>
              <w:jc w:val="center"/>
              <w:rPr>
                <w:szCs w:val="21"/>
              </w:rPr>
            </w:pPr>
            <w:r>
              <w:rPr>
                <w:szCs w:val="21"/>
              </w:rPr>
              <w:t>3</w:t>
            </w:r>
          </w:p>
        </w:tc>
        <w:tc>
          <w:tcPr>
            <w:tcW w:w="1273" w:type="dxa"/>
            <w:noWrap w:val="0"/>
            <w:tcMar>
              <w:left w:w="28" w:type="dxa"/>
              <w:right w:w="28" w:type="dxa"/>
            </w:tcMar>
            <w:vAlign w:val="center"/>
          </w:tcPr>
          <w:p>
            <w:pPr>
              <w:adjustRightInd w:val="0"/>
              <w:snapToGrid w:val="0"/>
              <w:spacing w:line="276" w:lineRule="auto"/>
              <w:jc w:val="center"/>
              <w:rPr>
                <w:szCs w:val="21"/>
              </w:rPr>
            </w:pPr>
            <w:r>
              <w:rPr>
                <w:szCs w:val="21"/>
              </w:rPr>
              <w:t>作业布置与批改</w:t>
            </w:r>
          </w:p>
        </w:tc>
        <w:tc>
          <w:tcPr>
            <w:tcW w:w="6817" w:type="dxa"/>
            <w:tcBorders>
              <w:right w:val="single" w:color="auto" w:sz="8" w:space="0"/>
            </w:tcBorders>
            <w:noWrap w:val="0"/>
            <w:vAlign w:val="center"/>
          </w:tcPr>
          <w:p>
            <w:pPr>
              <w:spacing w:line="276" w:lineRule="auto"/>
              <w:rPr>
                <w:szCs w:val="21"/>
              </w:rPr>
            </w:pPr>
            <w:r>
              <w:rPr>
                <w:szCs w:val="21"/>
              </w:rPr>
              <w:t>学生必须完成</w:t>
            </w:r>
            <w:r>
              <w:rPr>
                <w:rFonts w:hint="eastAsia"/>
                <w:szCs w:val="21"/>
              </w:rPr>
              <w:t>规定</w:t>
            </w:r>
            <w:r>
              <w:rPr>
                <w:szCs w:val="21"/>
              </w:rPr>
              <w:t>数量的作业</w:t>
            </w:r>
            <w:r>
              <w:rPr>
                <w:rFonts w:hint="eastAsia"/>
                <w:szCs w:val="21"/>
              </w:rPr>
              <w:t>，</w:t>
            </w:r>
            <w:r>
              <w:rPr>
                <w:szCs w:val="21"/>
              </w:rPr>
              <w:t>作业必须达到以下基本要求：</w:t>
            </w:r>
          </w:p>
          <w:p>
            <w:pPr>
              <w:spacing w:line="276" w:lineRule="auto"/>
              <w:rPr>
                <w:szCs w:val="21"/>
              </w:rPr>
            </w:pPr>
            <w:r>
              <w:rPr>
                <w:rFonts w:hint="eastAsia"/>
                <w:szCs w:val="21"/>
              </w:rPr>
              <w:t>（1）</w:t>
            </w:r>
            <w:r>
              <w:rPr>
                <w:szCs w:val="21"/>
              </w:rPr>
              <w:t>按时按量完成作业，不缺交，不抄袭</w:t>
            </w:r>
            <w:r>
              <w:rPr>
                <w:rFonts w:hint="eastAsia"/>
                <w:szCs w:val="21"/>
              </w:rPr>
              <w:t>。</w:t>
            </w:r>
          </w:p>
          <w:p>
            <w:pPr>
              <w:spacing w:line="276" w:lineRule="auto"/>
              <w:rPr>
                <w:szCs w:val="21"/>
              </w:rPr>
            </w:pPr>
            <w:r>
              <w:rPr>
                <w:rFonts w:hint="eastAsia"/>
                <w:szCs w:val="21"/>
              </w:rPr>
              <w:t>（2）书写</w:t>
            </w:r>
            <w:r>
              <w:rPr>
                <w:szCs w:val="21"/>
              </w:rPr>
              <w:t>规范</w:t>
            </w:r>
            <w:r>
              <w:rPr>
                <w:rFonts w:hint="eastAsia"/>
                <w:szCs w:val="21"/>
              </w:rPr>
              <w:t>、</w:t>
            </w:r>
            <w:r>
              <w:rPr>
                <w:szCs w:val="21"/>
              </w:rPr>
              <w:t>清晰</w:t>
            </w:r>
            <w:r>
              <w:rPr>
                <w:rFonts w:hint="eastAsia"/>
                <w:szCs w:val="21"/>
              </w:rPr>
              <w:t>。</w:t>
            </w:r>
          </w:p>
          <w:p>
            <w:pPr>
              <w:spacing w:line="276" w:lineRule="auto"/>
              <w:rPr>
                <w:szCs w:val="21"/>
              </w:rPr>
            </w:pPr>
            <w:r>
              <w:rPr>
                <w:rFonts w:hint="eastAsia"/>
                <w:szCs w:val="21"/>
              </w:rPr>
              <w:t>（3）</w:t>
            </w:r>
            <w:r>
              <w:rPr>
                <w:szCs w:val="21"/>
              </w:rPr>
              <w:t>解题方法和步骤正确。</w:t>
            </w:r>
          </w:p>
          <w:p>
            <w:pPr>
              <w:spacing w:line="276" w:lineRule="auto"/>
              <w:rPr>
                <w:szCs w:val="21"/>
              </w:rPr>
            </w:pPr>
            <w:r>
              <w:rPr>
                <w:szCs w:val="21"/>
              </w:rPr>
              <w:t>教师批改</w:t>
            </w:r>
            <w:r>
              <w:rPr>
                <w:rFonts w:hint="eastAsia"/>
                <w:szCs w:val="21"/>
              </w:rPr>
              <w:t>和</w:t>
            </w:r>
            <w:r>
              <w:rPr>
                <w:szCs w:val="21"/>
              </w:rPr>
              <w:t>讲评作业要求如下：</w:t>
            </w:r>
          </w:p>
          <w:p>
            <w:pPr>
              <w:spacing w:line="276" w:lineRule="auto"/>
              <w:rPr>
                <w:szCs w:val="21"/>
              </w:rPr>
            </w:pPr>
            <w:r>
              <w:rPr>
                <w:rFonts w:hint="eastAsia"/>
                <w:szCs w:val="21"/>
              </w:rPr>
              <w:t>（1）</w:t>
            </w:r>
            <w:r>
              <w:rPr>
                <w:szCs w:val="21"/>
              </w:rPr>
              <w:t>学生的作业要</w:t>
            </w:r>
            <w:r>
              <w:rPr>
                <w:rFonts w:hint="eastAsia"/>
                <w:szCs w:val="21"/>
              </w:rPr>
              <w:t>按时</w:t>
            </w:r>
            <w:r>
              <w:rPr>
                <w:szCs w:val="21"/>
              </w:rPr>
              <w:t>全</w:t>
            </w:r>
            <w:r>
              <w:rPr>
                <w:rFonts w:hint="eastAsia"/>
                <w:szCs w:val="21"/>
              </w:rPr>
              <w:t>部</w:t>
            </w:r>
            <w:r>
              <w:rPr>
                <w:szCs w:val="21"/>
              </w:rPr>
              <w:t>批改，并</w:t>
            </w:r>
            <w:r>
              <w:rPr>
                <w:rFonts w:hint="eastAsia"/>
                <w:szCs w:val="21"/>
              </w:rPr>
              <w:t>及时进行</w:t>
            </w:r>
            <w:r>
              <w:rPr>
                <w:szCs w:val="21"/>
              </w:rPr>
              <w:t>讲评</w:t>
            </w:r>
            <w:r>
              <w:rPr>
                <w:rFonts w:hint="eastAsia"/>
                <w:szCs w:val="21"/>
              </w:rPr>
              <w:t>。</w:t>
            </w:r>
          </w:p>
          <w:p>
            <w:pPr>
              <w:spacing w:line="276" w:lineRule="auto"/>
              <w:rPr>
                <w:szCs w:val="21"/>
              </w:rPr>
            </w:pPr>
            <w:r>
              <w:rPr>
                <w:rFonts w:hint="eastAsia"/>
                <w:szCs w:val="21"/>
              </w:rPr>
              <w:t>（2）</w:t>
            </w:r>
            <w:r>
              <w:rPr>
                <w:szCs w:val="21"/>
              </w:rPr>
              <w:t>教师批改</w:t>
            </w:r>
            <w:r>
              <w:rPr>
                <w:rFonts w:hint="eastAsia"/>
                <w:szCs w:val="21"/>
              </w:rPr>
              <w:t>和</w:t>
            </w:r>
            <w:r>
              <w:rPr>
                <w:szCs w:val="21"/>
              </w:rPr>
              <w:t>讲评作业要认真、细致，按百分制评定成绩并写明日期</w:t>
            </w:r>
            <w:r>
              <w:rPr>
                <w:rFonts w:hint="eastAsia"/>
                <w:szCs w:val="21"/>
              </w:rPr>
              <w:t>。</w:t>
            </w:r>
          </w:p>
          <w:p>
            <w:pPr>
              <w:spacing w:line="276" w:lineRule="auto"/>
              <w:rPr>
                <w:szCs w:val="21"/>
              </w:rPr>
            </w:pPr>
            <w:r>
              <w:rPr>
                <w:rFonts w:hint="eastAsia"/>
                <w:szCs w:val="21"/>
              </w:rPr>
              <w:t>（3）</w:t>
            </w:r>
            <w:r>
              <w:rPr>
                <w:szCs w:val="21"/>
              </w:rPr>
              <w:t>学生作业的平均成绩</w:t>
            </w:r>
            <w:r>
              <w:rPr>
                <w:rFonts w:hint="eastAsia"/>
                <w:szCs w:val="21"/>
              </w:rPr>
              <w:t>应</w:t>
            </w:r>
            <w:r>
              <w:rPr>
                <w:szCs w:val="21"/>
              </w:rPr>
              <w:t>作为本课程总评成绩中平时成绩的重要组成部分。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1010" w:type="dxa"/>
            <w:tcBorders>
              <w:left w:val="single" w:color="auto" w:sz="8" w:space="0"/>
            </w:tcBorders>
            <w:noWrap w:val="0"/>
            <w:vAlign w:val="center"/>
          </w:tcPr>
          <w:p>
            <w:pPr>
              <w:spacing w:line="276" w:lineRule="auto"/>
              <w:jc w:val="center"/>
              <w:rPr>
                <w:szCs w:val="21"/>
              </w:rPr>
            </w:pPr>
            <w:r>
              <w:rPr>
                <w:szCs w:val="21"/>
              </w:rPr>
              <w:t>4</w:t>
            </w:r>
          </w:p>
        </w:tc>
        <w:tc>
          <w:tcPr>
            <w:tcW w:w="1273" w:type="dxa"/>
            <w:noWrap w:val="0"/>
            <w:tcMar>
              <w:left w:w="28" w:type="dxa"/>
              <w:right w:w="28" w:type="dxa"/>
            </w:tcMar>
            <w:vAlign w:val="center"/>
          </w:tcPr>
          <w:p>
            <w:pPr>
              <w:adjustRightInd w:val="0"/>
              <w:snapToGrid w:val="0"/>
              <w:spacing w:line="276" w:lineRule="auto"/>
              <w:jc w:val="center"/>
              <w:rPr>
                <w:szCs w:val="21"/>
              </w:rPr>
            </w:pPr>
            <w:r>
              <w:rPr>
                <w:szCs w:val="21"/>
              </w:rPr>
              <w:t>课外答疑</w:t>
            </w:r>
          </w:p>
        </w:tc>
        <w:tc>
          <w:tcPr>
            <w:tcW w:w="6817" w:type="dxa"/>
            <w:tcBorders>
              <w:right w:val="single" w:color="auto" w:sz="8" w:space="0"/>
            </w:tcBorders>
            <w:noWrap w:val="0"/>
            <w:vAlign w:val="center"/>
          </w:tcPr>
          <w:p>
            <w:pPr>
              <w:spacing w:line="276" w:lineRule="auto"/>
              <w:rPr>
                <w:szCs w:val="21"/>
              </w:rPr>
            </w:pPr>
            <w:r>
              <w:rPr>
                <w:szCs w:val="21"/>
              </w:rPr>
              <w:t>为了解学生的学习情况，帮助学生</w:t>
            </w:r>
            <w:r>
              <w:rPr>
                <w:rFonts w:hint="eastAsia"/>
                <w:szCs w:val="21"/>
              </w:rPr>
              <w:t>更好地</w:t>
            </w:r>
            <w:r>
              <w:rPr>
                <w:szCs w:val="21"/>
              </w:rPr>
              <w:t>理解和消化所学知识、改进学习方法和思维方式，培养其独立思考问题的能力，任课教师</w:t>
            </w:r>
            <w:r>
              <w:rPr>
                <w:rFonts w:hint="eastAsia"/>
                <w:szCs w:val="21"/>
              </w:rPr>
              <w:t>需</w:t>
            </w:r>
            <w:r>
              <w:rPr>
                <w:szCs w:val="21"/>
              </w:rPr>
              <w:t>每周安排</w:t>
            </w:r>
            <w:r>
              <w:rPr>
                <w:rFonts w:hint="eastAsia"/>
                <w:szCs w:val="21"/>
              </w:rPr>
              <w:t>一定</w:t>
            </w:r>
            <w:r>
              <w:rPr>
                <w:szCs w:val="21"/>
              </w:rPr>
              <w:t>时间进行课外答疑与辅导。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010" w:type="dxa"/>
            <w:tcBorders>
              <w:left w:val="single" w:color="auto" w:sz="8" w:space="0"/>
            </w:tcBorders>
            <w:noWrap w:val="0"/>
            <w:vAlign w:val="center"/>
          </w:tcPr>
          <w:p>
            <w:pPr>
              <w:spacing w:line="276" w:lineRule="auto"/>
              <w:jc w:val="center"/>
              <w:rPr>
                <w:szCs w:val="21"/>
              </w:rPr>
            </w:pPr>
            <w:r>
              <w:rPr>
                <w:szCs w:val="21"/>
              </w:rPr>
              <w:t>5</w:t>
            </w:r>
          </w:p>
        </w:tc>
        <w:tc>
          <w:tcPr>
            <w:tcW w:w="1273" w:type="dxa"/>
            <w:noWrap w:val="0"/>
            <w:tcMar>
              <w:left w:w="28" w:type="dxa"/>
              <w:right w:w="28" w:type="dxa"/>
            </w:tcMar>
            <w:vAlign w:val="center"/>
          </w:tcPr>
          <w:p>
            <w:pPr>
              <w:adjustRightInd w:val="0"/>
              <w:snapToGrid w:val="0"/>
              <w:spacing w:line="276" w:lineRule="auto"/>
              <w:jc w:val="center"/>
              <w:rPr>
                <w:szCs w:val="21"/>
              </w:rPr>
            </w:pPr>
            <w:r>
              <w:rPr>
                <w:szCs w:val="21"/>
              </w:rPr>
              <w:t>成绩考核</w:t>
            </w:r>
          </w:p>
        </w:tc>
        <w:tc>
          <w:tcPr>
            <w:tcW w:w="6817" w:type="dxa"/>
            <w:tcBorders>
              <w:right w:val="single" w:color="auto" w:sz="8" w:space="0"/>
            </w:tcBorders>
            <w:noWrap w:val="0"/>
            <w:vAlign w:val="center"/>
          </w:tcPr>
          <w:p>
            <w:pPr>
              <w:spacing w:line="276" w:lineRule="auto"/>
              <w:rPr>
                <w:szCs w:val="21"/>
              </w:rPr>
            </w:pPr>
            <w:r>
              <w:rPr>
                <w:szCs w:val="21"/>
              </w:rPr>
              <w:t>本课程考核的方式</w:t>
            </w:r>
            <w:r>
              <w:rPr>
                <w:rFonts w:hint="eastAsia"/>
                <w:szCs w:val="21"/>
              </w:rPr>
              <w:t>为闭卷笔试</w:t>
            </w:r>
            <w:r>
              <w:rPr>
                <w:szCs w:val="21"/>
              </w:rPr>
              <w:t>。考试采取教考分离，监考</w:t>
            </w:r>
            <w:r>
              <w:rPr>
                <w:rFonts w:hint="eastAsia"/>
                <w:szCs w:val="21"/>
              </w:rPr>
              <w:t>由学院</w:t>
            </w:r>
            <w:r>
              <w:rPr>
                <w:szCs w:val="21"/>
              </w:rPr>
              <w:t>统一安排。有下列情况之一者，总评成绩为不及格：</w:t>
            </w:r>
          </w:p>
          <w:p>
            <w:pPr>
              <w:spacing w:line="276" w:lineRule="auto"/>
              <w:rPr>
                <w:szCs w:val="21"/>
              </w:rPr>
            </w:pPr>
            <w:r>
              <w:rPr>
                <w:rFonts w:hint="eastAsia"/>
                <w:szCs w:val="21"/>
              </w:rPr>
              <w:t>（1）</w:t>
            </w:r>
            <w:r>
              <w:rPr>
                <w:szCs w:val="21"/>
              </w:rPr>
              <w:t>缺交作业次数达1/3以上者</w:t>
            </w:r>
            <w:r>
              <w:rPr>
                <w:rFonts w:hint="eastAsia"/>
                <w:szCs w:val="21"/>
              </w:rPr>
              <w:t>。</w:t>
            </w:r>
          </w:p>
          <w:p>
            <w:pPr>
              <w:spacing w:line="276" w:lineRule="auto"/>
              <w:rPr>
                <w:szCs w:val="21"/>
              </w:rPr>
            </w:pPr>
            <w:r>
              <w:rPr>
                <w:rFonts w:hint="eastAsia"/>
                <w:szCs w:val="21"/>
              </w:rPr>
              <w:t>（2）</w:t>
            </w:r>
            <w:r>
              <w:rPr>
                <w:szCs w:val="21"/>
              </w:rPr>
              <w:t>缺课次数达本学期总授课学时的1/3以上者</w:t>
            </w:r>
            <w:r>
              <w:rPr>
                <w:rFonts w:hint="eastAsia"/>
                <w:szCs w:val="21"/>
              </w:rPr>
              <w:t>。</w:t>
            </w:r>
          </w:p>
          <w:p>
            <w:pPr>
              <w:spacing w:line="276" w:lineRule="auto"/>
              <w:rPr>
                <w:szCs w:val="21"/>
              </w:rPr>
            </w:pPr>
            <w:r>
              <w:rPr>
                <w:rFonts w:hint="eastAsia"/>
                <w:szCs w:val="21"/>
              </w:rPr>
              <w:t>（3）</w:t>
            </w:r>
            <w:r>
              <w:rPr>
                <w:szCs w:val="21"/>
              </w:rPr>
              <w:t>课程目标小于0.6。</w:t>
            </w:r>
          </w:p>
        </w:tc>
      </w:tr>
    </w:tbl>
    <w:p>
      <w:pPr>
        <w:spacing w:line="360" w:lineRule="auto"/>
        <w:ind w:firstLine="551" w:firstLineChars="196"/>
        <w:rPr>
          <w:rFonts w:hint="eastAsia"/>
          <w:b/>
          <w:sz w:val="28"/>
          <w:szCs w:val="28"/>
        </w:rPr>
      </w:pPr>
      <w:r>
        <w:rPr>
          <w:rFonts w:hint="eastAsia"/>
          <w:b/>
          <w:sz w:val="28"/>
          <w:szCs w:val="28"/>
        </w:rPr>
        <w:t>六、考核方式</w:t>
      </w:r>
    </w:p>
    <w:p>
      <w:pPr>
        <w:spacing w:line="360" w:lineRule="auto"/>
        <w:ind w:firstLine="480" w:firstLineChars="200"/>
        <w:rPr>
          <w:sz w:val="24"/>
        </w:rPr>
      </w:pPr>
      <w:r>
        <w:rPr>
          <w:rFonts w:hint="eastAsia"/>
          <w:sz w:val="24"/>
        </w:rPr>
        <w:t>（一）</w:t>
      </w:r>
      <w:r>
        <w:rPr>
          <w:sz w:val="24"/>
        </w:rPr>
        <w:t>课程考核包括期末考试、平时及作业情况考核和实验考核，期末考试采用闭卷笔试。</w:t>
      </w:r>
    </w:p>
    <w:p>
      <w:pPr>
        <w:spacing w:line="360" w:lineRule="auto"/>
        <w:ind w:firstLine="480" w:firstLineChars="200"/>
        <w:rPr>
          <w:sz w:val="24"/>
        </w:rPr>
      </w:pPr>
      <w:r>
        <w:rPr>
          <w:rFonts w:hint="eastAsia"/>
          <w:sz w:val="24"/>
        </w:rPr>
        <w:t>（二）</w:t>
      </w:r>
      <w:r>
        <w:rPr>
          <w:sz w:val="24"/>
        </w:rPr>
        <w:t>课程成绩=平时成绩考试成绩×40%+期末考试成绩×60%。</w:t>
      </w:r>
      <w:r>
        <w:rPr>
          <w:rFonts w:hint="eastAsia"/>
          <w:sz w:val="24"/>
        </w:rPr>
        <w:t>具体内容和比例如表所示。</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1565"/>
        <w:gridCol w:w="808"/>
        <w:gridCol w:w="4410"/>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FFFFFF"/>
            <w:noWrap w:val="0"/>
            <w:tcMar>
              <w:left w:w="57" w:type="dxa"/>
              <w:right w:w="57" w:type="dxa"/>
            </w:tcMar>
            <w:vAlign w:val="center"/>
          </w:tcPr>
          <w:p>
            <w:pPr>
              <w:pStyle w:val="14"/>
              <w:adjustRightInd w:val="0"/>
              <w:snapToGrid w:val="0"/>
              <w:jc w:val="center"/>
              <w:rPr>
                <w:rFonts w:eastAsia="宋体"/>
              </w:rPr>
            </w:pPr>
            <w:r>
              <w:rPr>
                <w:rFonts w:eastAsia="宋体"/>
              </w:rPr>
              <w:t>成绩组成</w:t>
            </w:r>
          </w:p>
        </w:tc>
        <w:tc>
          <w:tcPr>
            <w:tcW w:w="1565" w:type="dxa"/>
            <w:shd w:val="clear" w:color="auto" w:fill="FFFFFF"/>
            <w:noWrap w:val="0"/>
            <w:vAlign w:val="center"/>
          </w:tcPr>
          <w:p>
            <w:pPr>
              <w:pStyle w:val="14"/>
              <w:adjustRightInd w:val="0"/>
              <w:snapToGrid w:val="0"/>
              <w:jc w:val="center"/>
              <w:rPr>
                <w:rFonts w:eastAsia="宋体"/>
              </w:rPr>
            </w:pPr>
            <w:r>
              <w:rPr>
                <w:rFonts w:eastAsia="宋体"/>
              </w:rPr>
              <w:t>考核/评价环节</w:t>
            </w:r>
          </w:p>
        </w:tc>
        <w:tc>
          <w:tcPr>
            <w:tcW w:w="808" w:type="dxa"/>
            <w:shd w:val="clear" w:color="auto" w:fill="FFFFFF"/>
            <w:noWrap w:val="0"/>
            <w:vAlign w:val="center"/>
          </w:tcPr>
          <w:p>
            <w:pPr>
              <w:pStyle w:val="14"/>
              <w:adjustRightInd w:val="0"/>
              <w:snapToGrid w:val="0"/>
              <w:jc w:val="center"/>
              <w:rPr>
                <w:rFonts w:eastAsia="宋体"/>
              </w:rPr>
            </w:pPr>
            <w:r>
              <w:rPr>
                <w:rFonts w:hint="eastAsia" w:eastAsia="宋体"/>
              </w:rPr>
              <w:t>权重</w:t>
            </w:r>
          </w:p>
        </w:tc>
        <w:tc>
          <w:tcPr>
            <w:tcW w:w="4410" w:type="dxa"/>
            <w:shd w:val="clear" w:color="auto" w:fill="FFFFFF"/>
            <w:noWrap w:val="0"/>
            <w:vAlign w:val="center"/>
          </w:tcPr>
          <w:p>
            <w:pPr>
              <w:pStyle w:val="14"/>
              <w:adjustRightInd w:val="0"/>
              <w:snapToGrid w:val="0"/>
              <w:jc w:val="center"/>
              <w:rPr>
                <w:rFonts w:eastAsia="宋体"/>
              </w:rPr>
            </w:pPr>
            <w:r>
              <w:rPr>
                <w:rFonts w:eastAsia="宋体"/>
              </w:rPr>
              <w:t>考核/评价细则</w:t>
            </w:r>
          </w:p>
        </w:tc>
        <w:tc>
          <w:tcPr>
            <w:tcW w:w="1470" w:type="dxa"/>
            <w:shd w:val="clear" w:color="auto" w:fill="FFFFFF"/>
            <w:noWrap w:val="0"/>
            <w:vAlign w:val="center"/>
          </w:tcPr>
          <w:p>
            <w:pPr>
              <w:pStyle w:val="14"/>
              <w:adjustRightInd w:val="0"/>
              <w:snapToGrid w:val="0"/>
              <w:jc w:val="center"/>
              <w:rPr>
                <w:rFonts w:eastAsia="宋体"/>
              </w:rPr>
            </w:pPr>
            <w:r>
              <w:rPr>
                <w:rFonts w:eastAsia="宋体"/>
              </w:rPr>
              <w:t>对应的毕业要求指标点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044" w:type="dxa"/>
            <w:vMerge w:val="restart"/>
            <w:noWrap w:val="0"/>
            <w:tcMar>
              <w:left w:w="57" w:type="dxa"/>
              <w:right w:w="57" w:type="dxa"/>
            </w:tcMar>
            <w:vAlign w:val="center"/>
          </w:tcPr>
          <w:p>
            <w:pPr>
              <w:pStyle w:val="14"/>
              <w:adjustRightInd w:val="0"/>
              <w:snapToGrid w:val="0"/>
              <w:jc w:val="center"/>
              <w:rPr>
                <w:rFonts w:eastAsia="宋体"/>
              </w:rPr>
            </w:pPr>
            <w:r>
              <w:rPr>
                <w:rFonts w:eastAsia="宋体"/>
              </w:rPr>
              <w:t>平时成绩</w:t>
            </w:r>
          </w:p>
        </w:tc>
        <w:tc>
          <w:tcPr>
            <w:tcW w:w="1565" w:type="dxa"/>
            <w:noWrap w:val="0"/>
            <w:vAlign w:val="center"/>
          </w:tcPr>
          <w:p>
            <w:pPr>
              <w:pStyle w:val="14"/>
              <w:adjustRightInd w:val="0"/>
              <w:snapToGrid w:val="0"/>
              <w:jc w:val="center"/>
              <w:rPr>
                <w:rFonts w:eastAsia="宋体"/>
              </w:rPr>
            </w:pPr>
            <w:r>
              <w:rPr>
                <w:rFonts w:eastAsia="宋体"/>
              </w:rPr>
              <w:t>平时作业</w:t>
            </w:r>
          </w:p>
        </w:tc>
        <w:tc>
          <w:tcPr>
            <w:tcW w:w="808" w:type="dxa"/>
            <w:noWrap w:val="0"/>
            <w:vAlign w:val="center"/>
          </w:tcPr>
          <w:p>
            <w:pPr>
              <w:pStyle w:val="14"/>
              <w:adjustRightInd w:val="0"/>
              <w:snapToGrid w:val="0"/>
              <w:jc w:val="center"/>
              <w:rPr>
                <w:rFonts w:eastAsia="宋体"/>
              </w:rPr>
            </w:pPr>
            <w:r>
              <w:rPr>
                <w:rFonts w:eastAsia="宋体"/>
              </w:rPr>
              <w:t>20%</w:t>
            </w:r>
          </w:p>
        </w:tc>
        <w:tc>
          <w:tcPr>
            <w:tcW w:w="4410" w:type="dxa"/>
            <w:noWrap w:val="0"/>
            <w:vAlign w:val="center"/>
          </w:tcPr>
          <w:p>
            <w:pPr>
              <w:pStyle w:val="14"/>
              <w:adjustRightInd w:val="0"/>
              <w:snapToGrid w:val="0"/>
              <w:rPr>
                <w:rFonts w:eastAsia="宋体"/>
              </w:rPr>
            </w:pPr>
            <w:r>
              <w:rPr>
                <w:rFonts w:eastAsia="宋体"/>
              </w:rPr>
              <w:t>课后完成20-30个习题，主要考核学生对每节课知识点的复习、理解和掌握程度，计算全部作业的平均成绩再按20%计入总成绩。</w:t>
            </w:r>
          </w:p>
        </w:tc>
        <w:tc>
          <w:tcPr>
            <w:tcW w:w="1470" w:type="dxa"/>
            <w:noWrap w:val="0"/>
            <w:vAlign w:val="center"/>
          </w:tcPr>
          <w:p>
            <w:pPr>
              <w:pStyle w:val="14"/>
              <w:adjustRightInd w:val="0"/>
              <w:snapToGrid w:val="0"/>
              <w:jc w:val="center"/>
              <w:rPr>
                <w:rFonts w:eastAsia="宋体"/>
              </w:rPr>
            </w:pPr>
            <w:r>
              <w:rPr>
                <w:rFonts w:hint="eastAsia" w:eastAsia="宋体"/>
                <w:color w:val="000000"/>
                <w:szCs w:val="21"/>
              </w:rPr>
              <w:t>1、3、6、8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trPr>
        <w:tc>
          <w:tcPr>
            <w:tcW w:w="1044" w:type="dxa"/>
            <w:vMerge w:val="continue"/>
            <w:noWrap w:val="0"/>
            <w:tcMar>
              <w:left w:w="57" w:type="dxa"/>
              <w:right w:w="57" w:type="dxa"/>
            </w:tcMar>
            <w:vAlign w:val="center"/>
          </w:tcPr>
          <w:p>
            <w:pPr>
              <w:pStyle w:val="14"/>
              <w:adjustRightInd w:val="0"/>
              <w:snapToGrid w:val="0"/>
              <w:jc w:val="center"/>
              <w:rPr>
                <w:rFonts w:eastAsia="宋体"/>
              </w:rPr>
            </w:pPr>
          </w:p>
        </w:tc>
        <w:tc>
          <w:tcPr>
            <w:tcW w:w="1565" w:type="dxa"/>
            <w:noWrap w:val="0"/>
            <w:vAlign w:val="center"/>
          </w:tcPr>
          <w:p>
            <w:pPr>
              <w:pStyle w:val="14"/>
              <w:adjustRightInd w:val="0"/>
              <w:snapToGrid w:val="0"/>
              <w:jc w:val="center"/>
              <w:rPr>
                <w:rFonts w:hint="eastAsia" w:eastAsia="宋体"/>
              </w:rPr>
            </w:pPr>
            <w:r>
              <w:rPr>
                <w:rFonts w:hint="eastAsia" w:eastAsia="宋体"/>
              </w:rPr>
              <w:t>考勤</w:t>
            </w:r>
            <w:r>
              <w:rPr>
                <w:rFonts w:eastAsia="宋体"/>
              </w:rPr>
              <w:t>及</w:t>
            </w:r>
          </w:p>
          <w:p>
            <w:pPr>
              <w:pStyle w:val="14"/>
              <w:adjustRightInd w:val="0"/>
              <w:snapToGrid w:val="0"/>
              <w:jc w:val="center"/>
              <w:rPr>
                <w:rFonts w:eastAsia="宋体"/>
              </w:rPr>
            </w:pPr>
            <w:r>
              <w:rPr>
                <w:rFonts w:eastAsia="宋体"/>
              </w:rPr>
              <w:t>课堂练习</w:t>
            </w:r>
          </w:p>
        </w:tc>
        <w:tc>
          <w:tcPr>
            <w:tcW w:w="808" w:type="dxa"/>
            <w:noWrap w:val="0"/>
            <w:vAlign w:val="center"/>
          </w:tcPr>
          <w:p>
            <w:pPr>
              <w:pStyle w:val="14"/>
              <w:adjustRightInd w:val="0"/>
              <w:snapToGrid w:val="0"/>
              <w:jc w:val="center"/>
              <w:rPr>
                <w:rFonts w:eastAsia="宋体"/>
              </w:rPr>
            </w:pPr>
            <w:r>
              <w:rPr>
                <w:rFonts w:eastAsia="宋体"/>
              </w:rPr>
              <w:t>20%</w:t>
            </w:r>
          </w:p>
        </w:tc>
        <w:tc>
          <w:tcPr>
            <w:tcW w:w="4410" w:type="dxa"/>
            <w:noWrap w:val="0"/>
            <w:vAlign w:val="center"/>
          </w:tcPr>
          <w:p>
            <w:pPr>
              <w:pStyle w:val="14"/>
              <w:adjustRightInd w:val="0"/>
              <w:snapToGrid w:val="0"/>
              <w:rPr>
                <w:rFonts w:eastAsia="宋体"/>
                <w:szCs w:val="21"/>
              </w:rPr>
            </w:pPr>
            <w:r>
              <w:rPr>
                <w:rFonts w:eastAsia="宋体"/>
                <w:color w:val="000000"/>
                <w:szCs w:val="21"/>
              </w:rPr>
              <w:t>以随机的形式，在每章内容进行中或结束后，随堂测试1-3题，主要考核学生课堂的听课效果和课后及时复习消化本章知识的能力</w:t>
            </w:r>
            <w:r>
              <w:rPr>
                <w:rFonts w:eastAsia="宋体"/>
                <w:szCs w:val="21"/>
              </w:rPr>
              <w:t>，结合平时</w:t>
            </w:r>
            <w:r>
              <w:rPr>
                <w:rFonts w:hint="eastAsia" w:eastAsia="宋体"/>
                <w:szCs w:val="21"/>
              </w:rPr>
              <w:t>考勤</w:t>
            </w:r>
            <w:r>
              <w:rPr>
                <w:rFonts w:eastAsia="宋体"/>
                <w:szCs w:val="21"/>
              </w:rPr>
              <w:t>，最后按20%计入课程总成绩。</w:t>
            </w:r>
          </w:p>
        </w:tc>
        <w:tc>
          <w:tcPr>
            <w:tcW w:w="1470" w:type="dxa"/>
            <w:noWrap w:val="0"/>
            <w:vAlign w:val="center"/>
          </w:tcPr>
          <w:p>
            <w:pPr>
              <w:pStyle w:val="14"/>
              <w:adjustRightInd w:val="0"/>
              <w:snapToGrid w:val="0"/>
              <w:jc w:val="center"/>
              <w:rPr>
                <w:rFonts w:eastAsia="宋体"/>
              </w:rPr>
            </w:pPr>
            <w:r>
              <w:rPr>
                <w:rFonts w:hint="eastAsia" w:eastAsia="宋体"/>
                <w:color w:val="000000"/>
                <w:szCs w:val="21"/>
              </w:rPr>
              <w:t>1、3、6、8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trPr>
        <w:tc>
          <w:tcPr>
            <w:tcW w:w="1044" w:type="dxa"/>
            <w:noWrap w:val="0"/>
            <w:tcMar>
              <w:left w:w="57" w:type="dxa"/>
              <w:right w:w="57" w:type="dxa"/>
            </w:tcMar>
            <w:vAlign w:val="center"/>
          </w:tcPr>
          <w:p>
            <w:pPr>
              <w:pStyle w:val="14"/>
              <w:adjustRightInd w:val="0"/>
              <w:snapToGrid w:val="0"/>
              <w:jc w:val="center"/>
              <w:rPr>
                <w:rFonts w:eastAsia="宋体"/>
              </w:rPr>
            </w:pPr>
            <w:r>
              <w:rPr>
                <w:rFonts w:eastAsia="宋体"/>
              </w:rPr>
              <w:t>期末考试</w:t>
            </w:r>
          </w:p>
          <w:p>
            <w:pPr>
              <w:pStyle w:val="14"/>
              <w:adjustRightInd w:val="0"/>
              <w:snapToGrid w:val="0"/>
              <w:jc w:val="center"/>
              <w:rPr>
                <w:rFonts w:eastAsia="宋体"/>
              </w:rPr>
            </w:pPr>
          </w:p>
        </w:tc>
        <w:tc>
          <w:tcPr>
            <w:tcW w:w="1565" w:type="dxa"/>
            <w:noWrap w:val="0"/>
            <w:vAlign w:val="center"/>
          </w:tcPr>
          <w:p>
            <w:pPr>
              <w:pStyle w:val="14"/>
              <w:adjustRightInd w:val="0"/>
              <w:snapToGrid w:val="0"/>
              <w:jc w:val="center"/>
              <w:rPr>
                <w:rFonts w:hint="eastAsia" w:eastAsia="宋体"/>
              </w:rPr>
            </w:pPr>
            <w:r>
              <w:rPr>
                <w:rFonts w:eastAsia="宋体"/>
              </w:rPr>
              <w:t>期末考试</w:t>
            </w:r>
          </w:p>
          <w:p>
            <w:pPr>
              <w:pStyle w:val="14"/>
              <w:adjustRightInd w:val="0"/>
              <w:snapToGrid w:val="0"/>
              <w:jc w:val="center"/>
              <w:rPr>
                <w:rFonts w:eastAsia="宋体"/>
              </w:rPr>
            </w:pPr>
            <w:r>
              <w:rPr>
                <w:rFonts w:hint="eastAsia" w:eastAsia="宋体"/>
              </w:rPr>
              <w:t>卷面</w:t>
            </w:r>
            <w:r>
              <w:rPr>
                <w:rFonts w:eastAsia="宋体"/>
              </w:rPr>
              <w:t>成绩</w:t>
            </w:r>
          </w:p>
        </w:tc>
        <w:tc>
          <w:tcPr>
            <w:tcW w:w="808" w:type="dxa"/>
            <w:noWrap w:val="0"/>
            <w:vAlign w:val="center"/>
          </w:tcPr>
          <w:p>
            <w:pPr>
              <w:pStyle w:val="14"/>
              <w:adjustRightInd w:val="0"/>
              <w:snapToGrid w:val="0"/>
              <w:jc w:val="center"/>
              <w:rPr>
                <w:rFonts w:eastAsia="宋体"/>
              </w:rPr>
            </w:pPr>
            <w:r>
              <w:rPr>
                <w:rFonts w:eastAsia="宋体"/>
              </w:rPr>
              <w:t>60%</w:t>
            </w:r>
          </w:p>
        </w:tc>
        <w:tc>
          <w:tcPr>
            <w:tcW w:w="4410" w:type="dxa"/>
            <w:noWrap w:val="0"/>
            <w:vAlign w:val="center"/>
          </w:tcPr>
          <w:p>
            <w:pPr>
              <w:pStyle w:val="14"/>
              <w:adjustRightInd w:val="0"/>
              <w:snapToGrid w:val="0"/>
              <w:rPr>
                <w:rFonts w:eastAsia="宋体"/>
                <w:color w:val="000000"/>
                <w:szCs w:val="21"/>
              </w:rPr>
            </w:pPr>
            <w:r>
              <w:rPr>
                <w:rFonts w:eastAsia="宋体"/>
                <w:color w:val="000000"/>
                <w:szCs w:val="21"/>
              </w:rPr>
              <w:t>试卷题型包括填空题、简答题、综合应用题等，以卷面成绩的60%计入课程总成绩</w:t>
            </w:r>
          </w:p>
        </w:tc>
        <w:tc>
          <w:tcPr>
            <w:tcW w:w="1470" w:type="dxa"/>
            <w:noWrap w:val="0"/>
            <w:vAlign w:val="center"/>
          </w:tcPr>
          <w:p>
            <w:pPr>
              <w:pStyle w:val="14"/>
              <w:adjustRightInd w:val="0"/>
              <w:snapToGrid w:val="0"/>
              <w:jc w:val="center"/>
              <w:rPr>
                <w:rFonts w:eastAsia="宋体"/>
              </w:rPr>
            </w:pPr>
            <w:r>
              <w:rPr>
                <w:rFonts w:hint="eastAsia" w:eastAsia="宋体"/>
                <w:color w:val="000000"/>
                <w:szCs w:val="21"/>
              </w:rPr>
              <w:t>1、3、6、8</w:t>
            </w:r>
          </w:p>
        </w:tc>
      </w:tr>
    </w:tbl>
    <w:p>
      <w:pPr>
        <w:spacing w:line="360" w:lineRule="auto"/>
        <w:ind w:firstLine="480" w:firstLineChars="200"/>
        <w:rPr>
          <w:sz w:val="24"/>
          <w:szCs w:val="22"/>
        </w:rPr>
      </w:pPr>
      <w:r>
        <w:rPr>
          <w:sz w:val="24"/>
          <w:szCs w:val="22"/>
        </w:rPr>
        <w:t>（三）所有课程目标均</w:t>
      </w:r>
      <w:r>
        <w:rPr>
          <w:rFonts w:hint="eastAsia"/>
          <w:sz w:val="24"/>
          <w:szCs w:val="22"/>
        </w:rPr>
        <w:t>需</w:t>
      </w:r>
      <w:r>
        <w:rPr>
          <w:sz w:val="24"/>
          <w:szCs w:val="22"/>
        </w:rPr>
        <w:t>大于等于0.6，否则总评成绩不及格，需要补考或重</w:t>
      </w:r>
      <w:r>
        <w:rPr>
          <w:rFonts w:hint="eastAsia"/>
          <w:sz w:val="24"/>
          <w:szCs w:val="22"/>
        </w:rPr>
        <w:t>修。</w:t>
      </w:r>
      <w:r>
        <w:rPr>
          <w:sz w:val="24"/>
          <w:szCs w:val="22"/>
        </w:rPr>
        <w:t>每</w:t>
      </w:r>
      <w:r>
        <w:rPr>
          <w:rFonts w:hint="eastAsia"/>
          <w:sz w:val="24"/>
          <w:szCs w:val="22"/>
        </w:rPr>
        <w:t>个</w:t>
      </w:r>
      <w:r>
        <w:rPr>
          <w:sz w:val="24"/>
          <w:szCs w:val="22"/>
        </w:rPr>
        <w:t>课程目标达成度计算方法如下：</w:t>
      </w:r>
    </w:p>
    <w:p>
      <w:pPr>
        <w:widowControl/>
        <w:spacing w:line="360" w:lineRule="auto"/>
        <w:jc w:val="center"/>
        <w:textAlignment w:val="baseline"/>
        <w:rPr>
          <w:rFonts w:hint="eastAsia"/>
          <w:kern w:val="0"/>
          <w:position w:val="-22"/>
          <w:szCs w:val="21"/>
        </w:rPr>
      </w:pPr>
      <w:r>
        <w:rPr>
          <w:kern w:val="0"/>
          <w:position w:val="-22"/>
          <w:szCs w:val="21"/>
        </w:rPr>
        <w:pict>
          <v:shape id="_x0000_s2056" o:spid="_x0000_s2056" o:spt="75" type="#_x0000_t75" style="position:absolute;left:0pt;margin-left:42.7pt;margin-top:7.85pt;height:32.65pt;width:360pt;mso-wrap-distance-bottom:0pt;mso-wrap-distance-left:9pt;mso-wrap-distance-right:9pt;mso-wrap-distance-top:0pt;z-index:251669504;mso-width-relative:page;mso-height-relative:page;" o:ole="t" filled="f" o:preferrelative="t" stroked="f" coordsize="21600,21600">
            <v:path/>
            <v:fill on="f" alignshape="1" focussize="0,0"/>
            <v:stroke on="f"/>
            <v:imagedata r:id="rId28" o:title=""/>
            <o:lock v:ext="edit" aspectratio="t"/>
            <w10:wrap type="square"/>
          </v:shape>
          <o:OLEObject Type="Embed" ProgID="Equation.3" ShapeID="_x0000_s2056" DrawAspect="Content" ObjectID="_1468075739" r:id="rId38">
            <o:LockedField>false</o:LockedField>
          </o:OLEObject>
        </w:pict>
      </w:r>
    </w:p>
    <w:p>
      <w:pPr>
        <w:widowControl/>
        <w:spacing w:line="360" w:lineRule="auto"/>
        <w:jc w:val="center"/>
        <w:textAlignment w:val="baseline"/>
        <w:rPr>
          <w:rFonts w:hint="eastAsia"/>
          <w:kern w:val="0"/>
          <w:position w:val="-22"/>
          <w:szCs w:val="21"/>
        </w:rPr>
      </w:pPr>
    </w:p>
    <w:p>
      <w:pPr>
        <w:spacing w:line="360" w:lineRule="auto"/>
        <w:rPr>
          <w:sz w:val="24"/>
          <w:szCs w:val="22"/>
        </w:rPr>
      </w:pPr>
      <w:r>
        <w:rPr>
          <w:sz w:val="24"/>
          <w:szCs w:val="22"/>
        </w:rPr>
        <w:t>式中：Ai=平时成绩占总评成绩的权重×课程目标i在平时成绩中的权重，</w:t>
      </w:r>
    </w:p>
    <w:p>
      <w:pPr>
        <w:spacing w:line="360" w:lineRule="auto"/>
        <w:ind w:firstLine="720" w:firstLineChars="300"/>
        <w:rPr>
          <w:sz w:val="24"/>
          <w:szCs w:val="22"/>
        </w:rPr>
      </w:pPr>
      <w:r>
        <w:rPr>
          <w:sz w:val="24"/>
          <w:szCs w:val="22"/>
        </w:rPr>
        <w:t>Bi=实</w:t>
      </w:r>
      <w:r>
        <w:rPr>
          <w:rFonts w:hint="eastAsia"/>
          <w:sz w:val="24"/>
          <w:szCs w:val="22"/>
        </w:rPr>
        <w:t>验</w:t>
      </w:r>
      <w:r>
        <w:rPr>
          <w:sz w:val="24"/>
          <w:szCs w:val="22"/>
        </w:rPr>
        <w:t>成绩占总评成绩的权重×课程目标i在实</w:t>
      </w:r>
      <w:r>
        <w:rPr>
          <w:rFonts w:hint="eastAsia"/>
          <w:sz w:val="24"/>
          <w:szCs w:val="22"/>
        </w:rPr>
        <w:t>验</w:t>
      </w:r>
      <w:r>
        <w:rPr>
          <w:sz w:val="24"/>
          <w:szCs w:val="22"/>
        </w:rPr>
        <w:t>成绩中的权重，</w:t>
      </w:r>
    </w:p>
    <w:p>
      <w:pPr>
        <w:spacing w:line="360" w:lineRule="auto"/>
        <w:ind w:firstLine="720" w:firstLineChars="300"/>
        <w:rPr>
          <w:sz w:val="24"/>
          <w:szCs w:val="22"/>
        </w:rPr>
      </w:pPr>
      <w:r>
        <w:rPr>
          <w:sz w:val="24"/>
          <w:szCs w:val="22"/>
        </w:rPr>
        <w:t>Ci=</w:t>
      </w:r>
      <w:r>
        <w:rPr>
          <w:rFonts w:hint="eastAsia"/>
          <w:sz w:val="24"/>
          <w:szCs w:val="22"/>
        </w:rPr>
        <w:t>期末</w:t>
      </w:r>
      <w:r>
        <w:rPr>
          <w:sz w:val="24"/>
          <w:szCs w:val="22"/>
        </w:rPr>
        <w:t>成绩占总评成绩的权重×课程目标i在</w:t>
      </w:r>
      <w:r>
        <w:rPr>
          <w:rFonts w:hint="eastAsia"/>
          <w:sz w:val="24"/>
          <w:szCs w:val="22"/>
        </w:rPr>
        <w:t>期末</w:t>
      </w:r>
      <w:r>
        <w:rPr>
          <w:sz w:val="24"/>
          <w:szCs w:val="22"/>
        </w:rPr>
        <w:t>成绩中的权重。</w:t>
      </w:r>
    </w:p>
    <w:p>
      <w:pPr>
        <w:spacing w:line="360" w:lineRule="auto"/>
        <w:ind w:firstLine="551" w:firstLineChars="196"/>
        <w:rPr>
          <w:rFonts w:hint="eastAsia"/>
          <w:b/>
          <w:sz w:val="28"/>
          <w:szCs w:val="28"/>
        </w:rPr>
      </w:pPr>
    </w:p>
    <w:p>
      <w:pPr>
        <w:spacing w:line="360" w:lineRule="auto"/>
        <w:ind w:firstLine="551" w:firstLineChars="196"/>
        <w:rPr>
          <w:rFonts w:hint="eastAsia"/>
          <w:b/>
          <w:sz w:val="28"/>
          <w:szCs w:val="28"/>
        </w:rPr>
      </w:pPr>
      <w:r>
        <w:rPr>
          <w:rFonts w:hint="eastAsia"/>
          <w:b/>
          <w:sz w:val="28"/>
          <w:szCs w:val="28"/>
        </w:rPr>
        <w:t>七、有关说明</w:t>
      </w:r>
    </w:p>
    <w:p>
      <w:pPr>
        <w:spacing w:line="360" w:lineRule="auto"/>
        <w:ind w:firstLine="482" w:firstLineChars="200"/>
        <w:rPr>
          <w:rFonts w:hint="eastAsia"/>
          <w:b/>
          <w:color w:val="000000"/>
          <w:sz w:val="24"/>
        </w:rPr>
      </w:pPr>
      <w:r>
        <w:rPr>
          <w:rFonts w:hint="eastAsia"/>
          <w:b/>
          <w:color w:val="000000"/>
          <w:sz w:val="24"/>
        </w:rPr>
        <w:t>（一）持续改进</w:t>
      </w:r>
    </w:p>
    <w:p>
      <w:pPr>
        <w:spacing w:line="360" w:lineRule="auto"/>
        <w:ind w:firstLine="480" w:firstLineChars="200"/>
        <w:rPr>
          <w:sz w:val="24"/>
          <w:szCs w:val="22"/>
        </w:rPr>
      </w:pPr>
      <w:r>
        <w:rPr>
          <w:sz w:val="24"/>
          <w:szCs w:val="22"/>
        </w:rPr>
        <w:t>本课程根据学生作业、课堂讨论、实验环节、平时考核情况和学生、教学督导等</w:t>
      </w:r>
      <w:r>
        <w:rPr>
          <w:rFonts w:hint="eastAsia"/>
          <w:sz w:val="24"/>
          <w:szCs w:val="22"/>
        </w:rPr>
        <w:t>的</w:t>
      </w:r>
      <w:r>
        <w:rPr>
          <w:sz w:val="24"/>
          <w:szCs w:val="22"/>
        </w:rPr>
        <w:t>反馈，及时对教学中</w:t>
      </w:r>
      <w:r>
        <w:rPr>
          <w:rFonts w:hint="eastAsia"/>
          <w:sz w:val="24"/>
          <w:szCs w:val="22"/>
        </w:rPr>
        <w:t>的</w:t>
      </w:r>
      <w:r>
        <w:rPr>
          <w:sz w:val="24"/>
          <w:szCs w:val="22"/>
        </w:rPr>
        <w:t>不足之处进行改进，并在下一轮课程教学中</w:t>
      </w:r>
      <w:r>
        <w:rPr>
          <w:rFonts w:hint="eastAsia"/>
          <w:sz w:val="24"/>
          <w:szCs w:val="22"/>
        </w:rPr>
        <w:t>整改完善</w:t>
      </w:r>
      <w:r>
        <w:rPr>
          <w:sz w:val="24"/>
          <w:szCs w:val="22"/>
        </w:rPr>
        <w:t>，确保相应毕业要求指标点达成。</w:t>
      </w:r>
    </w:p>
    <w:p>
      <w:pPr>
        <w:spacing w:line="360" w:lineRule="auto"/>
        <w:ind w:firstLine="482" w:firstLineChars="200"/>
        <w:rPr>
          <w:rFonts w:hint="eastAsia"/>
          <w:b/>
          <w:color w:val="000000"/>
          <w:sz w:val="24"/>
        </w:rPr>
      </w:pPr>
      <w:r>
        <w:rPr>
          <w:rFonts w:hint="eastAsia"/>
          <w:b/>
          <w:color w:val="000000"/>
          <w:sz w:val="24"/>
        </w:rPr>
        <w:t>（二）</w:t>
      </w:r>
      <w:r>
        <w:rPr>
          <w:b/>
          <w:color w:val="000000"/>
          <w:sz w:val="24"/>
        </w:rPr>
        <w:t>参考书目及学习资料</w:t>
      </w:r>
    </w:p>
    <w:p>
      <w:pPr>
        <w:spacing w:line="360" w:lineRule="auto"/>
        <w:ind w:firstLine="480" w:firstLineChars="200"/>
        <w:rPr>
          <w:rFonts w:hint="eastAsia"/>
          <w:sz w:val="24"/>
        </w:rPr>
      </w:pPr>
      <w:r>
        <w:rPr>
          <w:rFonts w:hint="eastAsia"/>
          <w:sz w:val="24"/>
        </w:rPr>
        <w:t>1. 姚日生         制药工程原理与设备  北京：高等教育出版社</w:t>
      </w:r>
    </w:p>
    <w:p>
      <w:pPr>
        <w:spacing w:line="360" w:lineRule="auto"/>
        <w:ind w:firstLine="480" w:firstLineChars="200"/>
        <w:rPr>
          <w:rFonts w:hint="eastAsia"/>
          <w:sz w:val="24"/>
        </w:rPr>
      </w:pPr>
      <w:r>
        <w:rPr>
          <w:rFonts w:hint="eastAsia"/>
          <w:sz w:val="24"/>
        </w:rPr>
        <w:t>2. 朱宏吉等       制药设备与工程技术  北京：化学工业出版社</w:t>
      </w:r>
    </w:p>
    <w:p>
      <w:pPr>
        <w:spacing w:line="360" w:lineRule="auto"/>
        <w:ind w:firstLine="480" w:firstLineChars="200"/>
        <w:rPr>
          <w:rFonts w:hint="eastAsia"/>
          <w:sz w:val="24"/>
        </w:rPr>
      </w:pPr>
      <w:r>
        <w:rPr>
          <w:rFonts w:hint="eastAsia"/>
          <w:sz w:val="24"/>
        </w:rPr>
        <w:t>3. 罗桂民         酶工程              北京：化学工业出版社</w:t>
      </w:r>
    </w:p>
    <w:p>
      <w:pPr>
        <w:spacing w:line="360" w:lineRule="auto"/>
        <w:ind w:firstLine="480" w:firstLineChars="200"/>
        <w:rPr>
          <w:rFonts w:hint="eastAsia"/>
          <w:sz w:val="24"/>
        </w:rPr>
      </w:pPr>
      <w:r>
        <w:rPr>
          <w:rFonts w:hint="eastAsia"/>
          <w:sz w:val="24"/>
        </w:rPr>
        <w:t>4. 王志祥         制药工程原理与设备  北京：人民卫生出版社</w:t>
      </w:r>
    </w:p>
    <w:p>
      <w:pPr>
        <w:spacing w:line="360" w:lineRule="auto"/>
        <w:ind w:firstLine="480" w:firstLineChars="200"/>
        <w:rPr>
          <w:rFonts w:hint="eastAsia"/>
          <w:b/>
          <w:szCs w:val="21"/>
        </w:rPr>
      </w:pPr>
      <w:r>
        <w:rPr>
          <w:rFonts w:hint="eastAsia"/>
          <w:sz w:val="24"/>
        </w:rPr>
        <w:t>5. 谭天恩         化工原理            北京：化学工业出版社</w:t>
      </w:r>
    </w:p>
    <w:p>
      <w:pPr>
        <w:spacing w:line="360" w:lineRule="auto"/>
        <w:ind w:left="5460" w:firstLine="420"/>
        <w:rPr>
          <w:rFonts w:hint="eastAsia"/>
          <w:kern w:val="0"/>
          <w:sz w:val="24"/>
          <w:szCs w:val="21"/>
        </w:rPr>
      </w:pPr>
      <w:r>
        <w:rPr>
          <w:rFonts w:hint="eastAsia"/>
          <w:kern w:val="0"/>
          <w:sz w:val="24"/>
          <w:szCs w:val="21"/>
        </w:rPr>
        <w:t xml:space="preserve">执笔人：张震威 </w:t>
      </w:r>
    </w:p>
    <w:p>
      <w:pPr>
        <w:spacing w:line="360" w:lineRule="auto"/>
        <w:ind w:left="5460" w:firstLine="420"/>
        <w:rPr>
          <w:rFonts w:hint="eastAsia"/>
          <w:kern w:val="0"/>
          <w:sz w:val="24"/>
          <w:szCs w:val="21"/>
        </w:rPr>
      </w:pPr>
      <w:r>
        <w:rPr>
          <w:rFonts w:hint="eastAsia"/>
          <w:kern w:val="0"/>
          <w:sz w:val="24"/>
          <w:szCs w:val="21"/>
        </w:rPr>
        <w:t>审定人：</w:t>
      </w:r>
      <w:r>
        <w:rPr>
          <w:rFonts w:hint="eastAsia"/>
          <w:kern w:val="0"/>
          <w:sz w:val="24"/>
          <w:szCs w:val="21"/>
          <w:lang w:eastAsia="zh-CN"/>
        </w:rPr>
        <w:t>魏雪姣</w:t>
      </w:r>
      <w:r>
        <w:rPr>
          <w:rFonts w:hint="eastAsia"/>
          <w:kern w:val="0"/>
          <w:sz w:val="24"/>
          <w:szCs w:val="21"/>
        </w:rPr>
        <w:t xml:space="preserve"> </w:t>
      </w:r>
    </w:p>
    <w:p>
      <w:pPr>
        <w:spacing w:line="360" w:lineRule="auto"/>
        <w:ind w:left="5460" w:firstLine="420"/>
        <w:rPr>
          <w:rFonts w:hint="eastAsia"/>
          <w:sz w:val="24"/>
        </w:rPr>
      </w:pPr>
      <w:r>
        <w:rPr>
          <w:rFonts w:hint="eastAsia"/>
          <w:kern w:val="0"/>
          <w:sz w:val="24"/>
          <w:szCs w:val="21"/>
        </w:rPr>
        <w:t>批准人：</w:t>
      </w:r>
      <w:r>
        <w:rPr>
          <w:rFonts w:hint="eastAsia"/>
          <w:kern w:val="0"/>
          <w:sz w:val="24"/>
          <w:szCs w:val="21"/>
          <w:lang w:eastAsia="zh-CN"/>
        </w:rPr>
        <w:t>吴泽颖</w:t>
      </w:r>
      <w:r>
        <w:rPr>
          <w:rFonts w:hint="eastAsia"/>
          <w:sz w:val="24"/>
        </w:rPr>
        <w:t xml:space="preserve"> </w:t>
      </w:r>
    </w:p>
    <w:p>
      <w:pPr>
        <w:spacing w:line="360" w:lineRule="auto"/>
        <w:rPr>
          <w:rFonts w:hint="default" w:eastAsia="宋体"/>
          <w:kern w:val="0"/>
          <w:sz w:val="24"/>
          <w:szCs w:val="21"/>
          <w:lang w:val="en-US" w:eastAsia="zh-CN"/>
        </w:rPr>
      </w:pPr>
      <w:r>
        <w:rPr>
          <w:rFonts w:hint="eastAsia"/>
          <w:sz w:val="24"/>
        </w:rPr>
        <w:t xml:space="preserve">                                                 </w:t>
      </w:r>
      <w:r>
        <w:rPr>
          <w:rFonts w:hint="eastAsia"/>
          <w:kern w:val="0"/>
          <w:sz w:val="24"/>
          <w:szCs w:val="21"/>
        </w:rPr>
        <w:t>批准时间：</w:t>
      </w:r>
      <w:r>
        <w:rPr>
          <w:rFonts w:hint="eastAsia"/>
          <w:kern w:val="0"/>
          <w:sz w:val="24"/>
          <w:szCs w:val="21"/>
          <w:lang w:val="en-US" w:eastAsia="zh-CN"/>
        </w:rPr>
        <w:t>2021.9.1</w:t>
      </w:r>
    </w:p>
    <w:p>
      <w:pPr>
        <w:pStyle w:val="3"/>
        <w:bidi w:val="0"/>
        <w:jc w:val="center"/>
        <w:rPr>
          <w:rFonts w:hint="eastAsia"/>
        </w:rPr>
      </w:pPr>
    </w:p>
    <w:p>
      <w:pPr>
        <w:pStyle w:val="3"/>
        <w:bidi w:val="0"/>
        <w:jc w:val="center"/>
        <w:rPr>
          <w:rFonts w:hint="eastAsia"/>
        </w:rPr>
      </w:pPr>
    </w:p>
    <w:p>
      <w:pPr>
        <w:pStyle w:val="3"/>
        <w:bidi w:val="0"/>
        <w:jc w:val="center"/>
        <w:rPr>
          <w:rFonts w:hint="eastAsia"/>
        </w:rPr>
      </w:pPr>
    </w:p>
    <w:p>
      <w:pPr>
        <w:pStyle w:val="3"/>
        <w:bidi w:val="0"/>
        <w:jc w:val="center"/>
        <w:rPr>
          <w:rFonts w:hint="eastAsia"/>
        </w:rPr>
      </w:pPr>
    </w:p>
    <w:p>
      <w:pPr>
        <w:pStyle w:val="3"/>
        <w:bidi w:val="0"/>
        <w:jc w:val="center"/>
        <w:rPr>
          <w:rFonts w:hint="eastAsia"/>
        </w:rPr>
      </w:pPr>
    </w:p>
    <w:p>
      <w:pPr>
        <w:pStyle w:val="3"/>
        <w:bidi w:val="0"/>
        <w:jc w:val="center"/>
        <w:rPr>
          <w:rFonts w:hint="eastAsia"/>
        </w:rPr>
      </w:pPr>
    </w:p>
    <w:p>
      <w:pPr>
        <w:pStyle w:val="3"/>
        <w:bidi w:val="0"/>
        <w:jc w:val="center"/>
        <w:rPr>
          <w:rFonts w:hint="eastAsia"/>
        </w:rPr>
      </w:pPr>
    </w:p>
    <w:p>
      <w:pPr>
        <w:pStyle w:val="3"/>
        <w:bidi w:val="0"/>
        <w:jc w:val="center"/>
      </w:pPr>
      <w:bookmarkStart w:id="259" w:name="_Toc31210"/>
      <w:bookmarkStart w:id="260" w:name="_Toc15091"/>
      <w:r>
        <w:rPr>
          <w:rFonts w:hint="eastAsia"/>
        </w:rPr>
        <w:t>生产质量管理（双语）</w:t>
      </w:r>
      <w:r>
        <w:t>课程教学大纲</w:t>
      </w:r>
      <w:bookmarkEnd w:id="259"/>
      <w:bookmarkEnd w:id="260"/>
    </w:p>
    <w:p>
      <w:pPr>
        <w:spacing w:line="312" w:lineRule="auto"/>
        <w:jc w:val="center"/>
        <w:rPr>
          <w:b/>
          <w:bCs/>
          <w:sz w:val="30"/>
        </w:rPr>
      </w:pPr>
      <w:r>
        <w:rPr>
          <w:b/>
          <w:bCs/>
          <w:sz w:val="30"/>
        </w:rPr>
        <w:t xml:space="preserve">（Production </w:t>
      </w:r>
      <w:r>
        <w:rPr>
          <w:rFonts w:hint="eastAsia"/>
          <w:b/>
          <w:bCs/>
          <w:sz w:val="30"/>
        </w:rPr>
        <w:t>Q</w:t>
      </w:r>
      <w:r>
        <w:rPr>
          <w:b/>
          <w:bCs/>
          <w:sz w:val="30"/>
        </w:rPr>
        <w:t xml:space="preserve">uality </w:t>
      </w:r>
      <w:r>
        <w:rPr>
          <w:rFonts w:hint="eastAsia"/>
          <w:b/>
          <w:bCs/>
          <w:sz w:val="30"/>
        </w:rPr>
        <w:t>M</w:t>
      </w:r>
      <w:r>
        <w:rPr>
          <w:b/>
          <w:bCs/>
          <w:sz w:val="30"/>
        </w:rPr>
        <w:t>anagement</w:t>
      </w:r>
      <w:r>
        <w:rPr>
          <w:rFonts w:hint="eastAsia"/>
          <w:b/>
          <w:bCs/>
          <w:sz w:val="30"/>
        </w:rPr>
        <w:t>）</w:t>
      </w:r>
    </w:p>
    <w:p>
      <w:pPr>
        <w:spacing w:line="360" w:lineRule="auto"/>
        <w:ind w:firstLine="551" w:firstLineChars="196"/>
        <w:rPr>
          <w:rFonts w:hint="eastAsia"/>
          <w:b/>
          <w:sz w:val="28"/>
          <w:szCs w:val="28"/>
        </w:rPr>
      </w:pPr>
      <w:r>
        <w:rPr>
          <w:b/>
          <w:sz w:val="28"/>
          <w:szCs w:val="28"/>
        </w:rPr>
        <w:t>一、课程概况</w:t>
      </w:r>
    </w:p>
    <w:p>
      <w:pPr>
        <w:spacing w:line="360" w:lineRule="auto"/>
        <w:ind w:firstLine="482" w:firstLineChars="200"/>
        <w:rPr>
          <w:b/>
          <w:sz w:val="28"/>
          <w:szCs w:val="28"/>
        </w:rPr>
      </w:pPr>
      <w:r>
        <w:rPr>
          <w:rFonts w:ascii="宋体" w:hAnsi="宋体"/>
          <w:b/>
          <w:bCs/>
          <w:kern w:val="0"/>
          <w:sz w:val="24"/>
        </w:rPr>
        <w:t>课程代码</w:t>
      </w:r>
      <w:r>
        <w:rPr>
          <w:rFonts w:ascii="宋体" w:hAnsi="宋体"/>
          <w:b/>
          <w:kern w:val="0"/>
          <w:sz w:val="24"/>
        </w:rPr>
        <w:t>：2501023</w:t>
      </w:r>
    </w:p>
    <w:p>
      <w:pPr>
        <w:spacing w:line="360" w:lineRule="auto"/>
        <w:ind w:firstLine="482" w:firstLineChars="200"/>
        <w:rPr>
          <w:rFonts w:ascii="宋体" w:hAnsi="宋体"/>
          <w:b/>
          <w:kern w:val="0"/>
          <w:sz w:val="24"/>
        </w:rPr>
      </w:pPr>
      <w:r>
        <w:rPr>
          <w:rFonts w:ascii="宋体" w:hAnsi="宋体"/>
          <w:b/>
          <w:bCs/>
          <w:kern w:val="0"/>
          <w:sz w:val="24"/>
        </w:rPr>
        <w:t>学    分</w:t>
      </w:r>
      <w:r>
        <w:rPr>
          <w:rFonts w:ascii="宋体" w:hAnsi="宋体"/>
          <w:b/>
          <w:kern w:val="0"/>
          <w:sz w:val="24"/>
        </w:rPr>
        <w:t xml:space="preserve">： </w:t>
      </w:r>
      <w:r>
        <w:rPr>
          <w:rFonts w:hint="eastAsia" w:ascii="宋体" w:hAnsi="宋体"/>
          <w:b/>
          <w:kern w:val="0"/>
          <w:sz w:val="24"/>
        </w:rPr>
        <w:t>2</w:t>
      </w:r>
    </w:p>
    <w:p>
      <w:pPr>
        <w:spacing w:line="360" w:lineRule="auto"/>
        <w:ind w:firstLine="482" w:firstLineChars="200"/>
        <w:rPr>
          <w:rFonts w:ascii="宋体" w:hAnsi="宋体"/>
          <w:kern w:val="0"/>
          <w:sz w:val="24"/>
        </w:rPr>
      </w:pPr>
      <w:r>
        <w:rPr>
          <w:rFonts w:ascii="宋体" w:hAnsi="宋体"/>
          <w:b/>
          <w:bCs/>
          <w:kern w:val="0"/>
          <w:sz w:val="24"/>
        </w:rPr>
        <w:t>学    时</w:t>
      </w:r>
      <w:r>
        <w:rPr>
          <w:rFonts w:ascii="宋体" w:hAnsi="宋体"/>
          <w:b/>
          <w:kern w:val="0"/>
          <w:sz w:val="24"/>
        </w:rPr>
        <w:t>：</w:t>
      </w:r>
      <w:r>
        <w:rPr>
          <w:rFonts w:ascii="宋体" w:hAnsi="宋体"/>
          <w:kern w:val="0"/>
          <w:sz w:val="24"/>
        </w:rPr>
        <w:t xml:space="preserve"> </w:t>
      </w:r>
      <w:r>
        <w:rPr>
          <w:rFonts w:hint="eastAsia" w:ascii="宋体" w:hAnsi="宋体"/>
          <w:kern w:val="0"/>
          <w:sz w:val="24"/>
        </w:rPr>
        <w:t>32</w:t>
      </w:r>
    </w:p>
    <w:p>
      <w:pPr>
        <w:spacing w:line="360" w:lineRule="auto"/>
        <w:ind w:firstLine="482" w:firstLineChars="200"/>
        <w:rPr>
          <w:rFonts w:ascii="宋体" w:hAnsi="宋体"/>
          <w:b/>
          <w:bCs/>
          <w:kern w:val="0"/>
          <w:sz w:val="24"/>
        </w:rPr>
      </w:pPr>
      <w:r>
        <w:rPr>
          <w:rFonts w:ascii="宋体" w:hAnsi="宋体"/>
          <w:b/>
          <w:bCs/>
          <w:kern w:val="0"/>
          <w:sz w:val="24"/>
        </w:rPr>
        <w:t>先修课程</w:t>
      </w:r>
      <w:r>
        <w:rPr>
          <w:rFonts w:ascii="宋体" w:hAnsi="宋体"/>
          <w:b/>
          <w:kern w:val="0"/>
          <w:sz w:val="24"/>
        </w:rPr>
        <w:t>：</w:t>
      </w:r>
      <w:r>
        <w:rPr>
          <w:rFonts w:hint="eastAsia" w:ascii="宋体" w:hAnsi="宋体"/>
          <w:b/>
          <w:kern w:val="0"/>
          <w:sz w:val="24"/>
        </w:rPr>
        <w:t>精细化学品的仪器分析及实验（双语），化工机械与设备</w:t>
      </w:r>
    </w:p>
    <w:p>
      <w:pPr>
        <w:spacing w:line="360" w:lineRule="auto"/>
        <w:ind w:firstLine="482" w:firstLineChars="200"/>
        <w:rPr>
          <w:rFonts w:ascii="宋体" w:hAnsi="宋体"/>
          <w:kern w:val="0"/>
          <w:sz w:val="24"/>
        </w:rPr>
      </w:pPr>
      <w:r>
        <w:rPr>
          <w:rFonts w:ascii="宋体" w:hAnsi="宋体"/>
          <w:b/>
          <w:bCs/>
          <w:kern w:val="0"/>
          <w:sz w:val="24"/>
        </w:rPr>
        <w:t>适用专业</w:t>
      </w:r>
      <w:r>
        <w:rPr>
          <w:rFonts w:ascii="宋体" w:hAnsi="宋体"/>
          <w:b/>
          <w:kern w:val="0"/>
          <w:sz w:val="24"/>
        </w:rPr>
        <w:t>：</w:t>
      </w:r>
      <w:r>
        <w:rPr>
          <w:rFonts w:ascii="宋体" w:hAnsi="宋体"/>
          <w:kern w:val="0"/>
          <w:sz w:val="24"/>
        </w:rPr>
        <w:t xml:space="preserve"> </w:t>
      </w:r>
      <w:r>
        <w:rPr>
          <w:sz w:val="24"/>
        </w:rPr>
        <w:t>化学工程与工艺</w:t>
      </w:r>
      <w:r>
        <w:rPr>
          <w:rFonts w:hint="eastAsia"/>
          <w:sz w:val="24"/>
        </w:rPr>
        <w:t>、应用化学</w:t>
      </w:r>
    </w:p>
    <w:p>
      <w:pPr>
        <w:spacing w:line="360" w:lineRule="auto"/>
        <w:ind w:firstLine="482" w:firstLineChars="200"/>
        <w:rPr>
          <w:rFonts w:ascii="宋体" w:hAnsi="宋体"/>
          <w:kern w:val="0"/>
          <w:sz w:val="24"/>
        </w:rPr>
      </w:pPr>
      <w:r>
        <w:rPr>
          <w:rFonts w:hint="eastAsia" w:ascii="宋体" w:hAnsi="宋体"/>
          <w:b/>
          <w:bCs/>
          <w:kern w:val="0"/>
          <w:sz w:val="24"/>
        </w:rPr>
        <w:t>建议</w:t>
      </w:r>
      <w:r>
        <w:rPr>
          <w:rFonts w:ascii="宋体" w:hAnsi="宋体"/>
          <w:b/>
          <w:bCs/>
          <w:kern w:val="0"/>
          <w:sz w:val="24"/>
        </w:rPr>
        <w:t>教材</w:t>
      </w:r>
      <w:r>
        <w:rPr>
          <w:rFonts w:ascii="宋体" w:hAnsi="宋体"/>
          <w:b/>
          <w:kern w:val="0"/>
          <w:sz w:val="24"/>
        </w:rPr>
        <w:t>：</w:t>
      </w:r>
      <w:r>
        <w:rPr>
          <w:rFonts w:ascii="宋体" w:hAnsi="宋体"/>
          <w:kern w:val="0"/>
          <w:sz w:val="24"/>
        </w:rPr>
        <w:t>《</w:t>
      </w:r>
      <w:r>
        <w:rPr>
          <w:rFonts w:hint="eastAsia" w:ascii="宋体" w:hAnsi="宋体"/>
          <w:kern w:val="0"/>
          <w:sz w:val="24"/>
        </w:rPr>
        <w:t>药品生产质量管理工程</w:t>
      </w:r>
      <w:r>
        <w:rPr>
          <w:rFonts w:ascii="宋体" w:hAnsi="宋体"/>
          <w:kern w:val="0"/>
          <w:sz w:val="24"/>
        </w:rPr>
        <w:t>》</w:t>
      </w:r>
      <w:r>
        <w:rPr>
          <w:kern w:val="0"/>
          <w:sz w:val="24"/>
        </w:rPr>
        <w:t>，</w:t>
      </w:r>
      <w:r>
        <w:rPr>
          <w:rFonts w:hint="eastAsia"/>
          <w:kern w:val="0"/>
          <w:sz w:val="24"/>
        </w:rPr>
        <w:t>朱世斌</w:t>
      </w:r>
      <w:r>
        <w:rPr>
          <w:kern w:val="0"/>
          <w:sz w:val="24"/>
        </w:rPr>
        <w:t>，</w:t>
      </w:r>
      <w:r>
        <w:rPr>
          <w:rFonts w:hint="eastAsia"/>
          <w:kern w:val="0"/>
          <w:sz w:val="24"/>
        </w:rPr>
        <w:t>化学工业</w:t>
      </w:r>
      <w:r>
        <w:rPr>
          <w:kern w:val="0"/>
          <w:sz w:val="24"/>
        </w:rPr>
        <w:t>出版社，</w:t>
      </w:r>
      <w:r>
        <w:rPr>
          <w:rFonts w:hint="eastAsia"/>
          <w:kern w:val="0"/>
          <w:sz w:val="24"/>
        </w:rPr>
        <w:t>20</w:t>
      </w:r>
      <w:r>
        <w:rPr>
          <w:kern w:val="0"/>
          <w:sz w:val="24"/>
        </w:rPr>
        <w:t>17</w:t>
      </w:r>
      <w:r>
        <w:rPr>
          <w:rFonts w:hint="eastAsia"/>
          <w:kern w:val="0"/>
          <w:sz w:val="24"/>
        </w:rPr>
        <w:t>.</w:t>
      </w:r>
      <w:r>
        <w:rPr>
          <w:kern w:val="0"/>
          <w:sz w:val="24"/>
        </w:rPr>
        <w:t>9</w:t>
      </w:r>
      <w:r>
        <w:rPr>
          <w:rFonts w:hint="eastAsia"/>
          <w:kern w:val="0"/>
          <w:sz w:val="24"/>
        </w:rPr>
        <w:t>.</w:t>
      </w:r>
    </w:p>
    <w:p>
      <w:pPr>
        <w:spacing w:line="360" w:lineRule="auto"/>
        <w:ind w:firstLine="482" w:firstLineChars="200"/>
        <w:rPr>
          <w:rFonts w:ascii="宋体" w:hAnsi="宋体"/>
          <w:kern w:val="0"/>
          <w:sz w:val="24"/>
        </w:rPr>
      </w:pPr>
      <w:r>
        <w:rPr>
          <w:rFonts w:ascii="宋体" w:hAnsi="宋体"/>
          <w:b/>
          <w:bCs/>
          <w:kern w:val="0"/>
          <w:sz w:val="24"/>
        </w:rPr>
        <w:t>课程归口：</w:t>
      </w:r>
      <w:r>
        <w:rPr>
          <w:rFonts w:hint="eastAsia" w:ascii="宋体" w:hAnsi="宋体"/>
          <w:bCs/>
          <w:kern w:val="0"/>
          <w:sz w:val="24"/>
        </w:rPr>
        <w:t>化工与材料</w:t>
      </w:r>
      <w:r>
        <w:rPr>
          <w:rFonts w:ascii="宋体" w:hAnsi="宋体"/>
          <w:kern w:val="0"/>
          <w:sz w:val="24"/>
        </w:rPr>
        <w:t>学院</w:t>
      </w:r>
    </w:p>
    <w:p>
      <w:pPr>
        <w:spacing w:line="360" w:lineRule="auto"/>
        <w:ind w:firstLine="482" w:firstLineChars="200"/>
        <w:rPr>
          <w:rFonts w:hint="eastAsia"/>
          <w:b/>
          <w:bCs/>
          <w:sz w:val="24"/>
        </w:rPr>
      </w:pPr>
      <w:r>
        <w:rPr>
          <w:rFonts w:hint="eastAsia"/>
          <w:b/>
          <w:bCs/>
          <w:sz w:val="24"/>
        </w:rPr>
        <w:t>课程团队：</w:t>
      </w:r>
      <w:r>
        <w:rPr>
          <w:rFonts w:hint="eastAsia"/>
          <w:sz w:val="24"/>
        </w:rPr>
        <w:t>壮亚峰、刘福燕、张微、吴泽颖、王文娟、丁琳琳、邓瑶瑶、</w:t>
      </w:r>
      <w:r>
        <w:rPr>
          <w:sz w:val="24"/>
        </w:rPr>
        <w:t>陈建欣</w:t>
      </w:r>
      <w:r>
        <w:rPr>
          <w:rFonts w:hint="eastAsia"/>
          <w:sz w:val="24"/>
        </w:rPr>
        <w:t>、</w:t>
      </w:r>
      <w:r>
        <w:rPr>
          <w:sz w:val="24"/>
        </w:rPr>
        <w:t>向梅、张震威</w:t>
      </w:r>
      <w:r>
        <w:rPr>
          <w:rFonts w:hint="eastAsia"/>
          <w:sz w:val="24"/>
        </w:rPr>
        <w:t>等</w:t>
      </w:r>
    </w:p>
    <w:p>
      <w:pPr>
        <w:autoSpaceDE w:val="0"/>
        <w:autoSpaceDN w:val="0"/>
        <w:adjustRightInd w:val="0"/>
        <w:spacing w:line="360" w:lineRule="auto"/>
        <w:ind w:firstLine="482" w:firstLineChars="200"/>
        <w:jc w:val="left"/>
        <w:rPr>
          <w:sz w:val="24"/>
        </w:rPr>
      </w:pPr>
      <w:r>
        <w:rPr>
          <w:rFonts w:hint="eastAsia"/>
          <w:b/>
          <w:bCs/>
          <w:kern w:val="0"/>
          <w:sz w:val="24"/>
        </w:rPr>
        <w:t>课程的性质与任务：</w:t>
      </w:r>
      <w:r>
        <w:rPr>
          <w:bCs/>
          <w:sz w:val="24"/>
        </w:rPr>
        <w:t>本课程</w:t>
      </w:r>
      <w:r>
        <w:rPr>
          <w:sz w:val="24"/>
        </w:rPr>
        <w:t>是化学工程与工艺</w:t>
      </w:r>
      <w:r>
        <w:rPr>
          <w:rFonts w:hint="eastAsia"/>
          <w:sz w:val="24"/>
        </w:rPr>
        <w:t>、应用化学</w:t>
      </w:r>
      <w:r>
        <w:rPr>
          <w:sz w:val="24"/>
        </w:rPr>
        <w:t>专业的</w:t>
      </w:r>
      <w:r>
        <w:rPr>
          <w:rFonts w:hint="eastAsia"/>
          <w:sz w:val="24"/>
        </w:rPr>
        <w:t>选修课之一</w:t>
      </w:r>
      <w:r>
        <w:rPr>
          <w:sz w:val="24"/>
        </w:rPr>
        <w:t>，</w:t>
      </w:r>
      <w:r>
        <w:rPr>
          <w:rFonts w:hint="eastAsia"/>
          <w:color w:val="000000"/>
          <w:sz w:val="24"/>
        </w:rPr>
        <w:t>它运用现代科学技术，结合药品制剂生产技术、质量控制与工艺特点等内容，突出操作技能的培养和提高</w:t>
      </w:r>
      <w:r>
        <w:rPr>
          <w:sz w:val="24"/>
        </w:rPr>
        <w:t>。</w:t>
      </w:r>
      <w:r>
        <w:rPr>
          <w:rFonts w:hint="eastAsia"/>
          <w:sz w:val="24"/>
        </w:rPr>
        <w:t>它不仅与应用化学专业的各门基础课、专业基础课和其他专业课有纵向和横向的联系，而且与生产实践密切相关。它是连接学校与生产企业的纽带，是培养中、高级工程师的主要课程之一。</w:t>
      </w:r>
    </w:p>
    <w:p>
      <w:pPr>
        <w:autoSpaceDE w:val="0"/>
        <w:autoSpaceDN w:val="0"/>
        <w:adjustRightInd w:val="0"/>
        <w:spacing w:line="360" w:lineRule="auto"/>
        <w:ind w:firstLine="480" w:firstLineChars="200"/>
        <w:jc w:val="left"/>
        <w:rPr>
          <w:bCs/>
          <w:color w:val="000000"/>
          <w:sz w:val="24"/>
        </w:rPr>
      </w:pPr>
      <w:r>
        <w:rPr>
          <w:rFonts w:hint="eastAsia"/>
          <w:sz w:val="24"/>
        </w:rPr>
        <w:t>GMP作为药品生产质量管理规范，是保证药品质量和用药安全有效的可靠措施。通过本课程的学习，能具有药品质量管理的全局观，掌握药品生产的质量管理规范的内容，理解GMP的要求和认证过程；</w:t>
      </w:r>
      <w:r>
        <w:rPr>
          <w:rFonts w:hint="eastAsia"/>
          <w:bCs/>
          <w:color w:val="000000"/>
          <w:sz w:val="24"/>
        </w:rPr>
        <w:t>树立牢固的专业思想，具有良好的思想品质、职业道德和为人类健康服务的奉献精神。</w:t>
      </w:r>
    </w:p>
    <w:p>
      <w:pPr>
        <w:spacing w:line="360" w:lineRule="auto"/>
        <w:rPr>
          <w:b/>
          <w:bCs/>
          <w:sz w:val="28"/>
          <w:szCs w:val="28"/>
        </w:rPr>
      </w:pPr>
      <w:r>
        <w:rPr>
          <w:rFonts w:hint="eastAsia" w:cs="宋体"/>
          <w:b/>
          <w:bCs/>
          <w:sz w:val="28"/>
          <w:szCs w:val="28"/>
        </w:rPr>
        <w:t>二、课程目标对毕业要求观测点的支撑</w:t>
      </w:r>
    </w:p>
    <w:tbl>
      <w:tblPr>
        <w:tblStyle w:val="10"/>
        <w:tblW w:w="90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5314"/>
        <w:gridCol w:w="2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52" w:type="dxa"/>
            <w:noWrap/>
            <w:vAlign w:val="center"/>
          </w:tcPr>
          <w:p>
            <w:pPr>
              <w:widowControl/>
              <w:jc w:val="center"/>
              <w:rPr>
                <w:b/>
                <w:bCs/>
                <w:kern w:val="0"/>
              </w:rPr>
            </w:pPr>
            <w:r>
              <w:rPr>
                <w:b/>
                <w:bCs/>
                <w:kern w:val="0"/>
              </w:rPr>
              <w:t>序号</w:t>
            </w:r>
          </w:p>
        </w:tc>
        <w:tc>
          <w:tcPr>
            <w:tcW w:w="5314" w:type="dxa"/>
            <w:noWrap/>
            <w:vAlign w:val="center"/>
          </w:tcPr>
          <w:p>
            <w:pPr>
              <w:widowControl/>
              <w:jc w:val="center"/>
              <w:rPr>
                <w:rFonts w:hint="eastAsia"/>
                <w:b/>
                <w:bCs/>
                <w:kern w:val="0"/>
              </w:rPr>
            </w:pPr>
            <w:r>
              <w:rPr>
                <w:b/>
                <w:bCs/>
                <w:kern w:val="0"/>
              </w:rPr>
              <w:t>课程目标</w:t>
            </w:r>
          </w:p>
        </w:tc>
        <w:tc>
          <w:tcPr>
            <w:tcW w:w="2908" w:type="dxa"/>
            <w:noWrap/>
            <w:vAlign w:val="center"/>
          </w:tcPr>
          <w:p>
            <w:pPr>
              <w:widowControl/>
              <w:jc w:val="center"/>
              <w:rPr>
                <w:rFonts w:hint="eastAsia"/>
                <w:b/>
                <w:bCs/>
                <w:kern w:val="0"/>
              </w:rPr>
            </w:pPr>
            <w:r>
              <w:rPr>
                <w:b/>
                <w:bCs/>
                <w:kern w:val="0"/>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2" w:type="dxa"/>
            <w:noWrap/>
            <w:vAlign w:val="center"/>
          </w:tcPr>
          <w:p>
            <w:pPr>
              <w:widowControl/>
              <w:jc w:val="center"/>
              <w:rPr>
                <w:kern w:val="0"/>
              </w:rPr>
            </w:pPr>
            <w:r>
              <w:rPr>
                <w:rFonts w:hint="eastAsia"/>
                <w:kern w:val="0"/>
              </w:rPr>
              <w:t>1</w:t>
            </w:r>
          </w:p>
        </w:tc>
        <w:tc>
          <w:tcPr>
            <w:tcW w:w="5314" w:type="dxa"/>
            <w:noWrap/>
            <w:vAlign w:val="center"/>
          </w:tcPr>
          <w:p>
            <w:pPr>
              <w:rPr>
                <w:b/>
                <w:kern w:val="0"/>
              </w:rPr>
            </w:pPr>
            <w:r>
              <w:rPr>
                <w:rFonts w:hint="eastAsia"/>
                <w:b/>
                <w:kern w:val="0"/>
              </w:rPr>
              <w:t>目标1.</w:t>
            </w:r>
            <w:r>
              <w:rPr>
                <w:rFonts w:hint="eastAsia"/>
                <w:color w:val="000000"/>
                <w:sz w:val="24"/>
              </w:rPr>
              <w:t xml:space="preserve"> </w:t>
            </w:r>
            <w:r>
              <w:rPr>
                <w:rFonts w:hint="eastAsia"/>
                <w:color w:val="000000"/>
                <w:szCs w:val="21"/>
              </w:rPr>
              <w:t>掌握GMP的特点，能够将GMP的基本理论、基本知识、基本技能应用于药品生产实践中去，能够适应企业GMP管理。</w:t>
            </w:r>
          </w:p>
        </w:tc>
        <w:tc>
          <w:tcPr>
            <w:tcW w:w="2908" w:type="dxa"/>
            <w:noWrap/>
            <w:vAlign w:val="center"/>
          </w:tcPr>
          <w:p>
            <w:pPr>
              <w:widowControl/>
              <w:rPr>
                <w:b/>
              </w:rPr>
            </w:pPr>
            <w:r>
              <w:rPr>
                <w:b/>
                <w:bCs/>
                <w:color w:val="000000"/>
                <w:szCs w:val="22"/>
              </w:rPr>
              <w:t>毕业要求4：</w:t>
            </w:r>
            <w:r>
              <w:rPr>
                <w:color w:val="000000"/>
                <w:szCs w:val="22"/>
              </w:rPr>
              <w:t>研究：能够基于科学原理并采用科学方法对</w:t>
            </w:r>
            <w:r>
              <w:rPr>
                <w:szCs w:val="21"/>
              </w:rPr>
              <w:t>应用化学领域</w:t>
            </w:r>
            <w:r>
              <w:rPr>
                <w:color w:val="000000"/>
                <w:szCs w:val="21"/>
              </w:rPr>
              <w:t>复杂工</w:t>
            </w:r>
            <w:r>
              <w:rPr>
                <w:color w:val="000000"/>
                <w:szCs w:val="22"/>
              </w:rPr>
              <w:t>程问题进行研究，包括设计实验、分析与解释数据，并通过信息综合得到合理有效的结论。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2" w:type="dxa"/>
            <w:noWrap/>
            <w:vAlign w:val="center"/>
          </w:tcPr>
          <w:p>
            <w:pPr>
              <w:widowControl/>
              <w:jc w:val="center"/>
              <w:rPr>
                <w:kern w:val="0"/>
              </w:rPr>
            </w:pPr>
            <w:r>
              <w:rPr>
                <w:rFonts w:hint="eastAsia"/>
                <w:kern w:val="0"/>
              </w:rPr>
              <w:t>2</w:t>
            </w:r>
          </w:p>
        </w:tc>
        <w:tc>
          <w:tcPr>
            <w:tcW w:w="5314" w:type="dxa"/>
            <w:noWrap/>
            <w:vAlign w:val="center"/>
          </w:tcPr>
          <w:p>
            <w:pPr>
              <w:rPr>
                <w:b/>
                <w:kern w:val="0"/>
              </w:rPr>
            </w:pPr>
            <w:r>
              <w:rPr>
                <w:rFonts w:hint="eastAsia"/>
                <w:b/>
                <w:kern w:val="0"/>
              </w:rPr>
              <w:t>目标2.</w:t>
            </w:r>
            <w:r>
              <w:rPr>
                <w:rFonts w:hint="eastAsia"/>
                <w:color w:val="000000"/>
                <w:sz w:val="24"/>
              </w:rPr>
              <w:t xml:space="preserve"> </w:t>
            </w:r>
            <w:r>
              <w:rPr>
                <w:rFonts w:hint="eastAsia"/>
                <w:color w:val="000000"/>
                <w:szCs w:val="21"/>
              </w:rPr>
              <w:t>培养学生实事求是的科学作风，严谨的工作态度，严密的工作方法；形成良好的职业习惯和为医药事业而奋斗的使命感</w:t>
            </w:r>
            <w:r>
              <w:rPr>
                <w:rFonts w:hint="eastAsia"/>
                <w:szCs w:val="21"/>
              </w:rPr>
              <w:t>。</w:t>
            </w:r>
          </w:p>
        </w:tc>
        <w:tc>
          <w:tcPr>
            <w:tcW w:w="2908" w:type="dxa"/>
            <w:noWrap/>
            <w:vAlign w:val="center"/>
          </w:tcPr>
          <w:p>
            <w:pPr>
              <w:widowControl/>
              <w:rPr>
                <w:b/>
              </w:rPr>
            </w:pPr>
            <w:r>
              <w:rPr>
                <w:b/>
                <w:bCs/>
                <w:color w:val="000000"/>
                <w:kern w:val="0"/>
              </w:rPr>
              <w:t>毕业要求8：</w:t>
            </w:r>
            <w:r>
              <w:rPr>
                <w:color w:val="000000"/>
                <w:kern w:val="0"/>
              </w:rPr>
              <w:t>职业规范：具有人文社会科学素养、社会责任感，能够在工程实践中理解并遵守工程职业道德和规范，履行责任。</w:t>
            </w:r>
          </w:p>
        </w:tc>
      </w:tr>
    </w:tbl>
    <w:p>
      <w:pPr>
        <w:autoSpaceDE w:val="0"/>
        <w:autoSpaceDN w:val="0"/>
        <w:adjustRightInd w:val="0"/>
        <w:spacing w:line="360" w:lineRule="auto"/>
        <w:ind w:firstLine="480" w:firstLineChars="200"/>
        <w:jc w:val="left"/>
        <w:rPr>
          <w:bCs/>
          <w:color w:val="000000"/>
          <w:sz w:val="24"/>
        </w:rPr>
      </w:pPr>
    </w:p>
    <w:p>
      <w:pPr>
        <w:spacing w:line="360" w:lineRule="auto"/>
        <w:rPr>
          <w:rFonts w:cs="宋体"/>
          <w:b/>
          <w:bCs/>
          <w:sz w:val="28"/>
          <w:szCs w:val="28"/>
        </w:rPr>
      </w:pPr>
      <w:r>
        <w:rPr>
          <w:rFonts w:hint="eastAsia" w:cs="宋体"/>
          <w:b/>
          <w:bCs/>
          <w:sz w:val="28"/>
          <w:szCs w:val="28"/>
        </w:rPr>
        <w:t>三、课程内容及要求</w:t>
      </w:r>
    </w:p>
    <w:tbl>
      <w:tblPr>
        <w:tblStyle w:val="10"/>
        <w:tblW w:w="9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2632"/>
        <w:gridCol w:w="1134"/>
        <w:gridCol w:w="2028"/>
        <w:gridCol w:w="699"/>
        <w:gridCol w:w="975"/>
        <w:gridCol w:w="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b/>
                <w:bCs/>
              </w:rPr>
            </w:pPr>
            <w:r>
              <w:rPr>
                <w:b/>
                <w:bCs/>
              </w:rPr>
              <w:t>序号</w:t>
            </w:r>
          </w:p>
        </w:tc>
        <w:tc>
          <w:tcPr>
            <w:tcW w:w="2632" w:type="dxa"/>
            <w:noWrap w:val="0"/>
            <w:vAlign w:val="center"/>
          </w:tcPr>
          <w:p>
            <w:pPr>
              <w:jc w:val="center"/>
              <w:rPr>
                <w:b/>
                <w:bCs/>
              </w:rPr>
            </w:pPr>
            <w:r>
              <w:rPr>
                <w:b/>
                <w:bCs/>
              </w:rPr>
              <w:t>教学内容</w:t>
            </w:r>
          </w:p>
        </w:tc>
        <w:tc>
          <w:tcPr>
            <w:tcW w:w="1134" w:type="dxa"/>
            <w:noWrap w:val="0"/>
            <w:vAlign w:val="center"/>
          </w:tcPr>
          <w:p>
            <w:pPr>
              <w:jc w:val="center"/>
              <w:rPr>
                <w:b/>
                <w:bCs/>
              </w:rPr>
            </w:pPr>
            <w:r>
              <w:rPr>
                <w:b/>
                <w:bCs/>
              </w:rPr>
              <w:t>思政元素</w:t>
            </w:r>
          </w:p>
        </w:tc>
        <w:tc>
          <w:tcPr>
            <w:tcW w:w="2028" w:type="dxa"/>
            <w:noWrap w:val="0"/>
            <w:vAlign w:val="center"/>
          </w:tcPr>
          <w:p>
            <w:pPr>
              <w:jc w:val="center"/>
              <w:rPr>
                <w:rFonts w:hint="eastAsia"/>
                <w:b/>
                <w:bCs/>
              </w:rPr>
            </w:pPr>
            <w:r>
              <w:rPr>
                <w:b/>
                <w:bCs/>
              </w:rPr>
              <w:t>预期学习成果</w:t>
            </w:r>
          </w:p>
        </w:tc>
        <w:tc>
          <w:tcPr>
            <w:tcW w:w="699" w:type="dxa"/>
            <w:noWrap w:val="0"/>
            <w:vAlign w:val="center"/>
          </w:tcPr>
          <w:p>
            <w:pPr>
              <w:jc w:val="center"/>
              <w:rPr>
                <w:b/>
                <w:bCs/>
              </w:rPr>
            </w:pPr>
            <w:r>
              <w:rPr>
                <w:b/>
                <w:bCs/>
              </w:rPr>
              <w:t>教学学时</w:t>
            </w:r>
          </w:p>
        </w:tc>
        <w:tc>
          <w:tcPr>
            <w:tcW w:w="975" w:type="dxa"/>
            <w:noWrap w:val="0"/>
            <w:vAlign w:val="center"/>
          </w:tcPr>
          <w:p>
            <w:pPr>
              <w:jc w:val="center"/>
              <w:rPr>
                <w:b/>
                <w:bCs/>
              </w:rPr>
            </w:pPr>
            <w:r>
              <w:rPr>
                <w:b/>
                <w:bCs/>
              </w:rPr>
              <w:t>教学方式</w:t>
            </w:r>
          </w:p>
        </w:tc>
        <w:tc>
          <w:tcPr>
            <w:tcW w:w="925" w:type="dxa"/>
            <w:noWrap w:val="0"/>
            <w:vAlign w:val="center"/>
          </w:tcPr>
          <w:p>
            <w:pPr>
              <w:jc w:val="center"/>
              <w:rPr>
                <w:b/>
                <w:bCs/>
              </w:rPr>
            </w:pPr>
            <w:r>
              <w:rPr>
                <w:b/>
                <w:bCs/>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pPr>
            <w:r>
              <w:t>1</w:t>
            </w:r>
          </w:p>
        </w:tc>
        <w:tc>
          <w:tcPr>
            <w:tcW w:w="2632" w:type="dxa"/>
            <w:noWrap w:val="0"/>
            <w:vAlign w:val="center"/>
          </w:tcPr>
          <w:p>
            <w:pPr>
              <w:rPr>
                <w:b/>
                <w:kern w:val="0"/>
              </w:rPr>
            </w:pPr>
            <w:r>
              <w:rPr>
                <w:rFonts w:hint="eastAsia"/>
                <w:b/>
                <w:kern w:val="0"/>
              </w:rPr>
              <w:t>概论：</w:t>
            </w:r>
          </w:p>
          <w:p>
            <w:pPr>
              <w:rPr>
                <w:szCs w:val="21"/>
              </w:rPr>
            </w:pPr>
            <w:r>
              <w:rPr>
                <w:szCs w:val="21"/>
              </w:rPr>
              <w:t>（1）</w:t>
            </w:r>
            <w:r>
              <w:rPr>
                <w:rFonts w:hint="eastAsia"/>
                <w:szCs w:val="21"/>
              </w:rPr>
              <w:t>GMP的产生与发展</w:t>
            </w:r>
          </w:p>
          <w:p>
            <w:pPr>
              <w:rPr>
                <w:rFonts w:hint="eastAsia"/>
                <w:szCs w:val="21"/>
              </w:rPr>
            </w:pPr>
            <w:r>
              <w:rPr>
                <w:rFonts w:hint="eastAsia"/>
                <w:szCs w:val="21"/>
              </w:rPr>
              <w:t>（2）GMP的内容和特点</w:t>
            </w:r>
          </w:p>
          <w:p>
            <w:pPr>
              <w:rPr>
                <w:rFonts w:hint="eastAsia"/>
                <w:szCs w:val="21"/>
              </w:rPr>
            </w:pPr>
            <w:r>
              <w:rPr>
                <w:szCs w:val="21"/>
              </w:rPr>
              <w:t>（3）</w:t>
            </w:r>
            <w:r>
              <w:rPr>
                <w:rFonts w:hint="eastAsia"/>
                <w:szCs w:val="21"/>
              </w:rPr>
              <w:t>实施GMP的迫切性和重要性</w:t>
            </w:r>
          </w:p>
        </w:tc>
        <w:tc>
          <w:tcPr>
            <w:tcW w:w="1134" w:type="dxa"/>
            <w:noWrap w:val="0"/>
            <w:vAlign w:val="center"/>
          </w:tcPr>
          <w:p>
            <w:pPr>
              <w:autoSpaceDE w:val="0"/>
              <w:autoSpaceDN w:val="0"/>
              <w:adjustRightInd w:val="0"/>
              <w:rPr>
                <w:kern w:val="0"/>
              </w:rPr>
            </w:pPr>
            <w:r>
              <w:rPr>
                <w:rFonts w:hint="eastAsia"/>
                <w:color w:val="000000"/>
                <w:szCs w:val="21"/>
              </w:rPr>
              <w:t>形成良好的职业习惯和为医药事业而奋斗的使命感</w:t>
            </w:r>
          </w:p>
        </w:tc>
        <w:tc>
          <w:tcPr>
            <w:tcW w:w="2028" w:type="dxa"/>
            <w:noWrap w:val="0"/>
            <w:vAlign w:val="center"/>
          </w:tcPr>
          <w:p>
            <w:pPr>
              <w:rPr>
                <w:szCs w:val="21"/>
              </w:rPr>
            </w:pPr>
            <w:r>
              <w:rPr>
                <w:szCs w:val="21"/>
              </w:rPr>
              <w:t>（1）</w:t>
            </w:r>
            <w:r>
              <w:rPr>
                <w:rFonts w:hint="eastAsia"/>
                <w:szCs w:val="21"/>
              </w:rPr>
              <w:t>了解我国GMP发展和实施情况。</w:t>
            </w:r>
          </w:p>
          <w:p>
            <w:pPr>
              <w:rPr>
                <w:rFonts w:hint="eastAsia"/>
                <w:szCs w:val="21"/>
              </w:rPr>
            </w:pPr>
            <w:r>
              <w:rPr>
                <w:rFonts w:hint="eastAsia"/>
                <w:szCs w:val="21"/>
              </w:rPr>
              <w:t>（2）了解实施GMP的策略和重点。</w:t>
            </w:r>
          </w:p>
        </w:tc>
        <w:tc>
          <w:tcPr>
            <w:tcW w:w="699" w:type="dxa"/>
            <w:noWrap w:val="0"/>
            <w:vAlign w:val="center"/>
          </w:tcPr>
          <w:p>
            <w:pPr>
              <w:spacing w:line="312" w:lineRule="auto"/>
              <w:jc w:val="center"/>
            </w:pPr>
            <w:r>
              <w:t>2</w:t>
            </w:r>
            <w:r>
              <w:rPr>
                <w:rFonts w:hint="eastAsia"/>
              </w:rPr>
              <w:t>（讲授）</w:t>
            </w:r>
          </w:p>
        </w:tc>
        <w:tc>
          <w:tcPr>
            <w:tcW w:w="975" w:type="dxa"/>
            <w:noWrap w:val="0"/>
            <w:vAlign w:val="center"/>
          </w:tcPr>
          <w:p>
            <w:r>
              <w:t>讲授/讨论/实例教学等</w:t>
            </w:r>
          </w:p>
        </w:tc>
        <w:tc>
          <w:tcPr>
            <w:tcW w:w="925" w:type="dxa"/>
            <w:noWrap w:val="0"/>
            <w:vAlign w:val="center"/>
          </w:tcPr>
          <w:p>
            <w:pPr>
              <w:jc w:val="center"/>
              <w:rPr>
                <w:b/>
                <w:kern w:val="0"/>
              </w:rPr>
            </w:pPr>
            <w:r>
              <w:rPr>
                <w:b/>
                <w:kern w:val="0"/>
              </w:rPr>
              <w:t>目标</w:t>
            </w:r>
            <w:r>
              <w:rPr>
                <w:rFonts w:hint="eastAsia"/>
                <w:b/>
                <w:kern w:val="0"/>
              </w:rPr>
              <w:t>1</w:t>
            </w:r>
          </w:p>
          <w:p>
            <w:pPr>
              <w:jc w:val="center"/>
            </w:pPr>
            <w:r>
              <w:rPr>
                <w:rFonts w:hint="eastAsia"/>
                <w:b/>
                <w:kern w:val="0"/>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szCs w:val="21"/>
              </w:rPr>
            </w:pPr>
            <w:r>
              <w:rPr>
                <w:rFonts w:hint="eastAsia"/>
                <w:szCs w:val="21"/>
              </w:rPr>
              <w:t>2</w:t>
            </w:r>
          </w:p>
        </w:tc>
        <w:tc>
          <w:tcPr>
            <w:tcW w:w="2632" w:type="dxa"/>
            <w:noWrap w:val="0"/>
            <w:vAlign w:val="center"/>
          </w:tcPr>
          <w:p>
            <w:pPr>
              <w:rPr>
                <w:b/>
                <w:szCs w:val="21"/>
              </w:rPr>
            </w:pPr>
            <w:r>
              <w:rPr>
                <w:rFonts w:hint="eastAsia"/>
                <w:b/>
                <w:szCs w:val="21"/>
              </w:rPr>
              <w:t>GMP对硬件的要求：</w:t>
            </w:r>
          </w:p>
          <w:p>
            <w:pPr>
              <w:rPr>
                <w:rFonts w:hint="eastAsia"/>
                <w:szCs w:val="21"/>
              </w:rPr>
            </w:pPr>
            <w:r>
              <w:rPr>
                <w:szCs w:val="21"/>
              </w:rPr>
              <w:t>（1）</w:t>
            </w:r>
            <w:r>
              <w:rPr>
                <w:rFonts w:hint="eastAsia"/>
                <w:szCs w:val="21"/>
              </w:rPr>
              <w:t>厂址、厂房、工艺布置</w:t>
            </w:r>
          </w:p>
          <w:p>
            <w:pPr>
              <w:rPr>
                <w:szCs w:val="21"/>
              </w:rPr>
            </w:pPr>
            <w:r>
              <w:rPr>
                <w:szCs w:val="21"/>
              </w:rPr>
              <w:t>（2）</w:t>
            </w:r>
            <w:r>
              <w:rPr>
                <w:rFonts w:hint="eastAsia"/>
                <w:szCs w:val="21"/>
              </w:rPr>
              <w:t>生产设备</w:t>
            </w:r>
          </w:p>
          <w:p>
            <w:pPr>
              <w:rPr>
                <w:szCs w:val="21"/>
              </w:rPr>
            </w:pPr>
            <w:r>
              <w:rPr>
                <w:rFonts w:hint="eastAsia"/>
                <w:szCs w:val="21"/>
              </w:rPr>
              <w:t>（3）空气净化系统</w:t>
            </w:r>
          </w:p>
          <w:p>
            <w:pPr>
              <w:rPr>
                <w:szCs w:val="21"/>
              </w:rPr>
            </w:pPr>
            <w:r>
              <w:rPr>
                <w:rFonts w:hint="eastAsia"/>
                <w:szCs w:val="21"/>
              </w:rPr>
              <w:t>（4）工艺用水系统</w:t>
            </w:r>
          </w:p>
          <w:p>
            <w:pPr>
              <w:rPr>
                <w:szCs w:val="21"/>
              </w:rPr>
            </w:pPr>
            <w:r>
              <w:rPr>
                <w:rFonts w:hint="eastAsia"/>
                <w:szCs w:val="21"/>
              </w:rPr>
              <w:t>（5）生产辅助设施</w:t>
            </w:r>
          </w:p>
          <w:p>
            <w:pPr>
              <w:rPr>
                <w:rFonts w:hint="eastAsia"/>
                <w:b/>
                <w:bCs/>
                <w:color w:val="000000"/>
                <w:szCs w:val="21"/>
              </w:rPr>
            </w:pPr>
            <w:r>
              <w:rPr>
                <w:b/>
                <w:bCs/>
                <w:color w:val="000000"/>
                <w:szCs w:val="21"/>
              </w:rPr>
              <w:t>重</w:t>
            </w:r>
            <w:r>
              <w:rPr>
                <w:rFonts w:hint="eastAsia"/>
                <w:b/>
                <w:bCs/>
                <w:color w:val="000000"/>
                <w:szCs w:val="21"/>
              </w:rPr>
              <w:t>点</w:t>
            </w:r>
            <w:r>
              <w:rPr>
                <w:b/>
                <w:bCs/>
                <w:color w:val="000000"/>
                <w:szCs w:val="21"/>
              </w:rPr>
              <w:t>难点</w:t>
            </w:r>
            <w:r>
              <w:rPr>
                <w:rFonts w:hint="eastAsia"/>
                <w:b/>
                <w:bCs/>
                <w:color w:val="000000"/>
                <w:szCs w:val="21"/>
              </w:rPr>
              <w:t>：</w:t>
            </w:r>
          </w:p>
          <w:p>
            <w:pPr>
              <w:rPr>
                <w:rFonts w:hint="eastAsia"/>
                <w:color w:val="000000"/>
                <w:szCs w:val="21"/>
              </w:rPr>
            </w:pPr>
            <w:r>
              <w:rPr>
                <w:rFonts w:hint="eastAsia"/>
                <w:color w:val="000000"/>
                <w:szCs w:val="21"/>
              </w:rPr>
              <w:t>（1）</w:t>
            </w:r>
            <w:r>
              <w:rPr>
                <w:rFonts w:hint="eastAsia"/>
                <w:szCs w:val="21"/>
              </w:rPr>
              <w:t>洁净室（区）的温、湿度、气压要求与控制</w:t>
            </w:r>
            <w:r>
              <w:rPr>
                <w:rFonts w:hint="eastAsia"/>
                <w:color w:val="000000"/>
                <w:szCs w:val="21"/>
              </w:rPr>
              <w:t>。</w:t>
            </w:r>
          </w:p>
          <w:p>
            <w:pPr>
              <w:rPr>
                <w:rFonts w:hint="eastAsia"/>
                <w:color w:val="000000"/>
                <w:szCs w:val="21"/>
              </w:rPr>
            </w:pPr>
            <w:r>
              <w:rPr>
                <w:rFonts w:hint="eastAsia"/>
                <w:color w:val="000000"/>
                <w:szCs w:val="21"/>
              </w:rPr>
              <w:t>（2）</w:t>
            </w:r>
            <w:r>
              <w:rPr>
                <w:rFonts w:hint="eastAsia"/>
                <w:szCs w:val="21"/>
              </w:rPr>
              <w:t>工艺用水的制备、储存与分配</w:t>
            </w:r>
            <w:r>
              <w:rPr>
                <w:rFonts w:hint="eastAsia"/>
                <w:color w:val="000000"/>
                <w:szCs w:val="21"/>
              </w:rPr>
              <w:t>。</w:t>
            </w:r>
          </w:p>
        </w:tc>
        <w:tc>
          <w:tcPr>
            <w:tcW w:w="1134" w:type="dxa"/>
            <w:noWrap w:val="0"/>
            <w:vAlign w:val="center"/>
          </w:tcPr>
          <w:p>
            <w:pPr>
              <w:autoSpaceDE w:val="0"/>
              <w:autoSpaceDN w:val="0"/>
              <w:adjustRightInd w:val="0"/>
              <w:rPr>
                <w:kern w:val="0"/>
                <w:szCs w:val="21"/>
              </w:rPr>
            </w:pPr>
            <w:r>
              <w:rPr>
                <w:rFonts w:hint="eastAsia"/>
                <w:color w:val="000000"/>
                <w:szCs w:val="21"/>
              </w:rPr>
              <w:t>培养学生实事求是的科学作风，严谨的工作态度，严密的工作方法</w:t>
            </w:r>
          </w:p>
        </w:tc>
        <w:tc>
          <w:tcPr>
            <w:tcW w:w="2028" w:type="dxa"/>
            <w:noWrap w:val="0"/>
            <w:vAlign w:val="center"/>
          </w:tcPr>
          <w:p>
            <w:pPr>
              <w:rPr>
                <w:szCs w:val="21"/>
              </w:rPr>
            </w:pPr>
            <w:r>
              <w:rPr>
                <w:szCs w:val="21"/>
              </w:rPr>
              <w:t>（1）</w:t>
            </w:r>
            <w:r>
              <w:rPr>
                <w:rFonts w:hint="eastAsia"/>
                <w:szCs w:val="21"/>
              </w:rPr>
              <w:t>掌握洁净室的温、湿度及气压要求，工艺用水的基本概念及制备。</w:t>
            </w:r>
          </w:p>
          <w:p>
            <w:pPr>
              <w:rPr>
                <w:rFonts w:hint="eastAsia"/>
                <w:szCs w:val="21"/>
              </w:rPr>
            </w:pPr>
            <w:r>
              <w:rPr>
                <w:rFonts w:hint="eastAsia"/>
                <w:szCs w:val="21"/>
              </w:rPr>
              <w:t>（2）熟悉GMP对生产设备的规范要求和防交叉污染设施。</w:t>
            </w:r>
          </w:p>
        </w:tc>
        <w:tc>
          <w:tcPr>
            <w:tcW w:w="699" w:type="dxa"/>
            <w:noWrap w:val="0"/>
            <w:vAlign w:val="center"/>
          </w:tcPr>
          <w:p>
            <w:pPr>
              <w:jc w:val="center"/>
              <w:rPr>
                <w:szCs w:val="21"/>
              </w:rPr>
            </w:pPr>
            <w:r>
              <w:t>4</w:t>
            </w:r>
            <w:r>
              <w:rPr>
                <w:rFonts w:hint="eastAsia"/>
              </w:rPr>
              <w:t>（讲授）</w:t>
            </w:r>
          </w:p>
        </w:tc>
        <w:tc>
          <w:tcPr>
            <w:tcW w:w="975" w:type="dxa"/>
            <w:noWrap w:val="0"/>
            <w:vAlign w:val="center"/>
          </w:tcPr>
          <w:p>
            <w:pPr>
              <w:rPr>
                <w:szCs w:val="21"/>
              </w:rPr>
            </w:pPr>
            <w:r>
              <w:rPr>
                <w:szCs w:val="21"/>
              </w:rPr>
              <w:t>讲授/讨论/实例教学等</w:t>
            </w:r>
          </w:p>
        </w:tc>
        <w:tc>
          <w:tcPr>
            <w:tcW w:w="925" w:type="dxa"/>
            <w:noWrap w:val="0"/>
            <w:vAlign w:val="center"/>
          </w:tcPr>
          <w:p>
            <w:pPr>
              <w:jc w:val="center"/>
              <w:rPr>
                <w:b/>
                <w:kern w:val="0"/>
              </w:rPr>
            </w:pPr>
            <w:r>
              <w:rPr>
                <w:b/>
                <w:kern w:val="0"/>
              </w:rPr>
              <w:t>目标</w:t>
            </w:r>
            <w:r>
              <w:rPr>
                <w:rFonts w:hint="eastAsia"/>
                <w:b/>
                <w:kern w:val="0"/>
              </w:rPr>
              <w:t>1</w:t>
            </w:r>
          </w:p>
          <w:p>
            <w:pPr>
              <w:jc w:val="center"/>
              <w:rPr>
                <w:szCs w:val="21"/>
              </w:rPr>
            </w:pPr>
            <w:r>
              <w:rPr>
                <w:rFonts w:hint="eastAsia"/>
                <w:b/>
                <w:kern w:val="0"/>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hint="eastAsia"/>
                <w:szCs w:val="21"/>
              </w:rPr>
            </w:pPr>
            <w:r>
              <w:rPr>
                <w:rFonts w:hint="eastAsia"/>
                <w:szCs w:val="21"/>
              </w:rPr>
              <w:t>3</w:t>
            </w:r>
          </w:p>
        </w:tc>
        <w:tc>
          <w:tcPr>
            <w:tcW w:w="2632" w:type="dxa"/>
            <w:noWrap w:val="0"/>
            <w:vAlign w:val="center"/>
          </w:tcPr>
          <w:p>
            <w:pPr>
              <w:rPr>
                <w:b/>
                <w:szCs w:val="21"/>
              </w:rPr>
            </w:pPr>
            <w:r>
              <w:rPr>
                <w:rFonts w:hint="eastAsia"/>
                <w:b/>
                <w:szCs w:val="21"/>
              </w:rPr>
              <w:t>GMP对软件的要求：</w:t>
            </w:r>
          </w:p>
          <w:p>
            <w:pPr>
              <w:rPr>
                <w:rFonts w:hint="eastAsia"/>
                <w:szCs w:val="21"/>
              </w:rPr>
            </w:pPr>
            <w:r>
              <w:rPr>
                <w:szCs w:val="21"/>
              </w:rPr>
              <w:t>（1）</w:t>
            </w:r>
            <w:r>
              <w:rPr>
                <w:rFonts w:hint="eastAsia"/>
                <w:bCs/>
                <w:szCs w:val="21"/>
              </w:rPr>
              <w:t>我国GMP对软件的要求</w:t>
            </w:r>
          </w:p>
          <w:p>
            <w:pPr>
              <w:rPr>
                <w:bCs/>
                <w:szCs w:val="21"/>
              </w:rPr>
            </w:pPr>
            <w:r>
              <w:rPr>
                <w:szCs w:val="21"/>
              </w:rPr>
              <w:t>（2）</w:t>
            </w:r>
            <w:r>
              <w:rPr>
                <w:rFonts w:hint="eastAsia"/>
                <w:szCs w:val="21"/>
              </w:rPr>
              <w:t>文件系统和类型</w:t>
            </w:r>
          </w:p>
          <w:p>
            <w:pPr>
              <w:rPr>
                <w:rFonts w:hint="eastAsia"/>
                <w:szCs w:val="21"/>
              </w:rPr>
            </w:pPr>
            <w:r>
              <w:rPr>
                <w:rFonts w:hint="eastAsia"/>
                <w:bCs/>
                <w:szCs w:val="21"/>
              </w:rPr>
              <w:t>（3）文件编制要求</w:t>
            </w:r>
          </w:p>
          <w:p>
            <w:pPr>
              <w:rPr>
                <w:rFonts w:hint="eastAsia"/>
                <w:b/>
                <w:bCs/>
                <w:color w:val="000000"/>
                <w:szCs w:val="21"/>
              </w:rPr>
            </w:pPr>
            <w:r>
              <w:rPr>
                <w:b/>
                <w:bCs/>
                <w:color w:val="000000"/>
                <w:szCs w:val="21"/>
              </w:rPr>
              <w:t>重</w:t>
            </w:r>
            <w:r>
              <w:rPr>
                <w:rFonts w:hint="eastAsia"/>
                <w:b/>
                <w:bCs/>
                <w:color w:val="000000"/>
                <w:szCs w:val="21"/>
              </w:rPr>
              <w:t>点</w:t>
            </w:r>
            <w:r>
              <w:rPr>
                <w:b/>
                <w:bCs/>
                <w:color w:val="000000"/>
                <w:szCs w:val="21"/>
              </w:rPr>
              <w:t>难点</w:t>
            </w:r>
            <w:r>
              <w:rPr>
                <w:rFonts w:hint="eastAsia"/>
                <w:b/>
                <w:bCs/>
                <w:color w:val="000000"/>
                <w:szCs w:val="21"/>
              </w:rPr>
              <w:t>：</w:t>
            </w:r>
          </w:p>
          <w:p>
            <w:pPr>
              <w:rPr>
                <w:rFonts w:hint="eastAsia"/>
                <w:szCs w:val="21"/>
              </w:rPr>
            </w:pPr>
            <w:r>
              <w:rPr>
                <w:rFonts w:hint="eastAsia"/>
                <w:szCs w:val="21"/>
              </w:rPr>
              <w:t>（1）文件系统的标准。</w:t>
            </w:r>
          </w:p>
        </w:tc>
        <w:tc>
          <w:tcPr>
            <w:tcW w:w="1134" w:type="dxa"/>
            <w:noWrap w:val="0"/>
            <w:vAlign w:val="center"/>
          </w:tcPr>
          <w:p>
            <w:pPr>
              <w:autoSpaceDE w:val="0"/>
              <w:autoSpaceDN w:val="0"/>
              <w:adjustRightInd w:val="0"/>
              <w:rPr>
                <w:kern w:val="0"/>
                <w:szCs w:val="21"/>
              </w:rPr>
            </w:pPr>
            <w:r>
              <w:rPr>
                <w:rFonts w:hint="eastAsia"/>
                <w:color w:val="000000"/>
                <w:szCs w:val="21"/>
              </w:rPr>
              <w:t>培养学生实事求是的科学作风，严谨的工作态度，严密的工作方法</w:t>
            </w:r>
          </w:p>
        </w:tc>
        <w:tc>
          <w:tcPr>
            <w:tcW w:w="2028" w:type="dxa"/>
            <w:noWrap w:val="0"/>
            <w:vAlign w:val="center"/>
          </w:tcPr>
          <w:p>
            <w:pPr>
              <w:rPr>
                <w:rFonts w:hint="eastAsia"/>
                <w:szCs w:val="21"/>
              </w:rPr>
            </w:pPr>
            <w:r>
              <w:rPr>
                <w:szCs w:val="21"/>
              </w:rPr>
              <w:t>（1）</w:t>
            </w:r>
            <w:r>
              <w:rPr>
                <w:rFonts w:hint="eastAsia"/>
                <w:szCs w:val="21"/>
              </w:rPr>
              <w:t>掌握文件系统和类型，以及我国对软件的要求。</w:t>
            </w:r>
          </w:p>
          <w:p>
            <w:pPr>
              <w:rPr>
                <w:rFonts w:hint="eastAsia"/>
                <w:szCs w:val="21"/>
              </w:rPr>
            </w:pPr>
            <w:r>
              <w:rPr>
                <w:rFonts w:hint="eastAsia"/>
                <w:szCs w:val="21"/>
              </w:rPr>
              <w:t>（2）熟悉</w:t>
            </w:r>
            <w:r>
              <w:rPr>
                <w:rFonts w:hint="eastAsia"/>
                <w:bCs/>
                <w:szCs w:val="21"/>
              </w:rPr>
              <w:t>文件编制要求</w:t>
            </w:r>
            <w:r>
              <w:rPr>
                <w:rFonts w:hint="eastAsia"/>
                <w:szCs w:val="21"/>
              </w:rPr>
              <w:t>。</w:t>
            </w:r>
          </w:p>
        </w:tc>
        <w:tc>
          <w:tcPr>
            <w:tcW w:w="699" w:type="dxa"/>
            <w:noWrap w:val="0"/>
            <w:vAlign w:val="center"/>
          </w:tcPr>
          <w:p>
            <w:pPr>
              <w:jc w:val="center"/>
              <w:rPr>
                <w:szCs w:val="21"/>
              </w:rPr>
            </w:pPr>
            <w:r>
              <w:rPr>
                <w:szCs w:val="21"/>
              </w:rPr>
              <w:t>2</w:t>
            </w:r>
            <w:r>
              <w:rPr>
                <w:rFonts w:hint="eastAsia"/>
                <w:szCs w:val="21"/>
              </w:rPr>
              <w:t>（讲授）</w:t>
            </w:r>
          </w:p>
        </w:tc>
        <w:tc>
          <w:tcPr>
            <w:tcW w:w="975" w:type="dxa"/>
            <w:noWrap w:val="0"/>
            <w:vAlign w:val="center"/>
          </w:tcPr>
          <w:p>
            <w:pPr>
              <w:rPr>
                <w:szCs w:val="21"/>
              </w:rPr>
            </w:pPr>
            <w:r>
              <w:rPr>
                <w:szCs w:val="21"/>
              </w:rPr>
              <w:t>讲授/讨论/实例教学等</w:t>
            </w:r>
          </w:p>
        </w:tc>
        <w:tc>
          <w:tcPr>
            <w:tcW w:w="925" w:type="dxa"/>
            <w:noWrap w:val="0"/>
            <w:vAlign w:val="center"/>
          </w:tcPr>
          <w:p>
            <w:pPr>
              <w:jc w:val="center"/>
              <w:rPr>
                <w:b/>
                <w:kern w:val="0"/>
              </w:rPr>
            </w:pPr>
            <w:r>
              <w:rPr>
                <w:b/>
                <w:kern w:val="0"/>
              </w:rPr>
              <w:t>目标</w:t>
            </w:r>
            <w:r>
              <w:rPr>
                <w:rFonts w:hint="eastAsia"/>
                <w:b/>
                <w:kern w:val="0"/>
              </w:rPr>
              <w:t>1</w:t>
            </w:r>
          </w:p>
          <w:p>
            <w:pPr>
              <w:jc w:val="center"/>
              <w:rPr>
                <w:szCs w:val="21"/>
              </w:rPr>
            </w:pPr>
            <w:r>
              <w:rPr>
                <w:rFonts w:hint="eastAsia"/>
                <w:b/>
                <w:kern w:val="0"/>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hint="eastAsia"/>
                <w:szCs w:val="21"/>
              </w:rPr>
            </w:pPr>
            <w:r>
              <w:rPr>
                <w:rFonts w:hint="eastAsia"/>
                <w:szCs w:val="21"/>
              </w:rPr>
              <w:t>4</w:t>
            </w:r>
          </w:p>
        </w:tc>
        <w:tc>
          <w:tcPr>
            <w:tcW w:w="2632" w:type="dxa"/>
            <w:noWrap w:val="0"/>
            <w:vAlign w:val="center"/>
          </w:tcPr>
          <w:p>
            <w:pPr>
              <w:rPr>
                <w:b/>
                <w:szCs w:val="21"/>
              </w:rPr>
            </w:pPr>
            <w:r>
              <w:rPr>
                <w:rFonts w:hint="eastAsia"/>
                <w:b/>
                <w:szCs w:val="21"/>
              </w:rPr>
              <w:t>机构和人员：</w:t>
            </w:r>
          </w:p>
          <w:p>
            <w:pPr>
              <w:rPr>
                <w:rFonts w:hint="eastAsia"/>
                <w:szCs w:val="21"/>
              </w:rPr>
            </w:pPr>
            <w:r>
              <w:rPr>
                <w:szCs w:val="21"/>
              </w:rPr>
              <w:t>（1）</w:t>
            </w:r>
            <w:r>
              <w:rPr>
                <w:rFonts w:hint="eastAsia"/>
                <w:bCs/>
                <w:szCs w:val="21"/>
              </w:rPr>
              <w:t>组织机构</w:t>
            </w:r>
          </w:p>
          <w:p>
            <w:pPr>
              <w:rPr>
                <w:rFonts w:hint="eastAsia" w:ascii="Arial" w:hAnsi="Arial" w:cs="Arial"/>
                <w:color w:val="333333"/>
                <w:kern w:val="0"/>
                <w:szCs w:val="21"/>
              </w:rPr>
            </w:pPr>
            <w:r>
              <w:rPr>
                <w:szCs w:val="21"/>
              </w:rPr>
              <w:t>（2）</w:t>
            </w:r>
            <w:r>
              <w:rPr>
                <w:rFonts w:hint="eastAsia"/>
                <w:bCs/>
                <w:szCs w:val="21"/>
              </w:rPr>
              <w:t>人员要求</w:t>
            </w:r>
          </w:p>
          <w:p>
            <w:pPr>
              <w:rPr>
                <w:bCs/>
                <w:szCs w:val="21"/>
              </w:rPr>
            </w:pPr>
            <w:r>
              <w:rPr>
                <w:rFonts w:hint="eastAsia"/>
                <w:szCs w:val="21"/>
              </w:rPr>
              <w:t>（3）</w:t>
            </w:r>
            <w:r>
              <w:rPr>
                <w:rFonts w:hint="eastAsia"/>
                <w:bCs/>
                <w:szCs w:val="21"/>
              </w:rPr>
              <w:t>人员培训</w:t>
            </w:r>
          </w:p>
          <w:p>
            <w:pPr>
              <w:rPr>
                <w:bCs/>
                <w:szCs w:val="21"/>
              </w:rPr>
            </w:pPr>
            <w:r>
              <w:rPr>
                <w:rFonts w:hint="eastAsia"/>
                <w:bCs/>
                <w:szCs w:val="21"/>
              </w:rPr>
              <w:t>（4）人员健康</w:t>
            </w:r>
          </w:p>
          <w:p>
            <w:pPr>
              <w:rPr>
                <w:bCs/>
                <w:szCs w:val="21"/>
              </w:rPr>
            </w:pPr>
            <w:r>
              <w:rPr>
                <w:rFonts w:hint="eastAsia"/>
                <w:bCs/>
                <w:szCs w:val="21"/>
              </w:rPr>
              <w:t>（5）岗位职责</w:t>
            </w:r>
          </w:p>
          <w:p>
            <w:pPr>
              <w:rPr>
                <w:rFonts w:hint="eastAsia"/>
                <w:szCs w:val="21"/>
              </w:rPr>
            </w:pPr>
            <w:r>
              <w:rPr>
                <w:rFonts w:hint="eastAsia"/>
                <w:bCs/>
                <w:szCs w:val="21"/>
              </w:rPr>
              <w:t>（6）机构与人员文件</w:t>
            </w:r>
          </w:p>
          <w:p>
            <w:pPr>
              <w:rPr>
                <w:rFonts w:hint="eastAsia"/>
                <w:b/>
                <w:bCs/>
                <w:color w:val="000000"/>
                <w:szCs w:val="21"/>
              </w:rPr>
            </w:pPr>
            <w:r>
              <w:rPr>
                <w:b/>
                <w:bCs/>
                <w:color w:val="000000"/>
                <w:szCs w:val="21"/>
              </w:rPr>
              <w:t>重</w:t>
            </w:r>
            <w:r>
              <w:rPr>
                <w:rFonts w:hint="eastAsia"/>
                <w:b/>
                <w:bCs/>
                <w:color w:val="000000"/>
                <w:szCs w:val="21"/>
              </w:rPr>
              <w:t>点</w:t>
            </w:r>
            <w:r>
              <w:rPr>
                <w:b/>
                <w:bCs/>
                <w:color w:val="000000"/>
                <w:szCs w:val="21"/>
              </w:rPr>
              <w:t>难点</w:t>
            </w:r>
            <w:r>
              <w:rPr>
                <w:rFonts w:hint="eastAsia"/>
                <w:b/>
                <w:bCs/>
                <w:color w:val="000000"/>
                <w:szCs w:val="21"/>
              </w:rPr>
              <w:t>：</w:t>
            </w:r>
          </w:p>
          <w:p>
            <w:pPr>
              <w:rPr>
                <w:rFonts w:hint="eastAsia"/>
                <w:szCs w:val="21"/>
              </w:rPr>
            </w:pPr>
            <w:r>
              <w:rPr>
                <w:rFonts w:hint="eastAsia"/>
                <w:szCs w:val="21"/>
              </w:rPr>
              <w:t>（1）药品生产企业的组织机构建制原则</w:t>
            </w:r>
            <w:r>
              <w:rPr>
                <w:szCs w:val="21"/>
              </w:rPr>
              <w:t>。</w:t>
            </w:r>
          </w:p>
          <w:p>
            <w:pPr>
              <w:rPr>
                <w:rFonts w:hint="eastAsia"/>
                <w:szCs w:val="21"/>
              </w:rPr>
            </w:pPr>
            <w:r>
              <w:rPr>
                <w:rFonts w:hint="eastAsia"/>
                <w:szCs w:val="21"/>
              </w:rPr>
              <w:t>（2）系统性循环的培训构架。</w:t>
            </w:r>
          </w:p>
        </w:tc>
        <w:tc>
          <w:tcPr>
            <w:tcW w:w="1134" w:type="dxa"/>
            <w:noWrap w:val="0"/>
            <w:vAlign w:val="center"/>
          </w:tcPr>
          <w:p>
            <w:pPr>
              <w:autoSpaceDE w:val="0"/>
              <w:autoSpaceDN w:val="0"/>
              <w:adjustRightInd w:val="0"/>
              <w:rPr>
                <w:kern w:val="0"/>
                <w:szCs w:val="21"/>
              </w:rPr>
            </w:pPr>
            <w:r>
              <w:rPr>
                <w:rFonts w:hint="eastAsia"/>
                <w:color w:val="000000"/>
                <w:szCs w:val="21"/>
              </w:rPr>
              <w:t>培养学生实事求是的科学作风，严谨的工作态度，严密的工作方法</w:t>
            </w:r>
          </w:p>
        </w:tc>
        <w:tc>
          <w:tcPr>
            <w:tcW w:w="2028" w:type="dxa"/>
            <w:noWrap w:val="0"/>
            <w:vAlign w:val="center"/>
          </w:tcPr>
          <w:p>
            <w:pPr>
              <w:rPr>
                <w:rFonts w:hint="eastAsia"/>
                <w:szCs w:val="21"/>
              </w:rPr>
            </w:pPr>
            <w:r>
              <w:rPr>
                <w:szCs w:val="21"/>
              </w:rPr>
              <w:t>（1）</w:t>
            </w:r>
            <w:r>
              <w:rPr>
                <w:rFonts w:hint="eastAsia"/>
                <w:szCs w:val="21"/>
              </w:rPr>
              <w:t>掌握人员培训的意义及生产操作人员岗位职责。</w:t>
            </w:r>
          </w:p>
          <w:p>
            <w:pPr>
              <w:rPr>
                <w:rFonts w:hint="eastAsia" w:ascii="Arial" w:hAnsi="Arial" w:cs="Arial"/>
                <w:color w:val="333333"/>
                <w:kern w:val="0"/>
                <w:szCs w:val="21"/>
              </w:rPr>
            </w:pPr>
            <w:r>
              <w:rPr>
                <w:szCs w:val="21"/>
              </w:rPr>
              <w:t>（2）</w:t>
            </w:r>
            <w:r>
              <w:rPr>
                <w:rFonts w:hint="eastAsia"/>
                <w:szCs w:val="21"/>
              </w:rPr>
              <w:t>熟悉人员健康要求和企业常见文件。</w:t>
            </w:r>
          </w:p>
          <w:p>
            <w:pPr>
              <w:rPr>
                <w:szCs w:val="21"/>
              </w:rPr>
            </w:pPr>
          </w:p>
        </w:tc>
        <w:tc>
          <w:tcPr>
            <w:tcW w:w="699" w:type="dxa"/>
            <w:noWrap w:val="0"/>
            <w:vAlign w:val="center"/>
          </w:tcPr>
          <w:p>
            <w:pPr>
              <w:jc w:val="center"/>
              <w:rPr>
                <w:szCs w:val="21"/>
              </w:rPr>
            </w:pPr>
            <w:r>
              <w:rPr>
                <w:szCs w:val="21"/>
              </w:rPr>
              <w:t>2</w:t>
            </w:r>
            <w:r>
              <w:rPr>
                <w:rFonts w:hint="eastAsia"/>
                <w:szCs w:val="21"/>
              </w:rPr>
              <w:t>（讲授）</w:t>
            </w:r>
          </w:p>
        </w:tc>
        <w:tc>
          <w:tcPr>
            <w:tcW w:w="975" w:type="dxa"/>
            <w:noWrap w:val="0"/>
            <w:vAlign w:val="center"/>
          </w:tcPr>
          <w:p>
            <w:pPr>
              <w:rPr>
                <w:szCs w:val="21"/>
              </w:rPr>
            </w:pPr>
            <w:r>
              <w:rPr>
                <w:szCs w:val="21"/>
              </w:rPr>
              <w:t>讲授/讨论/实例教学等</w:t>
            </w:r>
          </w:p>
        </w:tc>
        <w:tc>
          <w:tcPr>
            <w:tcW w:w="925" w:type="dxa"/>
            <w:noWrap w:val="0"/>
            <w:vAlign w:val="center"/>
          </w:tcPr>
          <w:p>
            <w:pPr>
              <w:jc w:val="center"/>
              <w:rPr>
                <w:b/>
                <w:kern w:val="0"/>
              </w:rPr>
            </w:pPr>
            <w:r>
              <w:rPr>
                <w:b/>
                <w:kern w:val="0"/>
              </w:rPr>
              <w:t>目标</w:t>
            </w:r>
            <w:r>
              <w:rPr>
                <w:rFonts w:hint="eastAsia"/>
                <w:b/>
                <w:kern w:val="0"/>
              </w:rPr>
              <w:t>1</w:t>
            </w:r>
          </w:p>
          <w:p>
            <w:pPr>
              <w:jc w:val="center"/>
              <w:rPr>
                <w:szCs w:val="21"/>
              </w:rPr>
            </w:pPr>
            <w:r>
              <w:rPr>
                <w:rFonts w:hint="eastAsia"/>
                <w:b/>
                <w:kern w:val="0"/>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hint="eastAsia"/>
                <w:szCs w:val="21"/>
              </w:rPr>
            </w:pPr>
            <w:r>
              <w:rPr>
                <w:rFonts w:hint="eastAsia"/>
                <w:szCs w:val="21"/>
              </w:rPr>
              <w:t>5</w:t>
            </w:r>
          </w:p>
        </w:tc>
        <w:tc>
          <w:tcPr>
            <w:tcW w:w="2632" w:type="dxa"/>
            <w:noWrap w:val="0"/>
            <w:vAlign w:val="center"/>
          </w:tcPr>
          <w:p>
            <w:pPr>
              <w:rPr>
                <w:b/>
                <w:szCs w:val="21"/>
              </w:rPr>
            </w:pPr>
            <w:r>
              <w:rPr>
                <w:rFonts w:hint="eastAsia"/>
                <w:b/>
                <w:szCs w:val="21"/>
              </w:rPr>
              <w:t>卫生：</w:t>
            </w:r>
          </w:p>
          <w:p>
            <w:pPr>
              <w:rPr>
                <w:bCs/>
                <w:szCs w:val="21"/>
              </w:rPr>
            </w:pPr>
            <w:r>
              <w:rPr>
                <w:szCs w:val="21"/>
              </w:rPr>
              <w:t>（1）</w:t>
            </w:r>
            <w:r>
              <w:rPr>
                <w:rFonts w:hint="eastAsia"/>
                <w:bCs/>
                <w:szCs w:val="21"/>
              </w:rPr>
              <w:t>卫生工作</w:t>
            </w:r>
          </w:p>
          <w:p>
            <w:pPr>
              <w:rPr>
                <w:bCs/>
                <w:szCs w:val="21"/>
              </w:rPr>
            </w:pPr>
            <w:r>
              <w:rPr>
                <w:rFonts w:hint="eastAsia"/>
                <w:bCs/>
                <w:szCs w:val="21"/>
              </w:rPr>
              <w:t>（2）卫生管理标准</w:t>
            </w:r>
          </w:p>
          <w:p>
            <w:pPr>
              <w:rPr>
                <w:bCs/>
                <w:szCs w:val="21"/>
              </w:rPr>
            </w:pPr>
            <w:r>
              <w:rPr>
                <w:rFonts w:hint="eastAsia"/>
                <w:bCs/>
                <w:szCs w:val="21"/>
              </w:rPr>
              <w:t>（3）清洁规程</w:t>
            </w:r>
          </w:p>
          <w:p>
            <w:pPr>
              <w:rPr>
                <w:bCs/>
                <w:szCs w:val="21"/>
              </w:rPr>
            </w:pPr>
            <w:r>
              <w:rPr>
                <w:rFonts w:hint="eastAsia"/>
                <w:bCs/>
                <w:szCs w:val="21"/>
              </w:rPr>
              <w:t>（4）卫生控制</w:t>
            </w:r>
          </w:p>
          <w:p>
            <w:pPr>
              <w:rPr>
                <w:rFonts w:hint="eastAsia"/>
                <w:szCs w:val="21"/>
              </w:rPr>
            </w:pPr>
            <w:r>
              <w:rPr>
                <w:rFonts w:hint="eastAsia"/>
                <w:bCs/>
                <w:szCs w:val="21"/>
              </w:rPr>
              <w:t>（5）卫生记录</w:t>
            </w:r>
          </w:p>
          <w:p>
            <w:pPr>
              <w:rPr>
                <w:rFonts w:hint="eastAsia"/>
                <w:b/>
                <w:bCs/>
                <w:color w:val="000000"/>
                <w:szCs w:val="21"/>
              </w:rPr>
            </w:pPr>
            <w:r>
              <w:rPr>
                <w:b/>
                <w:bCs/>
                <w:color w:val="000000"/>
                <w:szCs w:val="21"/>
              </w:rPr>
              <w:t>重</w:t>
            </w:r>
            <w:r>
              <w:rPr>
                <w:rFonts w:hint="eastAsia"/>
                <w:b/>
                <w:bCs/>
                <w:color w:val="000000"/>
                <w:szCs w:val="21"/>
              </w:rPr>
              <w:t>点</w:t>
            </w:r>
            <w:r>
              <w:rPr>
                <w:b/>
                <w:bCs/>
                <w:color w:val="000000"/>
                <w:szCs w:val="21"/>
              </w:rPr>
              <w:t>难点</w:t>
            </w:r>
            <w:r>
              <w:rPr>
                <w:rFonts w:hint="eastAsia"/>
                <w:b/>
                <w:bCs/>
                <w:color w:val="000000"/>
                <w:szCs w:val="21"/>
              </w:rPr>
              <w:t>：</w:t>
            </w:r>
          </w:p>
          <w:p>
            <w:pPr>
              <w:rPr>
                <w:szCs w:val="21"/>
              </w:rPr>
            </w:pPr>
            <w:r>
              <w:rPr>
                <w:rFonts w:hint="eastAsia"/>
                <w:szCs w:val="21"/>
              </w:rPr>
              <w:t>（1）污染的途径</w:t>
            </w:r>
            <w:r>
              <w:rPr>
                <w:szCs w:val="21"/>
              </w:rPr>
              <w:t>。</w:t>
            </w:r>
          </w:p>
          <w:p>
            <w:pPr>
              <w:rPr>
                <w:rFonts w:hint="eastAsia"/>
                <w:szCs w:val="21"/>
              </w:rPr>
            </w:pPr>
            <w:r>
              <w:rPr>
                <w:rFonts w:hint="eastAsia"/>
                <w:szCs w:val="21"/>
              </w:rPr>
              <w:t>（2）清洁规程的主要内容。</w:t>
            </w:r>
          </w:p>
        </w:tc>
        <w:tc>
          <w:tcPr>
            <w:tcW w:w="1134" w:type="dxa"/>
            <w:noWrap w:val="0"/>
            <w:vAlign w:val="center"/>
          </w:tcPr>
          <w:p>
            <w:pPr>
              <w:autoSpaceDE w:val="0"/>
              <w:autoSpaceDN w:val="0"/>
              <w:adjustRightInd w:val="0"/>
              <w:rPr>
                <w:kern w:val="0"/>
                <w:szCs w:val="21"/>
              </w:rPr>
            </w:pPr>
            <w:r>
              <w:rPr>
                <w:rFonts w:hint="eastAsia"/>
                <w:color w:val="000000"/>
                <w:szCs w:val="21"/>
              </w:rPr>
              <w:t>培养学生实事求是的科学作风，严谨的工作态度，严密的工作方法</w:t>
            </w:r>
          </w:p>
        </w:tc>
        <w:tc>
          <w:tcPr>
            <w:tcW w:w="2028" w:type="dxa"/>
            <w:noWrap w:val="0"/>
            <w:vAlign w:val="center"/>
          </w:tcPr>
          <w:p>
            <w:pPr>
              <w:rPr>
                <w:szCs w:val="21"/>
              </w:rPr>
            </w:pPr>
            <w:r>
              <w:rPr>
                <w:szCs w:val="21"/>
              </w:rPr>
              <w:t>（1）</w:t>
            </w:r>
            <w:r>
              <w:rPr>
                <w:rFonts w:hint="eastAsia"/>
                <w:szCs w:val="21"/>
              </w:rPr>
              <w:t>熟悉污染的概念和污染的途径。</w:t>
            </w:r>
          </w:p>
          <w:p>
            <w:pPr>
              <w:rPr>
                <w:szCs w:val="21"/>
              </w:rPr>
            </w:pPr>
            <w:r>
              <w:rPr>
                <w:rFonts w:hint="eastAsia"/>
                <w:szCs w:val="21"/>
              </w:rPr>
              <w:t>（2）熟悉厂区环境、一般区和洁净区卫生管理要求。</w:t>
            </w:r>
          </w:p>
          <w:p>
            <w:pPr>
              <w:rPr>
                <w:rFonts w:hint="eastAsia"/>
                <w:szCs w:val="21"/>
              </w:rPr>
            </w:pPr>
            <w:r>
              <w:rPr>
                <w:rFonts w:hint="eastAsia"/>
                <w:szCs w:val="21"/>
              </w:rPr>
              <w:t>（3）熟悉主要设备的清洁过程及卫生控制。</w:t>
            </w:r>
          </w:p>
        </w:tc>
        <w:tc>
          <w:tcPr>
            <w:tcW w:w="699" w:type="dxa"/>
            <w:noWrap w:val="0"/>
            <w:vAlign w:val="center"/>
          </w:tcPr>
          <w:p>
            <w:pPr>
              <w:jc w:val="center"/>
              <w:rPr>
                <w:szCs w:val="21"/>
              </w:rPr>
            </w:pPr>
            <w:r>
              <w:rPr>
                <w:szCs w:val="21"/>
              </w:rPr>
              <w:t>4</w:t>
            </w:r>
            <w:r>
              <w:rPr>
                <w:rFonts w:hint="eastAsia"/>
                <w:szCs w:val="21"/>
              </w:rPr>
              <w:t>（讲授）</w:t>
            </w:r>
          </w:p>
        </w:tc>
        <w:tc>
          <w:tcPr>
            <w:tcW w:w="975" w:type="dxa"/>
            <w:noWrap w:val="0"/>
            <w:vAlign w:val="center"/>
          </w:tcPr>
          <w:p>
            <w:pPr>
              <w:rPr>
                <w:szCs w:val="21"/>
              </w:rPr>
            </w:pPr>
            <w:r>
              <w:rPr>
                <w:szCs w:val="21"/>
              </w:rPr>
              <w:t>讲授/讨论/实例教学等</w:t>
            </w:r>
          </w:p>
        </w:tc>
        <w:tc>
          <w:tcPr>
            <w:tcW w:w="925" w:type="dxa"/>
            <w:noWrap w:val="0"/>
            <w:vAlign w:val="center"/>
          </w:tcPr>
          <w:p>
            <w:pPr>
              <w:jc w:val="center"/>
              <w:rPr>
                <w:b/>
                <w:kern w:val="0"/>
              </w:rPr>
            </w:pPr>
            <w:r>
              <w:rPr>
                <w:b/>
                <w:kern w:val="0"/>
              </w:rPr>
              <w:t>目标</w:t>
            </w:r>
            <w:r>
              <w:rPr>
                <w:rFonts w:hint="eastAsia"/>
                <w:b/>
                <w:kern w:val="0"/>
              </w:rPr>
              <w:t>1</w:t>
            </w:r>
          </w:p>
          <w:p>
            <w:pPr>
              <w:jc w:val="center"/>
              <w:rPr>
                <w:szCs w:val="21"/>
              </w:rPr>
            </w:pPr>
            <w:r>
              <w:rPr>
                <w:rFonts w:hint="eastAsia"/>
                <w:b/>
                <w:kern w:val="0"/>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hint="eastAsia"/>
                <w:szCs w:val="21"/>
              </w:rPr>
            </w:pPr>
            <w:r>
              <w:rPr>
                <w:rFonts w:hint="eastAsia"/>
                <w:szCs w:val="21"/>
              </w:rPr>
              <w:t>6</w:t>
            </w:r>
          </w:p>
        </w:tc>
        <w:tc>
          <w:tcPr>
            <w:tcW w:w="2632" w:type="dxa"/>
            <w:noWrap w:val="0"/>
            <w:vAlign w:val="center"/>
          </w:tcPr>
          <w:p>
            <w:pPr>
              <w:rPr>
                <w:b/>
                <w:szCs w:val="21"/>
              </w:rPr>
            </w:pPr>
            <w:r>
              <w:rPr>
                <w:rFonts w:hint="eastAsia"/>
                <w:b/>
                <w:szCs w:val="21"/>
              </w:rPr>
              <w:t>物料管理：</w:t>
            </w:r>
          </w:p>
          <w:p>
            <w:pPr>
              <w:pStyle w:val="5"/>
              <w:ind w:firstLine="0" w:firstLineChars="0"/>
              <w:rPr>
                <w:bCs/>
                <w:szCs w:val="21"/>
              </w:rPr>
            </w:pPr>
            <w:r>
              <w:rPr>
                <w:szCs w:val="21"/>
              </w:rPr>
              <w:t>（1）</w:t>
            </w:r>
            <w:r>
              <w:rPr>
                <w:rFonts w:hint="eastAsia"/>
                <w:bCs/>
                <w:szCs w:val="21"/>
              </w:rPr>
              <w:t>物料的概念</w:t>
            </w:r>
          </w:p>
          <w:p>
            <w:pPr>
              <w:pStyle w:val="5"/>
              <w:ind w:firstLine="0" w:firstLineChars="0"/>
              <w:rPr>
                <w:bCs/>
                <w:szCs w:val="21"/>
              </w:rPr>
            </w:pPr>
            <w:r>
              <w:rPr>
                <w:rFonts w:hint="eastAsia"/>
                <w:bCs/>
                <w:szCs w:val="21"/>
              </w:rPr>
              <w:t>（2）原辅料的管理</w:t>
            </w:r>
          </w:p>
          <w:p>
            <w:pPr>
              <w:pStyle w:val="5"/>
              <w:ind w:firstLine="0" w:firstLineChars="0"/>
              <w:rPr>
                <w:rFonts w:hint="eastAsia"/>
                <w:bCs/>
                <w:szCs w:val="21"/>
              </w:rPr>
            </w:pPr>
            <w:r>
              <w:rPr>
                <w:rFonts w:hint="eastAsia"/>
                <w:bCs/>
                <w:szCs w:val="21"/>
              </w:rPr>
              <w:t>（3）包装材料的管理</w:t>
            </w:r>
          </w:p>
          <w:p>
            <w:pPr>
              <w:rPr>
                <w:b/>
                <w:bCs/>
                <w:color w:val="000000"/>
                <w:szCs w:val="21"/>
              </w:rPr>
            </w:pPr>
            <w:r>
              <w:rPr>
                <w:b/>
                <w:bCs/>
                <w:color w:val="000000"/>
                <w:szCs w:val="21"/>
              </w:rPr>
              <w:t>重</w:t>
            </w:r>
            <w:r>
              <w:rPr>
                <w:rFonts w:hint="eastAsia"/>
                <w:b/>
                <w:bCs/>
                <w:color w:val="000000"/>
                <w:szCs w:val="21"/>
              </w:rPr>
              <w:t>点</w:t>
            </w:r>
            <w:r>
              <w:rPr>
                <w:b/>
                <w:bCs/>
                <w:color w:val="000000"/>
                <w:szCs w:val="21"/>
              </w:rPr>
              <w:t>难点</w:t>
            </w:r>
            <w:r>
              <w:rPr>
                <w:rFonts w:hint="eastAsia"/>
                <w:b/>
                <w:bCs/>
                <w:color w:val="000000"/>
                <w:szCs w:val="21"/>
              </w:rPr>
              <w:t>：</w:t>
            </w:r>
          </w:p>
          <w:p>
            <w:pPr>
              <w:rPr>
                <w:color w:val="000000"/>
                <w:szCs w:val="21"/>
              </w:rPr>
            </w:pPr>
            <w:r>
              <w:rPr>
                <w:rFonts w:hint="eastAsia"/>
                <w:color w:val="000000"/>
                <w:szCs w:val="21"/>
              </w:rPr>
              <w:t>（1）物料的管理制度</w:t>
            </w:r>
            <w:r>
              <w:rPr>
                <w:color w:val="000000"/>
                <w:szCs w:val="21"/>
              </w:rPr>
              <w:t>。</w:t>
            </w:r>
          </w:p>
          <w:p>
            <w:pPr>
              <w:rPr>
                <w:rFonts w:hint="eastAsia"/>
                <w:szCs w:val="21"/>
              </w:rPr>
            </w:pPr>
            <w:r>
              <w:rPr>
                <w:rFonts w:hint="eastAsia"/>
                <w:color w:val="000000"/>
                <w:szCs w:val="21"/>
              </w:rPr>
              <w:t>（2）</w:t>
            </w:r>
            <w:r>
              <w:rPr>
                <w:rFonts w:hint="eastAsia"/>
                <w:szCs w:val="21"/>
              </w:rPr>
              <w:t>原辅料的采购、接收、检验、贮存与养护、在库检查及出库验发。</w:t>
            </w:r>
          </w:p>
        </w:tc>
        <w:tc>
          <w:tcPr>
            <w:tcW w:w="1134" w:type="dxa"/>
            <w:noWrap w:val="0"/>
            <w:vAlign w:val="center"/>
          </w:tcPr>
          <w:p>
            <w:pPr>
              <w:autoSpaceDE w:val="0"/>
              <w:autoSpaceDN w:val="0"/>
              <w:adjustRightInd w:val="0"/>
              <w:rPr>
                <w:kern w:val="0"/>
                <w:szCs w:val="21"/>
              </w:rPr>
            </w:pPr>
            <w:r>
              <w:rPr>
                <w:rFonts w:hint="eastAsia"/>
                <w:color w:val="000000"/>
                <w:szCs w:val="21"/>
              </w:rPr>
              <w:t>培养学生实事求是的科学作风，严谨的工作态度，严密的工作方法</w:t>
            </w:r>
          </w:p>
        </w:tc>
        <w:tc>
          <w:tcPr>
            <w:tcW w:w="2028" w:type="dxa"/>
            <w:noWrap w:val="0"/>
            <w:vAlign w:val="center"/>
          </w:tcPr>
          <w:p>
            <w:pPr>
              <w:rPr>
                <w:szCs w:val="21"/>
              </w:rPr>
            </w:pPr>
            <w:r>
              <w:rPr>
                <w:szCs w:val="21"/>
              </w:rPr>
              <w:t>（1）</w:t>
            </w:r>
            <w:r>
              <w:rPr>
                <w:rFonts w:hint="eastAsia"/>
                <w:szCs w:val="21"/>
              </w:rPr>
              <w:t>掌握物料的概念、包装材料的概念及分类。</w:t>
            </w:r>
          </w:p>
          <w:p>
            <w:pPr>
              <w:rPr>
                <w:szCs w:val="21"/>
              </w:rPr>
            </w:pPr>
            <w:r>
              <w:rPr>
                <w:rFonts w:hint="eastAsia"/>
                <w:szCs w:val="21"/>
              </w:rPr>
              <w:t>（2）熟悉物料的管理规程和制度。</w:t>
            </w:r>
          </w:p>
          <w:p>
            <w:pPr>
              <w:rPr>
                <w:szCs w:val="21"/>
              </w:rPr>
            </w:pPr>
            <w:r>
              <w:rPr>
                <w:rFonts w:hint="eastAsia"/>
                <w:szCs w:val="21"/>
              </w:rPr>
              <w:t>（3）熟悉标签和说明书使用管理规程。</w:t>
            </w:r>
          </w:p>
          <w:p>
            <w:pPr>
              <w:rPr>
                <w:szCs w:val="21"/>
              </w:rPr>
            </w:pPr>
          </w:p>
        </w:tc>
        <w:tc>
          <w:tcPr>
            <w:tcW w:w="699" w:type="dxa"/>
            <w:noWrap w:val="0"/>
            <w:vAlign w:val="center"/>
          </w:tcPr>
          <w:p>
            <w:pPr>
              <w:jc w:val="center"/>
              <w:rPr>
                <w:szCs w:val="21"/>
              </w:rPr>
            </w:pPr>
            <w:r>
              <w:rPr>
                <w:szCs w:val="21"/>
              </w:rPr>
              <w:t>4</w:t>
            </w:r>
            <w:r>
              <w:rPr>
                <w:rFonts w:hint="eastAsia"/>
                <w:szCs w:val="21"/>
              </w:rPr>
              <w:t>（讲授）</w:t>
            </w:r>
          </w:p>
        </w:tc>
        <w:tc>
          <w:tcPr>
            <w:tcW w:w="975" w:type="dxa"/>
            <w:noWrap w:val="0"/>
            <w:vAlign w:val="center"/>
          </w:tcPr>
          <w:p>
            <w:pPr>
              <w:rPr>
                <w:szCs w:val="21"/>
              </w:rPr>
            </w:pPr>
            <w:r>
              <w:rPr>
                <w:szCs w:val="21"/>
              </w:rPr>
              <w:t>讲授/讨论/实例教学等</w:t>
            </w:r>
          </w:p>
        </w:tc>
        <w:tc>
          <w:tcPr>
            <w:tcW w:w="925" w:type="dxa"/>
            <w:noWrap w:val="0"/>
            <w:vAlign w:val="center"/>
          </w:tcPr>
          <w:p>
            <w:pPr>
              <w:jc w:val="center"/>
              <w:rPr>
                <w:b/>
                <w:kern w:val="0"/>
              </w:rPr>
            </w:pPr>
            <w:r>
              <w:rPr>
                <w:b/>
                <w:kern w:val="0"/>
              </w:rPr>
              <w:t>目标</w:t>
            </w:r>
            <w:r>
              <w:rPr>
                <w:rFonts w:hint="eastAsia"/>
                <w:b/>
                <w:kern w:val="0"/>
              </w:rPr>
              <w:t>1</w:t>
            </w:r>
          </w:p>
          <w:p>
            <w:pPr>
              <w:jc w:val="center"/>
              <w:rPr>
                <w:szCs w:val="21"/>
              </w:rPr>
            </w:pPr>
            <w:r>
              <w:rPr>
                <w:rFonts w:hint="eastAsia"/>
                <w:b/>
                <w:kern w:val="0"/>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hint="eastAsia"/>
                <w:szCs w:val="21"/>
              </w:rPr>
            </w:pPr>
            <w:r>
              <w:rPr>
                <w:rFonts w:hint="eastAsia"/>
                <w:szCs w:val="21"/>
              </w:rPr>
              <w:t>7</w:t>
            </w:r>
          </w:p>
        </w:tc>
        <w:tc>
          <w:tcPr>
            <w:tcW w:w="2632" w:type="dxa"/>
            <w:noWrap w:val="0"/>
            <w:vAlign w:val="center"/>
          </w:tcPr>
          <w:p>
            <w:pPr>
              <w:rPr>
                <w:b/>
                <w:szCs w:val="21"/>
              </w:rPr>
            </w:pPr>
            <w:r>
              <w:rPr>
                <w:rFonts w:hint="eastAsia"/>
                <w:b/>
                <w:szCs w:val="21"/>
              </w:rPr>
              <w:t>生产管理：</w:t>
            </w:r>
          </w:p>
          <w:p>
            <w:pPr>
              <w:rPr>
                <w:bCs/>
                <w:szCs w:val="21"/>
              </w:rPr>
            </w:pPr>
            <w:r>
              <w:rPr>
                <w:szCs w:val="21"/>
              </w:rPr>
              <w:t>（1）</w:t>
            </w:r>
            <w:r>
              <w:rPr>
                <w:rFonts w:hint="eastAsia"/>
                <w:bCs/>
                <w:szCs w:val="21"/>
              </w:rPr>
              <w:t>生产指令管理</w:t>
            </w:r>
          </w:p>
          <w:p>
            <w:pPr>
              <w:rPr>
                <w:rFonts w:hint="eastAsia"/>
                <w:bCs/>
                <w:szCs w:val="21"/>
              </w:rPr>
            </w:pPr>
            <w:r>
              <w:rPr>
                <w:rFonts w:hint="eastAsia"/>
                <w:bCs/>
                <w:szCs w:val="21"/>
              </w:rPr>
              <w:t>（2）生产过程管理</w:t>
            </w:r>
          </w:p>
          <w:p>
            <w:pPr>
              <w:rPr>
                <w:rFonts w:hint="eastAsia"/>
                <w:color w:val="000000"/>
                <w:szCs w:val="21"/>
              </w:rPr>
            </w:pPr>
            <w:r>
              <w:rPr>
                <w:color w:val="000000"/>
                <w:szCs w:val="21"/>
              </w:rPr>
              <w:t>重</w:t>
            </w:r>
            <w:r>
              <w:rPr>
                <w:rFonts w:hint="eastAsia"/>
                <w:color w:val="000000"/>
                <w:szCs w:val="21"/>
              </w:rPr>
              <w:t>点</w:t>
            </w:r>
            <w:r>
              <w:rPr>
                <w:color w:val="000000"/>
                <w:szCs w:val="21"/>
              </w:rPr>
              <w:t>难点</w:t>
            </w:r>
            <w:r>
              <w:rPr>
                <w:rFonts w:hint="eastAsia"/>
                <w:color w:val="000000"/>
                <w:szCs w:val="21"/>
              </w:rPr>
              <w:t>：</w:t>
            </w:r>
          </w:p>
          <w:p>
            <w:pPr>
              <w:rPr>
                <w:rFonts w:ascii="Arial" w:hAnsi="Arial" w:cs="Arial"/>
                <w:color w:val="333333"/>
                <w:kern w:val="0"/>
                <w:szCs w:val="21"/>
              </w:rPr>
            </w:pPr>
            <w:r>
              <w:rPr>
                <w:rFonts w:hint="eastAsia"/>
                <w:color w:val="000000"/>
                <w:szCs w:val="21"/>
              </w:rPr>
              <w:t>（1）</w:t>
            </w:r>
            <w:r>
              <w:rPr>
                <w:rFonts w:hint="eastAsia"/>
                <w:szCs w:val="21"/>
              </w:rPr>
              <w:t>生产管理的技术标准依据</w:t>
            </w:r>
            <w:r>
              <w:rPr>
                <w:rFonts w:hint="eastAsia" w:ascii="Arial" w:hAnsi="Arial" w:cs="Arial"/>
                <w:color w:val="333333"/>
                <w:kern w:val="0"/>
                <w:szCs w:val="21"/>
              </w:rPr>
              <w:t>。</w:t>
            </w:r>
          </w:p>
          <w:p>
            <w:pPr>
              <w:rPr>
                <w:rFonts w:hint="eastAsia"/>
                <w:b/>
                <w:szCs w:val="21"/>
              </w:rPr>
            </w:pPr>
            <w:r>
              <w:rPr>
                <w:rFonts w:hint="eastAsia" w:ascii="Arial" w:hAnsi="Arial" w:cs="Arial"/>
                <w:color w:val="333333"/>
                <w:kern w:val="0"/>
                <w:szCs w:val="21"/>
              </w:rPr>
              <w:t>（</w:t>
            </w:r>
            <w:r>
              <w:rPr>
                <w:rFonts w:hint="eastAsia"/>
                <w:color w:val="000000"/>
                <w:szCs w:val="21"/>
              </w:rPr>
              <w:t>2</w:t>
            </w:r>
            <w:r>
              <w:rPr>
                <w:rFonts w:hint="eastAsia" w:ascii="Arial" w:hAnsi="Arial" w:cs="Arial"/>
                <w:color w:val="333333"/>
                <w:kern w:val="0"/>
                <w:szCs w:val="21"/>
              </w:rPr>
              <w:t>）生产过程管理规范。</w:t>
            </w:r>
          </w:p>
        </w:tc>
        <w:tc>
          <w:tcPr>
            <w:tcW w:w="1134" w:type="dxa"/>
            <w:noWrap w:val="0"/>
            <w:vAlign w:val="center"/>
          </w:tcPr>
          <w:p>
            <w:pPr>
              <w:autoSpaceDE w:val="0"/>
              <w:autoSpaceDN w:val="0"/>
              <w:adjustRightInd w:val="0"/>
              <w:rPr>
                <w:kern w:val="0"/>
                <w:szCs w:val="21"/>
              </w:rPr>
            </w:pPr>
            <w:r>
              <w:rPr>
                <w:rFonts w:hint="eastAsia"/>
                <w:color w:val="000000"/>
                <w:szCs w:val="21"/>
              </w:rPr>
              <w:t>培养学生实事求是的科学作风，严谨的工作态度，严密的工作方法</w:t>
            </w:r>
          </w:p>
        </w:tc>
        <w:tc>
          <w:tcPr>
            <w:tcW w:w="2028" w:type="dxa"/>
            <w:noWrap w:val="0"/>
            <w:vAlign w:val="center"/>
          </w:tcPr>
          <w:p>
            <w:pPr>
              <w:rPr>
                <w:szCs w:val="21"/>
              </w:rPr>
            </w:pPr>
            <w:r>
              <w:rPr>
                <w:szCs w:val="21"/>
              </w:rPr>
              <w:t>（1）</w:t>
            </w:r>
            <w:r>
              <w:rPr>
                <w:rFonts w:hint="eastAsia"/>
                <w:szCs w:val="21"/>
              </w:rPr>
              <w:t>掌握生产记录管理规程、批号管理规程</w:t>
            </w:r>
          </w:p>
          <w:p>
            <w:pPr>
              <w:rPr>
                <w:rFonts w:hint="eastAsia"/>
                <w:szCs w:val="21"/>
              </w:rPr>
            </w:pPr>
            <w:r>
              <w:rPr>
                <w:rFonts w:hint="eastAsia"/>
                <w:szCs w:val="21"/>
              </w:rPr>
              <w:t>（2）熟悉生产过程管理、物料平衡管理</w:t>
            </w:r>
          </w:p>
          <w:p>
            <w:pPr>
              <w:rPr>
                <w:szCs w:val="21"/>
              </w:rPr>
            </w:pPr>
          </w:p>
        </w:tc>
        <w:tc>
          <w:tcPr>
            <w:tcW w:w="699" w:type="dxa"/>
            <w:noWrap w:val="0"/>
            <w:vAlign w:val="center"/>
          </w:tcPr>
          <w:p>
            <w:pPr>
              <w:jc w:val="center"/>
              <w:rPr>
                <w:szCs w:val="21"/>
              </w:rPr>
            </w:pPr>
            <w:r>
              <w:rPr>
                <w:szCs w:val="21"/>
              </w:rPr>
              <w:t>4</w:t>
            </w:r>
            <w:r>
              <w:rPr>
                <w:rFonts w:hint="eastAsia"/>
                <w:szCs w:val="21"/>
              </w:rPr>
              <w:t>（讲授）</w:t>
            </w:r>
          </w:p>
        </w:tc>
        <w:tc>
          <w:tcPr>
            <w:tcW w:w="975" w:type="dxa"/>
            <w:noWrap w:val="0"/>
            <w:vAlign w:val="center"/>
          </w:tcPr>
          <w:p>
            <w:pPr>
              <w:rPr>
                <w:szCs w:val="21"/>
              </w:rPr>
            </w:pPr>
            <w:r>
              <w:rPr>
                <w:szCs w:val="21"/>
              </w:rPr>
              <w:t>讲授/讨论/实例教学等</w:t>
            </w:r>
          </w:p>
        </w:tc>
        <w:tc>
          <w:tcPr>
            <w:tcW w:w="925" w:type="dxa"/>
            <w:noWrap w:val="0"/>
            <w:vAlign w:val="center"/>
          </w:tcPr>
          <w:p>
            <w:pPr>
              <w:jc w:val="center"/>
              <w:rPr>
                <w:b/>
                <w:kern w:val="0"/>
              </w:rPr>
            </w:pPr>
            <w:r>
              <w:rPr>
                <w:b/>
                <w:kern w:val="0"/>
              </w:rPr>
              <w:t>目标</w:t>
            </w:r>
            <w:r>
              <w:rPr>
                <w:rFonts w:hint="eastAsia"/>
                <w:b/>
                <w:kern w:val="0"/>
              </w:rPr>
              <w:t>1</w:t>
            </w:r>
          </w:p>
          <w:p>
            <w:pPr>
              <w:jc w:val="center"/>
              <w:rPr>
                <w:szCs w:val="21"/>
              </w:rPr>
            </w:pPr>
            <w:r>
              <w:rPr>
                <w:rFonts w:hint="eastAsia"/>
                <w:b/>
                <w:kern w:val="0"/>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hint="eastAsia"/>
                <w:szCs w:val="21"/>
              </w:rPr>
            </w:pPr>
            <w:r>
              <w:rPr>
                <w:rFonts w:hint="eastAsia"/>
                <w:szCs w:val="21"/>
              </w:rPr>
              <w:t>8</w:t>
            </w:r>
          </w:p>
        </w:tc>
        <w:tc>
          <w:tcPr>
            <w:tcW w:w="2632" w:type="dxa"/>
            <w:noWrap w:val="0"/>
            <w:vAlign w:val="center"/>
          </w:tcPr>
          <w:p>
            <w:pPr>
              <w:rPr>
                <w:b/>
                <w:szCs w:val="21"/>
              </w:rPr>
            </w:pPr>
            <w:r>
              <w:rPr>
                <w:rFonts w:hint="eastAsia"/>
                <w:b/>
                <w:szCs w:val="21"/>
              </w:rPr>
              <w:t>质量管理：</w:t>
            </w:r>
          </w:p>
          <w:p>
            <w:pPr>
              <w:rPr>
                <w:rFonts w:hint="eastAsia"/>
                <w:szCs w:val="21"/>
              </w:rPr>
            </w:pPr>
            <w:r>
              <w:rPr>
                <w:szCs w:val="21"/>
              </w:rPr>
              <w:t>（1）</w:t>
            </w:r>
            <w:r>
              <w:rPr>
                <w:rFonts w:hint="eastAsia"/>
                <w:szCs w:val="21"/>
              </w:rPr>
              <w:t>取样</w:t>
            </w:r>
          </w:p>
          <w:p>
            <w:pPr>
              <w:rPr>
                <w:szCs w:val="21"/>
              </w:rPr>
            </w:pPr>
            <w:r>
              <w:rPr>
                <w:rFonts w:hint="eastAsia"/>
                <w:szCs w:val="21"/>
              </w:rPr>
              <w:t>（2）起始物料监控</w:t>
            </w:r>
          </w:p>
          <w:p>
            <w:pPr>
              <w:rPr>
                <w:szCs w:val="21"/>
              </w:rPr>
            </w:pPr>
            <w:r>
              <w:rPr>
                <w:rFonts w:hint="eastAsia"/>
                <w:szCs w:val="21"/>
              </w:rPr>
              <w:t>（3）过程控制</w:t>
            </w:r>
          </w:p>
          <w:p>
            <w:pPr>
              <w:rPr>
                <w:szCs w:val="21"/>
              </w:rPr>
            </w:pPr>
            <w:r>
              <w:rPr>
                <w:rFonts w:hint="eastAsia"/>
                <w:szCs w:val="21"/>
              </w:rPr>
              <w:t>（4）检验与测试</w:t>
            </w:r>
          </w:p>
          <w:p>
            <w:pPr>
              <w:rPr>
                <w:szCs w:val="21"/>
              </w:rPr>
            </w:pPr>
            <w:r>
              <w:rPr>
                <w:rFonts w:hint="eastAsia"/>
                <w:szCs w:val="21"/>
              </w:rPr>
              <w:t>（5）放行</w:t>
            </w:r>
          </w:p>
          <w:p>
            <w:pPr>
              <w:rPr>
                <w:szCs w:val="21"/>
              </w:rPr>
            </w:pPr>
            <w:r>
              <w:rPr>
                <w:rFonts w:hint="eastAsia"/>
                <w:szCs w:val="21"/>
              </w:rPr>
              <w:t>（6）稳定性试验</w:t>
            </w:r>
          </w:p>
          <w:p>
            <w:pPr>
              <w:rPr>
                <w:rFonts w:hint="eastAsia"/>
                <w:szCs w:val="21"/>
              </w:rPr>
            </w:pPr>
            <w:r>
              <w:rPr>
                <w:rFonts w:hint="eastAsia"/>
                <w:szCs w:val="21"/>
              </w:rPr>
              <w:t>（7）质量管理</w:t>
            </w:r>
          </w:p>
          <w:p>
            <w:pPr>
              <w:rPr>
                <w:rFonts w:hint="eastAsia"/>
                <w:b/>
                <w:bCs/>
                <w:color w:val="000000"/>
                <w:szCs w:val="21"/>
              </w:rPr>
            </w:pPr>
            <w:r>
              <w:rPr>
                <w:b/>
                <w:bCs/>
                <w:color w:val="000000"/>
                <w:szCs w:val="21"/>
              </w:rPr>
              <w:t>重</w:t>
            </w:r>
            <w:r>
              <w:rPr>
                <w:rFonts w:hint="eastAsia"/>
                <w:b/>
                <w:bCs/>
                <w:color w:val="000000"/>
                <w:szCs w:val="21"/>
              </w:rPr>
              <w:t>点</w:t>
            </w:r>
            <w:r>
              <w:rPr>
                <w:b/>
                <w:bCs/>
                <w:color w:val="000000"/>
                <w:szCs w:val="21"/>
              </w:rPr>
              <w:t>难点</w:t>
            </w:r>
            <w:r>
              <w:rPr>
                <w:rFonts w:hint="eastAsia"/>
                <w:b/>
                <w:bCs/>
                <w:color w:val="000000"/>
                <w:szCs w:val="21"/>
              </w:rPr>
              <w:t>：</w:t>
            </w:r>
          </w:p>
          <w:p>
            <w:pPr>
              <w:rPr>
                <w:rFonts w:hint="eastAsia"/>
                <w:szCs w:val="21"/>
              </w:rPr>
            </w:pPr>
            <w:r>
              <w:rPr>
                <w:rFonts w:hint="eastAsia"/>
                <w:color w:val="000000"/>
                <w:szCs w:val="21"/>
              </w:rPr>
              <w:t>（1）物料</w:t>
            </w:r>
            <w:r>
              <w:rPr>
                <w:rFonts w:hint="eastAsia"/>
                <w:szCs w:val="21"/>
              </w:rPr>
              <w:t>取样标准操作规程。</w:t>
            </w:r>
          </w:p>
          <w:p>
            <w:pPr>
              <w:rPr>
                <w:rFonts w:hint="eastAsia" w:ascii="Arial" w:hAnsi="Arial" w:cs="Arial"/>
                <w:color w:val="333333"/>
                <w:kern w:val="0"/>
                <w:szCs w:val="21"/>
              </w:rPr>
            </w:pPr>
            <w:r>
              <w:rPr>
                <w:rFonts w:hint="eastAsia"/>
                <w:szCs w:val="21"/>
              </w:rPr>
              <w:t>（2）检验和测试管理程序。</w:t>
            </w:r>
          </w:p>
        </w:tc>
        <w:tc>
          <w:tcPr>
            <w:tcW w:w="1134" w:type="dxa"/>
            <w:noWrap w:val="0"/>
            <w:vAlign w:val="center"/>
          </w:tcPr>
          <w:p>
            <w:pPr>
              <w:autoSpaceDE w:val="0"/>
              <w:autoSpaceDN w:val="0"/>
              <w:adjustRightInd w:val="0"/>
              <w:rPr>
                <w:kern w:val="0"/>
                <w:szCs w:val="21"/>
              </w:rPr>
            </w:pPr>
            <w:r>
              <w:rPr>
                <w:rFonts w:hint="eastAsia"/>
                <w:color w:val="000000"/>
                <w:szCs w:val="21"/>
              </w:rPr>
              <w:t>培养学生实事求是的科学作风，严谨的工作态度，严密的工作方法</w:t>
            </w:r>
          </w:p>
        </w:tc>
        <w:tc>
          <w:tcPr>
            <w:tcW w:w="2028" w:type="dxa"/>
            <w:noWrap w:val="0"/>
            <w:vAlign w:val="center"/>
          </w:tcPr>
          <w:p>
            <w:pPr>
              <w:rPr>
                <w:szCs w:val="21"/>
              </w:rPr>
            </w:pPr>
            <w:r>
              <w:rPr>
                <w:szCs w:val="21"/>
              </w:rPr>
              <w:t>（1）</w:t>
            </w:r>
            <w:r>
              <w:rPr>
                <w:rFonts w:hint="eastAsia"/>
                <w:szCs w:val="21"/>
              </w:rPr>
              <w:t>熟悉取样管理规程和过程控制。</w:t>
            </w:r>
          </w:p>
          <w:p>
            <w:pPr>
              <w:rPr>
                <w:rFonts w:hint="eastAsia"/>
                <w:szCs w:val="21"/>
              </w:rPr>
            </w:pPr>
            <w:r>
              <w:rPr>
                <w:rFonts w:hint="eastAsia"/>
                <w:szCs w:val="21"/>
              </w:rPr>
              <w:t>（2）熟悉检验和测试管理程序及放行管理。</w:t>
            </w:r>
          </w:p>
        </w:tc>
        <w:tc>
          <w:tcPr>
            <w:tcW w:w="699" w:type="dxa"/>
            <w:noWrap w:val="0"/>
            <w:vAlign w:val="center"/>
          </w:tcPr>
          <w:p>
            <w:pPr>
              <w:jc w:val="center"/>
              <w:rPr>
                <w:szCs w:val="21"/>
              </w:rPr>
            </w:pPr>
            <w:r>
              <w:rPr>
                <w:szCs w:val="21"/>
              </w:rPr>
              <w:t>4</w:t>
            </w:r>
            <w:r>
              <w:rPr>
                <w:rFonts w:hint="eastAsia"/>
                <w:szCs w:val="21"/>
              </w:rPr>
              <w:t>（讲授）</w:t>
            </w:r>
          </w:p>
        </w:tc>
        <w:tc>
          <w:tcPr>
            <w:tcW w:w="975" w:type="dxa"/>
            <w:noWrap w:val="0"/>
            <w:vAlign w:val="center"/>
          </w:tcPr>
          <w:p>
            <w:pPr>
              <w:rPr>
                <w:szCs w:val="21"/>
              </w:rPr>
            </w:pPr>
            <w:r>
              <w:rPr>
                <w:szCs w:val="21"/>
              </w:rPr>
              <w:t>讲授/讨论/实例教学等</w:t>
            </w:r>
          </w:p>
        </w:tc>
        <w:tc>
          <w:tcPr>
            <w:tcW w:w="925" w:type="dxa"/>
            <w:noWrap w:val="0"/>
            <w:vAlign w:val="center"/>
          </w:tcPr>
          <w:p>
            <w:pPr>
              <w:jc w:val="center"/>
              <w:rPr>
                <w:b/>
                <w:kern w:val="0"/>
              </w:rPr>
            </w:pPr>
            <w:r>
              <w:rPr>
                <w:b/>
                <w:kern w:val="0"/>
              </w:rPr>
              <w:t>目标</w:t>
            </w:r>
            <w:r>
              <w:rPr>
                <w:rFonts w:hint="eastAsia"/>
                <w:b/>
                <w:kern w:val="0"/>
              </w:rPr>
              <w:t>1</w:t>
            </w:r>
          </w:p>
          <w:p>
            <w:pPr>
              <w:jc w:val="center"/>
              <w:rPr>
                <w:szCs w:val="21"/>
              </w:rPr>
            </w:pPr>
            <w:r>
              <w:rPr>
                <w:rFonts w:hint="eastAsia"/>
                <w:b/>
                <w:kern w:val="0"/>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hint="eastAsia"/>
                <w:szCs w:val="21"/>
              </w:rPr>
            </w:pPr>
            <w:r>
              <w:rPr>
                <w:rFonts w:hint="eastAsia"/>
                <w:szCs w:val="21"/>
              </w:rPr>
              <w:t>9</w:t>
            </w:r>
          </w:p>
        </w:tc>
        <w:tc>
          <w:tcPr>
            <w:tcW w:w="2632" w:type="dxa"/>
            <w:noWrap w:val="0"/>
            <w:vAlign w:val="center"/>
          </w:tcPr>
          <w:p>
            <w:pPr>
              <w:rPr>
                <w:b/>
                <w:szCs w:val="21"/>
              </w:rPr>
            </w:pPr>
            <w:r>
              <w:rPr>
                <w:rFonts w:hint="eastAsia"/>
                <w:b/>
                <w:szCs w:val="21"/>
              </w:rPr>
              <w:t>验证：</w:t>
            </w:r>
          </w:p>
          <w:p>
            <w:pPr>
              <w:rPr>
                <w:rFonts w:hint="eastAsia"/>
                <w:szCs w:val="21"/>
              </w:rPr>
            </w:pPr>
            <w:r>
              <w:rPr>
                <w:szCs w:val="21"/>
              </w:rPr>
              <w:t>（1）</w:t>
            </w:r>
            <w:r>
              <w:rPr>
                <w:rFonts w:hint="eastAsia"/>
                <w:szCs w:val="21"/>
              </w:rPr>
              <w:t>设备的验证</w:t>
            </w:r>
          </w:p>
          <w:p>
            <w:pPr>
              <w:rPr>
                <w:szCs w:val="21"/>
              </w:rPr>
            </w:pPr>
            <w:r>
              <w:rPr>
                <w:rFonts w:hint="eastAsia"/>
                <w:szCs w:val="21"/>
              </w:rPr>
              <w:t>（2）关键工序验证</w:t>
            </w:r>
          </w:p>
          <w:p>
            <w:pPr>
              <w:rPr>
                <w:szCs w:val="21"/>
              </w:rPr>
            </w:pPr>
            <w:r>
              <w:rPr>
                <w:rFonts w:hint="eastAsia"/>
                <w:szCs w:val="21"/>
              </w:rPr>
              <w:t>（3）清洁验证</w:t>
            </w:r>
          </w:p>
          <w:p>
            <w:pPr>
              <w:rPr>
                <w:szCs w:val="21"/>
              </w:rPr>
            </w:pPr>
            <w:r>
              <w:rPr>
                <w:rFonts w:hint="eastAsia"/>
                <w:szCs w:val="21"/>
              </w:rPr>
              <w:t>（4）工艺验证</w:t>
            </w:r>
          </w:p>
          <w:p>
            <w:pPr>
              <w:rPr>
                <w:szCs w:val="21"/>
              </w:rPr>
            </w:pPr>
            <w:r>
              <w:rPr>
                <w:rFonts w:hint="eastAsia"/>
                <w:szCs w:val="21"/>
              </w:rPr>
              <w:t>（5）验证实施的程序</w:t>
            </w:r>
          </w:p>
          <w:p>
            <w:pPr>
              <w:rPr>
                <w:szCs w:val="21"/>
              </w:rPr>
            </w:pPr>
            <w:r>
              <w:rPr>
                <w:rFonts w:hint="eastAsia"/>
                <w:szCs w:val="21"/>
              </w:rPr>
              <w:t>（6）验证工作的检查</w:t>
            </w:r>
          </w:p>
          <w:p>
            <w:pPr>
              <w:rPr>
                <w:rFonts w:hint="eastAsia"/>
                <w:b/>
                <w:bCs/>
                <w:color w:val="000000"/>
                <w:szCs w:val="21"/>
              </w:rPr>
            </w:pPr>
            <w:r>
              <w:rPr>
                <w:b/>
                <w:bCs/>
                <w:color w:val="000000"/>
                <w:szCs w:val="21"/>
              </w:rPr>
              <w:t>重</w:t>
            </w:r>
            <w:r>
              <w:rPr>
                <w:rFonts w:hint="eastAsia"/>
                <w:b/>
                <w:bCs/>
                <w:color w:val="000000"/>
                <w:szCs w:val="21"/>
              </w:rPr>
              <w:t>点</w:t>
            </w:r>
            <w:r>
              <w:rPr>
                <w:b/>
                <w:bCs/>
                <w:color w:val="000000"/>
                <w:szCs w:val="21"/>
              </w:rPr>
              <w:t>难点</w:t>
            </w:r>
            <w:r>
              <w:rPr>
                <w:rFonts w:hint="eastAsia"/>
                <w:b/>
                <w:bCs/>
                <w:color w:val="000000"/>
                <w:szCs w:val="21"/>
              </w:rPr>
              <w:t>：</w:t>
            </w:r>
          </w:p>
          <w:p>
            <w:pPr>
              <w:rPr>
                <w:rFonts w:hint="eastAsia"/>
                <w:szCs w:val="21"/>
              </w:rPr>
            </w:pPr>
            <w:r>
              <w:rPr>
                <w:rFonts w:hint="eastAsia"/>
                <w:color w:val="000000"/>
                <w:szCs w:val="21"/>
              </w:rPr>
              <w:t>（1）验证的目的、方法及评价标准</w:t>
            </w:r>
            <w:r>
              <w:rPr>
                <w:rFonts w:hint="eastAsia"/>
                <w:szCs w:val="21"/>
              </w:rPr>
              <w:t>。</w:t>
            </w:r>
          </w:p>
          <w:p>
            <w:pPr>
              <w:rPr>
                <w:rFonts w:hint="eastAsia" w:ascii="Arial" w:hAnsi="Arial" w:cs="Arial"/>
                <w:color w:val="333333"/>
                <w:kern w:val="0"/>
                <w:szCs w:val="21"/>
              </w:rPr>
            </w:pPr>
            <w:r>
              <w:rPr>
                <w:rFonts w:hint="eastAsia"/>
                <w:szCs w:val="21"/>
              </w:rPr>
              <w:t>（2）验证文件的管理。</w:t>
            </w:r>
          </w:p>
        </w:tc>
        <w:tc>
          <w:tcPr>
            <w:tcW w:w="1134" w:type="dxa"/>
            <w:noWrap w:val="0"/>
            <w:vAlign w:val="center"/>
          </w:tcPr>
          <w:p>
            <w:pPr>
              <w:autoSpaceDE w:val="0"/>
              <w:autoSpaceDN w:val="0"/>
              <w:adjustRightInd w:val="0"/>
              <w:rPr>
                <w:kern w:val="0"/>
                <w:szCs w:val="21"/>
              </w:rPr>
            </w:pPr>
            <w:r>
              <w:rPr>
                <w:rFonts w:hint="eastAsia"/>
                <w:color w:val="000000"/>
                <w:szCs w:val="21"/>
              </w:rPr>
              <w:t>培养学生实事求是的科学作风，严谨的工作态度，严密的工作方法</w:t>
            </w:r>
          </w:p>
        </w:tc>
        <w:tc>
          <w:tcPr>
            <w:tcW w:w="2028" w:type="dxa"/>
            <w:noWrap w:val="0"/>
            <w:vAlign w:val="center"/>
          </w:tcPr>
          <w:p>
            <w:pPr>
              <w:rPr>
                <w:szCs w:val="21"/>
              </w:rPr>
            </w:pPr>
            <w:r>
              <w:rPr>
                <w:szCs w:val="21"/>
              </w:rPr>
              <w:t>（1）</w:t>
            </w:r>
            <w:r>
              <w:rPr>
                <w:rFonts w:hint="eastAsia"/>
                <w:szCs w:val="21"/>
              </w:rPr>
              <w:t>熟悉验证的概念、分类及意义。</w:t>
            </w:r>
          </w:p>
          <w:p>
            <w:pPr>
              <w:rPr>
                <w:rFonts w:hint="eastAsia"/>
                <w:szCs w:val="21"/>
              </w:rPr>
            </w:pPr>
            <w:r>
              <w:rPr>
                <w:rFonts w:hint="eastAsia"/>
                <w:szCs w:val="21"/>
              </w:rPr>
              <w:t>（2）熟悉设备验证、清洁验证和工艺验证。</w:t>
            </w:r>
          </w:p>
        </w:tc>
        <w:tc>
          <w:tcPr>
            <w:tcW w:w="699" w:type="dxa"/>
            <w:noWrap w:val="0"/>
            <w:vAlign w:val="center"/>
          </w:tcPr>
          <w:p>
            <w:pPr>
              <w:jc w:val="center"/>
              <w:rPr>
                <w:szCs w:val="21"/>
              </w:rPr>
            </w:pPr>
            <w:r>
              <w:rPr>
                <w:szCs w:val="21"/>
              </w:rPr>
              <w:t>2</w:t>
            </w:r>
            <w:r>
              <w:rPr>
                <w:rFonts w:hint="eastAsia"/>
                <w:szCs w:val="21"/>
              </w:rPr>
              <w:t>（讲授）</w:t>
            </w:r>
          </w:p>
        </w:tc>
        <w:tc>
          <w:tcPr>
            <w:tcW w:w="975" w:type="dxa"/>
            <w:noWrap w:val="0"/>
            <w:vAlign w:val="center"/>
          </w:tcPr>
          <w:p>
            <w:pPr>
              <w:rPr>
                <w:szCs w:val="21"/>
              </w:rPr>
            </w:pPr>
            <w:r>
              <w:rPr>
                <w:szCs w:val="21"/>
              </w:rPr>
              <w:t>讲授/讨论/实例教学等</w:t>
            </w:r>
          </w:p>
        </w:tc>
        <w:tc>
          <w:tcPr>
            <w:tcW w:w="925" w:type="dxa"/>
            <w:noWrap w:val="0"/>
            <w:vAlign w:val="center"/>
          </w:tcPr>
          <w:p>
            <w:pPr>
              <w:jc w:val="center"/>
              <w:rPr>
                <w:b/>
                <w:kern w:val="0"/>
              </w:rPr>
            </w:pPr>
            <w:r>
              <w:rPr>
                <w:b/>
                <w:kern w:val="0"/>
              </w:rPr>
              <w:t>目标</w:t>
            </w:r>
            <w:r>
              <w:rPr>
                <w:rFonts w:hint="eastAsia"/>
                <w:b/>
                <w:kern w:val="0"/>
              </w:rPr>
              <w:t>1</w:t>
            </w:r>
          </w:p>
          <w:p>
            <w:pPr>
              <w:jc w:val="center"/>
              <w:rPr>
                <w:szCs w:val="21"/>
              </w:rPr>
            </w:pPr>
            <w:r>
              <w:rPr>
                <w:rFonts w:hint="eastAsia"/>
                <w:b/>
                <w:kern w:val="0"/>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hint="eastAsia"/>
                <w:szCs w:val="21"/>
              </w:rPr>
            </w:pPr>
            <w:r>
              <w:rPr>
                <w:rFonts w:hint="eastAsia"/>
                <w:szCs w:val="21"/>
              </w:rPr>
              <w:t>1</w:t>
            </w:r>
            <w:r>
              <w:rPr>
                <w:szCs w:val="21"/>
              </w:rPr>
              <w:t>0</w:t>
            </w:r>
          </w:p>
        </w:tc>
        <w:tc>
          <w:tcPr>
            <w:tcW w:w="2632" w:type="dxa"/>
            <w:noWrap w:val="0"/>
            <w:vAlign w:val="center"/>
          </w:tcPr>
          <w:p>
            <w:pPr>
              <w:rPr>
                <w:b/>
                <w:szCs w:val="21"/>
              </w:rPr>
            </w:pPr>
            <w:r>
              <w:rPr>
                <w:rFonts w:hint="eastAsia"/>
                <w:b/>
                <w:szCs w:val="21"/>
              </w:rPr>
              <w:t>产品销售与服务：</w:t>
            </w:r>
          </w:p>
          <w:p>
            <w:pPr>
              <w:rPr>
                <w:rFonts w:hint="eastAsia"/>
                <w:szCs w:val="21"/>
              </w:rPr>
            </w:pPr>
            <w:r>
              <w:rPr>
                <w:szCs w:val="21"/>
              </w:rPr>
              <w:t>（1）</w:t>
            </w:r>
            <w:r>
              <w:rPr>
                <w:rFonts w:hint="eastAsia"/>
                <w:szCs w:val="21"/>
              </w:rPr>
              <w:t>销售管理文件</w:t>
            </w:r>
          </w:p>
          <w:p>
            <w:pPr>
              <w:rPr>
                <w:szCs w:val="21"/>
              </w:rPr>
            </w:pPr>
            <w:r>
              <w:rPr>
                <w:rFonts w:hint="eastAsia"/>
                <w:szCs w:val="21"/>
              </w:rPr>
              <w:t>（2）销售管理记录</w:t>
            </w:r>
          </w:p>
          <w:p>
            <w:pPr>
              <w:rPr>
                <w:rFonts w:hint="eastAsia"/>
                <w:b/>
                <w:bCs/>
                <w:color w:val="000000"/>
                <w:szCs w:val="21"/>
              </w:rPr>
            </w:pPr>
            <w:r>
              <w:rPr>
                <w:b/>
                <w:bCs/>
                <w:color w:val="000000"/>
                <w:szCs w:val="21"/>
              </w:rPr>
              <w:t>重</w:t>
            </w:r>
            <w:r>
              <w:rPr>
                <w:rFonts w:hint="eastAsia"/>
                <w:b/>
                <w:bCs/>
                <w:color w:val="000000"/>
                <w:szCs w:val="21"/>
              </w:rPr>
              <w:t>点</w:t>
            </w:r>
            <w:r>
              <w:rPr>
                <w:b/>
                <w:bCs/>
                <w:color w:val="000000"/>
                <w:szCs w:val="21"/>
              </w:rPr>
              <w:t>难点</w:t>
            </w:r>
            <w:r>
              <w:rPr>
                <w:rFonts w:hint="eastAsia"/>
                <w:b/>
                <w:bCs/>
                <w:color w:val="000000"/>
                <w:szCs w:val="21"/>
              </w:rPr>
              <w:t>：</w:t>
            </w:r>
          </w:p>
          <w:p>
            <w:pPr>
              <w:rPr>
                <w:rFonts w:hint="eastAsia"/>
                <w:szCs w:val="21"/>
              </w:rPr>
            </w:pPr>
            <w:r>
              <w:rPr>
                <w:rFonts w:hint="eastAsia"/>
                <w:color w:val="000000"/>
                <w:szCs w:val="21"/>
              </w:rPr>
              <w:t>（1）销售管理规程</w:t>
            </w:r>
            <w:r>
              <w:rPr>
                <w:rFonts w:hint="eastAsia"/>
                <w:szCs w:val="21"/>
              </w:rPr>
              <w:t>。</w:t>
            </w:r>
          </w:p>
        </w:tc>
        <w:tc>
          <w:tcPr>
            <w:tcW w:w="1134" w:type="dxa"/>
            <w:noWrap w:val="0"/>
            <w:vAlign w:val="center"/>
          </w:tcPr>
          <w:p>
            <w:pPr>
              <w:autoSpaceDE w:val="0"/>
              <w:autoSpaceDN w:val="0"/>
              <w:adjustRightInd w:val="0"/>
              <w:rPr>
                <w:kern w:val="0"/>
                <w:szCs w:val="21"/>
              </w:rPr>
            </w:pPr>
            <w:r>
              <w:rPr>
                <w:rFonts w:hint="eastAsia"/>
                <w:color w:val="000000"/>
                <w:szCs w:val="21"/>
              </w:rPr>
              <w:t>培养学生实事求是的科学作风，严谨的工作态度，严密的工作方法</w:t>
            </w:r>
          </w:p>
        </w:tc>
        <w:tc>
          <w:tcPr>
            <w:tcW w:w="2028" w:type="dxa"/>
            <w:noWrap w:val="0"/>
            <w:vAlign w:val="center"/>
          </w:tcPr>
          <w:p>
            <w:pPr>
              <w:rPr>
                <w:szCs w:val="21"/>
              </w:rPr>
            </w:pPr>
            <w:r>
              <w:rPr>
                <w:szCs w:val="21"/>
              </w:rPr>
              <w:t>（1）</w:t>
            </w:r>
            <w:r>
              <w:rPr>
                <w:rFonts w:hint="eastAsia"/>
                <w:szCs w:val="21"/>
              </w:rPr>
              <w:t>熟悉产品销售管理规程。</w:t>
            </w:r>
          </w:p>
          <w:p>
            <w:pPr>
              <w:rPr>
                <w:rFonts w:hint="eastAsia"/>
                <w:szCs w:val="21"/>
              </w:rPr>
            </w:pPr>
            <w:r>
              <w:rPr>
                <w:rFonts w:hint="eastAsia"/>
                <w:szCs w:val="21"/>
              </w:rPr>
              <w:t>（2）熟悉产品收回和退货管理规程。</w:t>
            </w:r>
          </w:p>
        </w:tc>
        <w:tc>
          <w:tcPr>
            <w:tcW w:w="699" w:type="dxa"/>
            <w:noWrap w:val="0"/>
            <w:vAlign w:val="center"/>
          </w:tcPr>
          <w:p>
            <w:pPr>
              <w:jc w:val="center"/>
              <w:rPr>
                <w:szCs w:val="21"/>
              </w:rPr>
            </w:pPr>
            <w:r>
              <w:rPr>
                <w:szCs w:val="21"/>
              </w:rPr>
              <w:t>2</w:t>
            </w:r>
            <w:r>
              <w:rPr>
                <w:rFonts w:hint="eastAsia"/>
                <w:szCs w:val="21"/>
              </w:rPr>
              <w:t>（讲授）</w:t>
            </w:r>
          </w:p>
        </w:tc>
        <w:tc>
          <w:tcPr>
            <w:tcW w:w="975" w:type="dxa"/>
            <w:noWrap w:val="0"/>
            <w:vAlign w:val="center"/>
          </w:tcPr>
          <w:p>
            <w:pPr>
              <w:rPr>
                <w:szCs w:val="21"/>
              </w:rPr>
            </w:pPr>
            <w:r>
              <w:rPr>
                <w:szCs w:val="21"/>
              </w:rPr>
              <w:t>讲授/讨论/实例教学等</w:t>
            </w:r>
          </w:p>
        </w:tc>
        <w:tc>
          <w:tcPr>
            <w:tcW w:w="925" w:type="dxa"/>
            <w:noWrap w:val="0"/>
            <w:vAlign w:val="center"/>
          </w:tcPr>
          <w:p>
            <w:pPr>
              <w:jc w:val="center"/>
              <w:rPr>
                <w:b/>
                <w:kern w:val="0"/>
              </w:rPr>
            </w:pPr>
            <w:r>
              <w:rPr>
                <w:b/>
                <w:kern w:val="0"/>
              </w:rPr>
              <w:t>目标</w:t>
            </w:r>
            <w:r>
              <w:rPr>
                <w:rFonts w:hint="eastAsia"/>
                <w:b/>
                <w:kern w:val="0"/>
              </w:rPr>
              <w:t>1</w:t>
            </w:r>
          </w:p>
          <w:p>
            <w:pPr>
              <w:jc w:val="center"/>
              <w:rPr>
                <w:szCs w:val="21"/>
              </w:rPr>
            </w:pPr>
            <w:r>
              <w:rPr>
                <w:rFonts w:hint="eastAsia"/>
                <w:b/>
                <w:kern w:val="0"/>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hint="eastAsia"/>
                <w:szCs w:val="21"/>
              </w:rPr>
            </w:pPr>
            <w:r>
              <w:rPr>
                <w:rFonts w:hint="eastAsia"/>
                <w:szCs w:val="21"/>
              </w:rPr>
              <w:t>1</w:t>
            </w:r>
            <w:r>
              <w:rPr>
                <w:szCs w:val="21"/>
              </w:rPr>
              <w:t>1</w:t>
            </w:r>
          </w:p>
        </w:tc>
        <w:tc>
          <w:tcPr>
            <w:tcW w:w="2632" w:type="dxa"/>
            <w:noWrap w:val="0"/>
            <w:vAlign w:val="center"/>
          </w:tcPr>
          <w:p>
            <w:pPr>
              <w:rPr>
                <w:b/>
                <w:szCs w:val="21"/>
              </w:rPr>
            </w:pPr>
            <w:r>
              <w:rPr>
                <w:rFonts w:hint="eastAsia"/>
                <w:b/>
                <w:szCs w:val="21"/>
              </w:rPr>
              <w:t>自检：</w:t>
            </w:r>
          </w:p>
          <w:p>
            <w:pPr>
              <w:rPr>
                <w:rFonts w:hint="eastAsia"/>
                <w:szCs w:val="21"/>
              </w:rPr>
            </w:pPr>
            <w:r>
              <w:rPr>
                <w:szCs w:val="21"/>
              </w:rPr>
              <w:t>（1）</w:t>
            </w:r>
            <w:r>
              <w:rPr>
                <w:rFonts w:hint="eastAsia"/>
                <w:szCs w:val="21"/>
              </w:rPr>
              <w:t>自检的概念</w:t>
            </w:r>
          </w:p>
          <w:p>
            <w:pPr>
              <w:rPr>
                <w:rFonts w:hint="eastAsia"/>
                <w:szCs w:val="21"/>
              </w:rPr>
            </w:pPr>
            <w:r>
              <w:rPr>
                <w:rFonts w:hint="eastAsia"/>
                <w:szCs w:val="21"/>
              </w:rPr>
              <w:t>（2）自检工作的实施</w:t>
            </w:r>
          </w:p>
        </w:tc>
        <w:tc>
          <w:tcPr>
            <w:tcW w:w="1134" w:type="dxa"/>
            <w:noWrap w:val="0"/>
            <w:vAlign w:val="center"/>
          </w:tcPr>
          <w:p>
            <w:pPr>
              <w:autoSpaceDE w:val="0"/>
              <w:autoSpaceDN w:val="0"/>
              <w:adjustRightInd w:val="0"/>
              <w:rPr>
                <w:kern w:val="0"/>
                <w:szCs w:val="21"/>
              </w:rPr>
            </w:pPr>
            <w:r>
              <w:rPr>
                <w:rFonts w:hint="eastAsia"/>
                <w:color w:val="000000"/>
                <w:szCs w:val="21"/>
              </w:rPr>
              <w:t>培养学生实事求是的科学作风，严谨的工作态度，严密的工作方法</w:t>
            </w:r>
          </w:p>
        </w:tc>
        <w:tc>
          <w:tcPr>
            <w:tcW w:w="2028" w:type="dxa"/>
            <w:noWrap w:val="0"/>
            <w:vAlign w:val="center"/>
          </w:tcPr>
          <w:p>
            <w:pPr>
              <w:rPr>
                <w:szCs w:val="21"/>
              </w:rPr>
            </w:pPr>
            <w:r>
              <w:rPr>
                <w:szCs w:val="21"/>
              </w:rPr>
              <w:t>（1）</w:t>
            </w:r>
            <w:r>
              <w:rPr>
                <w:rFonts w:hint="eastAsia"/>
                <w:szCs w:val="21"/>
              </w:rPr>
              <w:t>了解自检的概念。</w:t>
            </w:r>
          </w:p>
          <w:p>
            <w:pPr>
              <w:rPr>
                <w:rFonts w:hint="eastAsia"/>
                <w:szCs w:val="21"/>
              </w:rPr>
            </w:pPr>
            <w:r>
              <w:rPr>
                <w:rFonts w:hint="eastAsia"/>
                <w:szCs w:val="21"/>
              </w:rPr>
              <w:t>（2）了解自检工作的实施内容。</w:t>
            </w:r>
          </w:p>
        </w:tc>
        <w:tc>
          <w:tcPr>
            <w:tcW w:w="699" w:type="dxa"/>
            <w:noWrap w:val="0"/>
            <w:vAlign w:val="center"/>
          </w:tcPr>
          <w:p>
            <w:pPr>
              <w:jc w:val="center"/>
              <w:rPr>
                <w:szCs w:val="21"/>
              </w:rPr>
            </w:pPr>
            <w:r>
              <w:rPr>
                <w:szCs w:val="21"/>
              </w:rPr>
              <w:t>2</w:t>
            </w:r>
            <w:r>
              <w:rPr>
                <w:rFonts w:hint="eastAsia"/>
                <w:szCs w:val="21"/>
              </w:rPr>
              <w:t>（讲授）</w:t>
            </w:r>
          </w:p>
        </w:tc>
        <w:tc>
          <w:tcPr>
            <w:tcW w:w="975" w:type="dxa"/>
            <w:noWrap w:val="0"/>
            <w:vAlign w:val="center"/>
          </w:tcPr>
          <w:p>
            <w:pPr>
              <w:rPr>
                <w:szCs w:val="21"/>
              </w:rPr>
            </w:pPr>
            <w:r>
              <w:rPr>
                <w:szCs w:val="21"/>
              </w:rPr>
              <w:t>讲授/讨论/实例教学等</w:t>
            </w:r>
          </w:p>
        </w:tc>
        <w:tc>
          <w:tcPr>
            <w:tcW w:w="925" w:type="dxa"/>
            <w:noWrap w:val="0"/>
            <w:vAlign w:val="center"/>
          </w:tcPr>
          <w:p>
            <w:pPr>
              <w:jc w:val="center"/>
              <w:rPr>
                <w:b/>
                <w:kern w:val="0"/>
              </w:rPr>
            </w:pPr>
            <w:r>
              <w:rPr>
                <w:b/>
                <w:kern w:val="0"/>
              </w:rPr>
              <w:t>目标</w:t>
            </w:r>
            <w:r>
              <w:rPr>
                <w:rFonts w:hint="eastAsia"/>
                <w:b/>
                <w:kern w:val="0"/>
              </w:rPr>
              <w:t>1</w:t>
            </w:r>
          </w:p>
          <w:p>
            <w:pPr>
              <w:jc w:val="center"/>
              <w:rPr>
                <w:szCs w:val="21"/>
              </w:rPr>
            </w:pPr>
            <w:r>
              <w:rPr>
                <w:rFonts w:hint="eastAsia"/>
                <w:b/>
                <w:kern w:val="0"/>
              </w:rPr>
              <w:t>目标2</w:t>
            </w:r>
          </w:p>
        </w:tc>
      </w:tr>
    </w:tbl>
    <w:p>
      <w:pPr>
        <w:spacing w:line="360" w:lineRule="auto"/>
        <w:rPr>
          <w:rFonts w:hint="eastAsia"/>
          <w:color w:val="000000"/>
          <w:sz w:val="24"/>
        </w:rPr>
      </w:pPr>
    </w:p>
    <w:p>
      <w:pPr>
        <w:spacing w:line="360" w:lineRule="auto"/>
        <w:ind w:firstLine="562" w:firstLineChars="200"/>
        <w:rPr>
          <w:rFonts w:hint="eastAsia"/>
          <w:b/>
          <w:sz w:val="28"/>
          <w:szCs w:val="28"/>
        </w:rPr>
      </w:pPr>
      <w:r>
        <w:rPr>
          <w:rFonts w:hint="eastAsia"/>
          <w:b/>
          <w:sz w:val="28"/>
          <w:szCs w:val="28"/>
        </w:rPr>
        <w:t>四、课程实施</w:t>
      </w:r>
    </w:p>
    <w:p>
      <w:pPr>
        <w:spacing w:line="360" w:lineRule="auto"/>
        <w:ind w:firstLine="482" w:firstLineChars="200"/>
        <w:rPr>
          <w:rFonts w:hint="eastAsia"/>
          <w:b/>
          <w:sz w:val="24"/>
        </w:rPr>
      </w:pPr>
      <w:r>
        <w:rPr>
          <w:rFonts w:hint="eastAsia"/>
          <w:b/>
          <w:sz w:val="24"/>
        </w:rPr>
        <w:t>（一）教学方法与教学手段</w:t>
      </w:r>
    </w:p>
    <w:p>
      <w:pPr>
        <w:spacing w:line="360" w:lineRule="auto"/>
        <w:ind w:firstLine="480" w:firstLineChars="200"/>
        <w:rPr>
          <w:sz w:val="24"/>
        </w:rPr>
      </w:pPr>
      <w:r>
        <w:rPr>
          <w:rFonts w:hint="eastAsia"/>
          <w:sz w:val="24"/>
        </w:rPr>
        <w:t>（</w:t>
      </w:r>
      <w:r>
        <w:rPr>
          <w:sz w:val="24"/>
        </w:rPr>
        <w:t>1</w:t>
      </w:r>
      <w:r>
        <w:rPr>
          <w:rFonts w:hint="eastAsia"/>
          <w:sz w:val="24"/>
        </w:rPr>
        <w:t>）课堂讲授突出重点和难点，采用讲授、提问、答疑等多种教学方法。</w:t>
      </w:r>
      <w:r>
        <w:rPr>
          <w:sz w:val="24"/>
        </w:rPr>
        <w:t> </w:t>
      </w:r>
    </w:p>
    <w:p>
      <w:pPr>
        <w:spacing w:line="360" w:lineRule="auto"/>
        <w:ind w:firstLine="480" w:firstLineChars="200"/>
        <w:rPr>
          <w:sz w:val="24"/>
        </w:rPr>
      </w:pPr>
      <w:r>
        <w:rPr>
          <w:rFonts w:hint="eastAsia"/>
          <w:sz w:val="24"/>
        </w:rPr>
        <w:t>（2）引导学生自主性、研究性地学习，进行启发式教学，促进学生独立思考，鼓励学生创新性地学习和思维，积极参与课堂研讨；</w:t>
      </w:r>
      <w:r>
        <w:rPr>
          <w:sz w:val="24"/>
        </w:rPr>
        <w:t> </w:t>
      </w:r>
    </w:p>
    <w:p>
      <w:pPr>
        <w:spacing w:line="360" w:lineRule="auto"/>
        <w:ind w:firstLine="480" w:firstLineChars="200"/>
        <w:rPr>
          <w:rFonts w:hint="eastAsia"/>
          <w:sz w:val="24"/>
        </w:rPr>
      </w:pPr>
      <w:r>
        <w:rPr>
          <w:rFonts w:hint="eastAsia"/>
          <w:sz w:val="24"/>
        </w:rPr>
        <w:t>（3）有适当的课后思考题，引导学生逐步接触本课程学科的发展实际和动向；</w:t>
      </w:r>
    </w:p>
    <w:p>
      <w:pPr>
        <w:spacing w:line="360" w:lineRule="auto"/>
        <w:ind w:firstLine="480" w:firstLineChars="200"/>
        <w:rPr>
          <w:sz w:val="24"/>
        </w:rPr>
      </w:pPr>
      <w:r>
        <w:rPr>
          <w:rFonts w:hint="eastAsia"/>
          <w:sz w:val="24"/>
        </w:rPr>
        <w:t>（4）针对课程的特点，在教学中按授课知识点制作课件，开展多媒体教学，针对国际国内发展的新形势、新案例，及时补充相关知识，争取同步传递学科的发展成果和动向；</w:t>
      </w:r>
    </w:p>
    <w:p>
      <w:pPr>
        <w:bidi w:val="0"/>
        <w:rPr>
          <w:rFonts w:hint="eastAsia"/>
          <w:b/>
          <w:bCs/>
          <w:sz w:val="24"/>
          <w:szCs w:val="24"/>
        </w:rPr>
      </w:pPr>
      <w:bookmarkStart w:id="261" w:name="_Toc20101"/>
      <w:r>
        <w:rPr>
          <w:rFonts w:hint="eastAsia"/>
          <w:b/>
          <w:bCs/>
          <w:sz w:val="24"/>
          <w:szCs w:val="24"/>
        </w:rPr>
        <w:t>（二）课程实施与保障</w:t>
      </w:r>
      <w:bookmarkEnd w:id="261"/>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691"/>
        <w:gridCol w:w="6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7" w:type="dxa"/>
            <w:gridSpan w:val="2"/>
            <w:tcBorders>
              <w:top w:val="single" w:color="auto" w:sz="8" w:space="0"/>
              <w:left w:val="single" w:color="auto" w:sz="8" w:space="0"/>
              <w:right w:val="single" w:color="auto" w:sz="8" w:space="0"/>
            </w:tcBorders>
            <w:noWrap w:val="0"/>
            <w:tcMar>
              <w:left w:w="28" w:type="dxa"/>
              <w:right w:w="28" w:type="dxa"/>
            </w:tcMar>
            <w:vAlign w:val="center"/>
          </w:tcPr>
          <w:p>
            <w:pPr>
              <w:jc w:val="center"/>
              <w:rPr>
                <w:szCs w:val="21"/>
              </w:rPr>
            </w:pPr>
            <w:r>
              <w:rPr>
                <w:bCs/>
                <w:szCs w:val="21"/>
              </w:rPr>
              <w:t>主要教学环节</w:t>
            </w:r>
          </w:p>
        </w:tc>
        <w:tc>
          <w:tcPr>
            <w:tcW w:w="6773" w:type="dxa"/>
            <w:tcBorders>
              <w:top w:val="single" w:color="auto" w:sz="8" w:space="0"/>
              <w:left w:val="single" w:color="auto" w:sz="8" w:space="0"/>
              <w:right w:val="single" w:color="auto" w:sz="8" w:space="0"/>
            </w:tcBorders>
            <w:noWrap w:val="0"/>
            <w:vAlign w:val="center"/>
          </w:tcPr>
          <w:p>
            <w:pPr>
              <w:jc w:val="center"/>
              <w:rPr>
                <w:szCs w:val="21"/>
              </w:rPr>
            </w:pPr>
            <w:r>
              <w:rPr>
                <w:bCs/>
                <w:szCs w:val="21"/>
              </w:rPr>
              <w:t>质量</w:t>
            </w:r>
            <w:r>
              <w:rPr>
                <w:rFonts w:hint="eastAsia"/>
                <w:bCs/>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left w:val="single" w:color="auto" w:sz="8" w:space="0"/>
            </w:tcBorders>
            <w:noWrap w:val="0"/>
            <w:vAlign w:val="center"/>
          </w:tcPr>
          <w:p>
            <w:pPr>
              <w:jc w:val="center"/>
              <w:rPr>
                <w:szCs w:val="21"/>
              </w:rPr>
            </w:pPr>
            <w:r>
              <w:rPr>
                <w:szCs w:val="21"/>
              </w:rPr>
              <w:t>1</w:t>
            </w:r>
          </w:p>
        </w:tc>
        <w:tc>
          <w:tcPr>
            <w:tcW w:w="1691" w:type="dxa"/>
            <w:noWrap w:val="0"/>
            <w:tcMar>
              <w:left w:w="28" w:type="dxa"/>
              <w:right w:w="28" w:type="dxa"/>
            </w:tcMar>
            <w:vAlign w:val="center"/>
          </w:tcPr>
          <w:p>
            <w:pPr>
              <w:jc w:val="center"/>
              <w:rPr>
                <w:szCs w:val="21"/>
              </w:rPr>
            </w:pPr>
            <w:r>
              <w:rPr>
                <w:szCs w:val="21"/>
              </w:rPr>
              <w:t>备课</w:t>
            </w:r>
          </w:p>
        </w:tc>
        <w:tc>
          <w:tcPr>
            <w:tcW w:w="6773" w:type="dxa"/>
            <w:tcBorders>
              <w:right w:val="single" w:color="auto" w:sz="8" w:space="0"/>
            </w:tcBorders>
            <w:noWrap w:val="0"/>
            <w:vAlign w:val="center"/>
          </w:tcPr>
          <w:p>
            <w:pPr>
              <w:rPr>
                <w:szCs w:val="21"/>
              </w:rPr>
            </w:pPr>
            <w:r>
              <w:rPr>
                <w:rFonts w:hint="eastAsia"/>
                <w:szCs w:val="21"/>
              </w:rPr>
              <w:t>（</w:t>
            </w:r>
            <w:r>
              <w:rPr>
                <w:szCs w:val="21"/>
              </w:rPr>
              <w:t>1</w:t>
            </w:r>
            <w:r>
              <w:rPr>
                <w:rFonts w:hint="eastAsia"/>
                <w:szCs w:val="21"/>
              </w:rPr>
              <w:t>）掌握所授课程在本专业人才培养过程中的地位和作用，钻研吃透教学大纲精神，明确本课程的教学目的、任务和要求，掌握本课程内容的深度、广度、重点和难点。</w:t>
            </w:r>
          </w:p>
          <w:p>
            <w:pPr>
              <w:rPr>
                <w:szCs w:val="21"/>
              </w:rPr>
            </w:pPr>
            <w:r>
              <w:rPr>
                <w:rFonts w:hint="eastAsia"/>
                <w:szCs w:val="21"/>
              </w:rPr>
              <w:t>（</w:t>
            </w:r>
            <w:r>
              <w:rPr>
                <w:szCs w:val="21"/>
              </w:rPr>
              <w:t>2</w:t>
            </w:r>
            <w:r>
              <w:rPr>
                <w:rFonts w:hint="eastAsia"/>
                <w:szCs w:val="21"/>
              </w:rPr>
              <w:t>）</w:t>
            </w:r>
            <w:r>
              <w:rPr>
                <w:szCs w:val="21"/>
              </w:rPr>
              <w:t>对学生在学习过程中易混淆</w:t>
            </w:r>
            <w:r>
              <w:rPr>
                <w:rFonts w:hint="eastAsia"/>
                <w:szCs w:val="21"/>
              </w:rPr>
              <w:t>、</w:t>
            </w:r>
            <w:r>
              <w:rPr>
                <w:szCs w:val="21"/>
              </w:rPr>
              <w:t>易出错或易疏忽的问题</w:t>
            </w:r>
            <w:r>
              <w:rPr>
                <w:rFonts w:hint="eastAsia"/>
                <w:szCs w:val="21"/>
              </w:rPr>
              <w:t>，</w:t>
            </w:r>
            <w:r>
              <w:rPr>
                <w:szCs w:val="21"/>
              </w:rPr>
              <w:t>能采取设问</w:t>
            </w:r>
            <w:r>
              <w:rPr>
                <w:rFonts w:hint="eastAsia"/>
                <w:szCs w:val="21"/>
              </w:rPr>
              <w:t>、</w:t>
            </w:r>
            <w:r>
              <w:rPr>
                <w:szCs w:val="21"/>
              </w:rPr>
              <w:t>质疑</w:t>
            </w:r>
            <w:r>
              <w:rPr>
                <w:rFonts w:hint="eastAsia"/>
                <w:szCs w:val="21"/>
              </w:rPr>
              <w:t>、</w:t>
            </w:r>
            <w:r>
              <w:rPr>
                <w:szCs w:val="21"/>
              </w:rPr>
              <w:t>比较</w:t>
            </w:r>
            <w:r>
              <w:rPr>
                <w:rFonts w:hint="eastAsia"/>
                <w:szCs w:val="21"/>
              </w:rPr>
              <w:t>、</w:t>
            </w:r>
            <w:r>
              <w:rPr>
                <w:szCs w:val="21"/>
              </w:rPr>
              <w:t>讨论等方法搞清楚</w:t>
            </w:r>
            <w:r>
              <w:rPr>
                <w:rFonts w:hint="eastAsia"/>
                <w:szCs w:val="21"/>
              </w:rPr>
              <w:t>；</w:t>
            </w:r>
            <w:r>
              <w:rPr>
                <w:szCs w:val="21"/>
              </w:rPr>
              <w:t>能采用讲授与自学</w:t>
            </w:r>
            <w:r>
              <w:rPr>
                <w:rFonts w:hint="eastAsia"/>
                <w:szCs w:val="21"/>
              </w:rPr>
              <w:t>、</w:t>
            </w:r>
            <w:r>
              <w:rPr>
                <w:szCs w:val="21"/>
              </w:rPr>
              <w:t>讨论与交流</w:t>
            </w:r>
            <w:r>
              <w:rPr>
                <w:rFonts w:hint="eastAsia"/>
                <w:szCs w:val="21"/>
              </w:rPr>
              <w:t>、</w:t>
            </w:r>
            <w:r>
              <w:rPr>
                <w:szCs w:val="21"/>
              </w:rPr>
              <w:t>理论学习与案例分析</w:t>
            </w:r>
            <w:r>
              <w:rPr>
                <w:rFonts w:hint="eastAsia"/>
                <w:szCs w:val="21"/>
              </w:rPr>
              <w:t>相结合的教学方法，注意因材施教和个体化教学。</w:t>
            </w:r>
          </w:p>
          <w:p>
            <w:pPr>
              <w:rPr>
                <w:szCs w:val="21"/>
              </w:rPr>
            </w:pPr>
            <w:r>
              <w:rPr>
                <w:rFonts w:hint="eastAsia"/>
                <w:szCs w:val="21"/>
              </w:rPr>
              <w:t>（3）根据学科专业特点积极采用现代化教学手段进行教学，并不断更新教学手段。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left w:val="single" w:color="auto" w:sz="8" w:space="0"/>
            </w:tcBorders>
            <w:noWrap w:val="0"/>
            <w:vAlign w:val="center"/>
          </w:tcPr>
          <w:p>
            <w:pPr>
              <w:jc w:val="center"/>
              <w:rPr>
                <w:szCs w:val="21"/>
              </w:rPr>
            </w:pPr>
            <w:r>
              <w:rPr>
                <w:szCs w:val="21"/>
              </w:rPr>
              <w:t>2</w:t>
            </w:r>
          </w:p>
        </w:tc>
        <w:tc>
          <w:tcPr>
            <w:tcW w:w="1691" w:type="dxa"/>
            <w:noWrap w:val="0"/>
            <w:tcMar>
              <w:left w:w="28" w:type="dxa"/>
              <w:right w:w="28" w:type="dxa"/>
            </w:tcMar>
            <w:vAlign w:val="center"/>
          </w:tcPr>
          <w:p>
            <w:pPr>
              <w:jc w:val="center"/>
              <w:rPr>
                <w:szCs w:val="21"/>
              </w:rPr>
            </w:pPr>
            <w:r>
              <w:rPr>
                <w:szCs w:val="21"/>
              </w:rPr>
              <w:t>讲授</w:t>
            </w:r>
          </w:p>
        </w:tc>
        <w:tc>
          <w:tcPr>
            <w:tcW w:w="6773" w:type="dxa"/>
            <w:tcBorders>
              <w:right w:val="single" w:color="auto" w:sz="8" w:space="0"/>
            </w:tcBorders>
            <w:noWrap w:val="0"/>
            <w:vAlign w:val="center"/>
          </w:tcPr>
          <w:p>
            <w:pPr>
              <w:rPr>
                <w:szCs w:val="21"/>
              </w:rPr>
            </w:pPr>
            <w:r>
              <w:rPr>
                <w:rFonts w:hint="eastAsia"/>
                <w:szCs w:val="21"/>
              </w:rPr>
              <w:t>（</w:t>
            </w:r>
            <w:r>
              <w:rPr>
                <w:szCs w:val="21"/>
              </w:rPr>
              <w:t>1</w:t>
            </w:r>
            <w:r>
              <w:rPr>
                <w:rFonts w:hint="eastAsia"/>
                <w:szCs w:val="21"/>
              </w:rPr>
              <w:t>）认真授课，严格按照授课计划开展教学活动。</w:t>
            </w:r>
          </w:p>
          <w:p>
            <w:pPr>
              <w:rPr>
                <w:rFonts w:hint="eastAsia"/>
                <w:szCs w:val="21"/>
              </w:rPr>
            </w:pPr>
            <w:r>
              <w:rPr>
                <w:rFonts w:hint="eastAsia"/>
                <w:szCs w:val="21"/>
              </w:rPr>
              <w:t>（2）教学内容正确，深度适宜，符合教学大纲要求，并重视联系生产、社会和生活实际。</w:t>
            </w:r>
          </w:p>
          <w:p>
            <w:pPr>
              <w:rPr>
                <w:rFonts w:hint="eastAsia"/>
                <w:szCs w:val="21"/>
              </w:rPr>
            </w:pPr>
            <w:r>
              <w:rPr>
                <w:rFonts w:hint="eastAsia"/>
                <w:szCs w:val="21"/>
              </w:rPr>
              <w:t>（3）教学方法灵活多样，启发性强，能激发学生的求知欲，活跃课堂气氛。</w:t>
            </w:r>
          </w:p>
          <w:p>
            <w:pPr>
              <w:rPr>
                <w:szCs w:val="21"/>
              </w:rPr>
            </w:pPr>
            <w:r>
              <w:rPr>
                <w:rFonts w:hint="eastAsia"/>
                <w:szCs w:val="21"/>
              </w:rPr>
              <w:t>（4）突出重点，根据教材内容体系与其他课程间的联系及实际需要，找准课程重点和课堂重点，在讲解时分清主次，有详有略。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left w:val="single" w:color="auto" w:sz="8" w:space="0"/>
            </w:tcBorders>
            <w:noWrap w:val="0"/>
            <w:vAlign w:val="center"/>
          </w:tcPr>
          <w:p>
            <w:pPr>
              <w:jc w:val="center"/>
              <w:rPr>
                <w:szCs w:val="21"/>
              </w:rPr>
            </w:pPr>
            <w:r>
              <w:rPr>
                <w:szCs w:val="21"/>
              </w:rPr>
              <w:t>3</w:t>
            </w:r>
          </w:p>
        </w:tc>
        <w:tc>
          <w:tcPr>
            <w:tcW w:w="1691" w:type="dxa"/>
            <w:noWrap w:val="0"/>
            <w:tcMar>
              <w:left w:w="28" w:type="dxa"/>
              <w:right w:w="28" w:type="dxa"/>
            </w:tcMar>
            <w:vAlign w:val="center"/>
          </w:tcPr>
          <w:p>
            <w:pPr>
              <w:jc w:val="center"/>
              <w:rPr>
                <w:szCs w:val="21"/>
              </w:rPr>
            </w:pPr>
            <w:r>
              <w:rPr>
                <w:szCs w:val="21"/>
              </w:rPr>
              <w:t>作业布置与批改</w:t>
            </w:r>
          </w:p>
        </w:tc>
        <w:tc>
          <w:tcPr>
            <w:tcW w:w="6773" w:type="dxa"/>
            <w:tcBorders>
              <w:right w:val="single" w:color="auto" w:sz="8" w:space="0"/>
            </w:tcBorders>
            <w:noWrap w:val="0"/>
            <w:vAlign w:val="center"/>
          </w:tcPr>
          <w:p>
            <w:pPr>
              <w:rPr>
                <w:rFonts w:hint="eastAsia"/>
                <w:szCs w:val="21"/>
              </w:rPr>
            </w:pPr>
            <w:r>
              <w:rPr>
                <w:rFonts w:hint="eastAsia"/>
                <w:szCs w:val="21"/>
              </w:rPr>
              <w:t>（1）布置作业应目的明确、循序渐进、难易适度、数量适中，符合教学大纲要求。</w:t>
            </w:r>
          </w:p>
          <w:p>
            <w:pPr>
              <w:rPr>
                <w:szCs w:val="21"/>
              </w:rPr>
            </w:pPr>
            <w:r>
              <w:rPr>
                <w:rFonts w:hint="eastAsia"/>
                <w:szCs w:val="21"/>
              </w:rPr>
              <w:t>（2）对学生完成的作业及时认真批改，作业的成绩应作为平时成绩的重要方面，以一定权重计入学生课程终评成绩。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left w:val="single" w:color="auto" w:sz="8" w:space="0"/>
            </w:tcBorders>
            <w:noWrap w:val="0"/>
            <w:vAlign w:val="center"/>
          </w:tcPr>
          <w:p>
            <w:pPr>
              <w:jc w:val="center"/>
              <w:rPr>
                <w:szCs w:val="21"/>
              </w:rPr>
            </w:pPr>
            <w:r>
              <w:rPr>
                <w:rFonts w:hint="eastAsia"/>
                <w:szCs w:val="21"/>
              </w:rPr>
              <w:t>4</w:t>
            </w:r>
          </w:p>
        </w:tc>
        <w:tc>
          <w:tcPr>
            <w:tcW w:w="1691" w:type="dxa"/>
            <w:noWrap w:val="0"/>
            <w:tcMar>
              <w:left w:w="28" w:type="dxa"/>
              <w:right w:w="28" w:type="dxa"/>
            </w:tcMar>
            <w:vAlign w:val="center"/>
          </w:tcPr>
          <w:p>
            <w:pPr>
              <w:jc w:val="center"/>
              <w:rPr>
                <w:szCs w:val="21"/>
              </w:rPr>
            </w:pPr>
            <w:r>
              <w:rPr>
                <w:szCs w:val="21"/>
              </w:rPr>
              <w:t>课外答疑</w:t>
            </w:r>
          </w:p>
        </w:tc>
        <w:tc>
          <w:tcPr>
            <w:tcW w:w="6773" w:type="dxa"/>
            <w:tcBorders>
              <w:right w:val="single" w:color="auto" w:sz="8" w:space="0"/>
            </w:tcBorders>
            <w:noWrap w:val="0"/>
            <w:vAlign w:val="center"/>
          </w:tcPr>
          <w:p>
            <w:pPr>
              <w:rPr>
                <w:rFonts w:hint="eastAsia"/>
                <w:szCs w:val="21"/>
              </w:rPr>
            </w:pPr>
            <w:r>
              <w:rPr>
                <w:rFonts w:hint="eastAsia"/>
                <w:szCs w:val="21"/>
              </w:rPr>
              <w:t>（1）认真做好辅导前的准备工作，对学生的学习情况进行了解和分析。</w:t>
            </w:r>
          </w:p>
          <w:p>
            <w:pPr>
              <w:rPr>
                <w:rFonts w:hint="eastAsia"/>
                <w:szCs w:val="21"/>
              </w:rPr>
            </w:pPr>
            <w:r>
              <w:rPr>
                <w:rFonts w:hint="eastAsia"/>
                <w:szCs w:val="21"/>
              </w:rPr>
              <w:t>（2）辅导时因材施教，辅导中注意对学生课外自学及学习方法的指导。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left w:val="single" w:color="auto" w:sz="8" w:space="0"/>
            </w:tcBorders>
            <w:noWrap w:val="0"/>
            <w:vAlign w:val="center"/>
          </w:tcPr>
          <w:p>
            <w:pPr>
              <w:jc w:val="center"/>
              <w:rPr>
                <w:szCs w:val="21"/>
              </w:rPr>
            </w:pPr>
            <w:r>
              <w:rPr>
                <w:rFonts w:hint="eastAsia"/>
                <w:szCs w:val="21"/>
              </w:rPr>
              <w:t>5</w:t>
            </w:r>
          </w:p>
        </w:tc>
        <w:tc>
          <w:tcPr>
            <w:tcW w:w="1691" w:type="dxa"/>
            <w:noWrap w:val="0"/>
            <w:tcMar>
              <w:left w:w="28" w:type="dxa"/>
              <w:right w:w="28" w:type="dxa"/>
            </w:tcMar>
            <w:vAlign w:val="center"/>
          </w:tcPr>
          <w:p>
            <w:pPr>
              <w:jc w:val="center"/>
              <w:rPr>
                <w:szCs w:val="21"/>
              </w:rPr>
            </w:pPr>
            <w:r>
              <w:rPr>
                <w:szCs w:val="21"/>
              </w:rPr>
              <w:t>成绩考核</w:t>
            </w:r>
          </w:p>
        </w:tc>
        <w:tc>
          <w:tcPr>
            <w:tcW w:w="6773" w:type="dxa"/>
            <w:tcBorders>
              <w:right w:val="single" w:color="auto" w:sz="8" w:space="0"/>
            </w:tcBorders>
            <w:noWrap w:val="0"/>
            <w:vAlign w:val="center"/>
          </w:tcPr>
          <w:p>
            <w:pPr>
              <w:rPr>
                <w:rFonts w:hint="eastAsia"/>
                <w:szCs w:val="21"/>
              </w:rPr>
            </w:pPr>
            <w:r>
              <w:rPr>
                <w:rFonts w:hint="eastAsia"/>
                <w:szCs w:val="21"/>
              </w:rPr>
              <w:t>（1）能促进和巩固教学效果，保证和提高教学质量。</w:t>
            </w:r>
          </w:p>
          <w:p>
            <w:pPr>
              <w:rPr>
                <w:rFonts w:hint="eastAsia"/>
                <w:szCs w:val="21"/>
              </w:rPr>
            </w:pPr>
            <w:r>
              <w:rPr>
                <w:rFonts w:hint="eastAsia"/>
                <w:szCs w:val="21"/>
              </w:rPr>
              <w:t>（2）对教学过程进行调控和平衡。</w:t>
            </w:r>
          </w:p>
          <w:p>
            <w:pPr>
              <w:rPr>
                <w:rFonts w:hint="eastAsia"/>
                <w:szCs w:val="21"/>
              </w:rPr>
            </w:pPr>
            <w:r>
              <w:rPr>
                <w:rFonts w:hint="eastAsia"/>
                <w:szCs w:val="21"/>
              </w:rPr>
              <w:t>（3）通过对考试质量的定性或定量分析，改进以后的考核，使之科学化、合理化。</w:t>
            </w:r>
          </w:p>
        </w:tc>
      </w:tr>
    </w:tbl>
    <w:p>
      <w:pPr>
        <w:spacing w:line="360" w:lineRule="auto"/>
        <w:ind w:firstLine="562" w:firstLineChars="200"/>
        <w:rPr>
          <w:b/>
          <w:sz w:val="28"/>
          <w:szCs w:val="28"/>
        </w:rPr>
      </w:pPr>
      <w:r>
        <w:rPr>
          <w:rFonts w:hint="eastAsia"/>
          <w:b/>
          <w:sz w:val="28"/>
          <w:szCs w:val="28"/>
        </w:rPr>
        <w:t>五、课程</w:t>
      </w:r>
      <w:r>
        <w:rPr>
          <w:b/>
          <w:sz w:val="28"/>
          <w:szCs w:val="28"/>
        </w:rPr>
        <w:t>考核</w:t>
      </w:r>
    </w:p>
    <w:p>
      <w:pPr>
        <w:spacing w:line="360" w:lineRule="auto"/>
        <w:ind w:firstLine="480" w:firstLineChars="200"/>
        <w:rPr>
          <w:sz w:val="24"/>
        </w:rPr>
      </w:pPr>
      <w:r>
        <w:rPr>
          <w:rFonts w:hint="eastAsia"/>
          <w:sz w:val="24"/>
        </w:rPr>
        <w:t>（一）</w:t>
      </w:r>
      <w:r>
        <w:rPr>
          <w:sz w:val="24"/>
        </w:rPr>
        <w:t>课程考核包括期末考试、平时作业和</w:t>
      </w:r>
      <w:r>
        <w:rPr>
          <w:rFonts w:hint="eastAsia"/>
          <w:sz w:val="24"/>
        </w:rPr>
        <w:t>考勤及课堂表现等</w:t>
      </w:r>
      <w:r>
        <w:rPr>
          <w:sz w:val="24"/>
        </w:rPr>
        <w:t>，期</w:t>
      </w:r>
      <w:r>
        <w:rPr>
          <w:rFonts w:hint="eastAsia"/>
          <w:sz w:val="24"/>
        </w:rPr>
        <w:t>末</w:t>
      </w:r>
      <w:r>
        <w:rPr>
          <w:sz w:val="24"/>
        </w:rPr>
        <w:t>考试采用</w:t>
      </w:r>
      <w:r>
        <w:rPr>
          <w:rFonts w:hint="eastAsia"/>
          <w:sz w:val="24"/>
        </w:rPr>
        <w:t>开卷方式</w:t>
      </w:r>
      <w:r>
        <w:rPr>
          <w:sz w:val="24"/>
        </w:rPr>
        <w:t>。</w:t>
      </w:r>
    </w:p>
    <w:p>
      <w:pPr>
        <w:spacing w:line="360" w:lineRule="auto"/>
        <w:ind w:firstLine="480" w:firstLineChars="200"/>
        <w:rPr>
          <w:rFonts w:hint="eastAsia"/>
          <w:sz w:val="24"/>
        </w:rPr>
      </w:pPr>
      <w:r>
        <w:rPr>
          <w:rFonts w:hint="eastAsia"/>
          <w:sz w:val="24"/>
        </w:rPr>
        <w:t>（二）</w:t>
      </w:r>
      <w:r>
        <w:rPr>
          <w:sz w:val="24"/>
        </w:rPr>
        <w:t>课程</w:t>
      </w:r>
      <w:r>
        <w:rPr>
          <w:rFonts w:hint="eastAsia"/>
          <w:sz w:val="24"/>
        </w:rPr>
        <w:t>总评</w:t>
      </w:r>
      <w:r>
        <w:rPr>
          <w:sz w:val="24"/>
        </w:rPr>
        <w:t>成绩=平时成绩×60% +期末考试成绩×4</w:t>
      </w:r>
      <w:r>
        <w:rPr>
          <w:rFonts w:hint="eastAsia"/>
          <w:sz w:val="24"/>
        </w:rPr>
        <w:t>0</w:t>
      </w:r>
      <w:r>
        <w:rPr>
          <w:sz w:val="24"/>
        </w:rPr>
        <w:t>%。具体内容和比例</w:t>
      </w:r>
      <w:r>
        <w:rPr>
          <w:rFonts w:hint="eastAsia"/>
          <w:sz w:val="24"/>
        </w:rPr>
        <w:t>如表所示。</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0"/>
        <w:gridCol w:w="1694"/>
        <w:gridCol w:w="874"/>
        <w:gridCol w:w="4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pct"/>
            <w:shd w:val="clear" w:color="auto" w:fill="FFFFFF"/>
            <w:noWrap w:val="0"/>
            <w:tcMar>
              <w:left w:w="57" w:type="dxa"/>
              <w:right w:w="57" w:type="dxa"/>
            </w:tcMar>
            <w:vAlign w:val="center"/>
          </w:tcPr>
          <w:p>
            <w:pPr>
              <w:pStyle w:val="14"/>
              <w:jc w:val="center"/>
              <w:rPr>
                <w:rFonts w:eastAsia="宋体"/>
              </w:rPr>
            </w:pPr>
            <w:r>
              <w:rPr>
                <w:rFonts w:eastAsia="宋体"/>
              </w:rPr>
              <w:t>成绩组成</w:t>
            </w:r>
          </w:p>
        </w:tc>
        <w:tc>
          <w:tcPr>
            <w:tcW w:w="1000" w:type="pct"/>
            <w:shd w:val="clear" w:color="auto" w:fill="FFFFFF"/>
            <w:noWrap w:val="0"/>
            <w:vAlign w:val="center"/>
          </w:tcPr>
          <w:p>
            <w:pPr>
              <w:pStyle w:val="14"/>
              <w:jc w:val="center"/>
              <w:rPr>
                <w:rFonts w:eastAsia="宋体"/>
              </w:rPr>
            </w:pPr>
            <w:r>
              <w:rPr>
                <w:rFonts w:eastAsia="宋体"/>
              </w:rPr>
              <w:t>考核/评价环节</w:t>
            </w:r>
          </w:p>
        </w:tc>
        <w:tc>
          <w:tcPr>
            <w:tcW w:w="516" w:type="pct"/>
            <w:shd w:val="clear" w:color="auto" w:fill="FFFFFF"/>
            <w:noWrap w:val="0"/>
            <w:vAlign w:val="center"/>
          </w:tcPr>
          <w:p>
            <w:pPr>
              <w:pStyle w:val="14"/>
              <w:jc w:val="center"/>
              <w:rPr>
                <w:rFonts w:eastAsia="宋体"/>
              </w:rPr>
            </w:pPr>
            <w:r>
              <w:rPr>
                <w:rFonts w:hint="eastAsia" w:eastAsia="宋体"/>
              </w:rPr>
              <w:t>权重</w:t>
            </w:r>
          </w:p>
        </w:tc>
        <w:tc>
          <w:tcPr>
            <w:tcW w:w="2817" w:type="pct"/>
            <w:shd w:val="clear" w:color="auto" w:fill="FFFFFF"/>
            <w:noWrap w:val="0"/>
            <w:vAlign w:val="center"/>
          </w:tcPr>
          <w:p>
            <w:pPr>
              <w:pStyle w:val="14"/>
              <w:jc w:val="center"/>
              <w:rPr>
                <w:rFonts w:eastAsia="宋体"/>
              </w:rPr>
            </w:pPr>
            <w:r>
              <w:rPr>
                <w:rFonts w:eastAsia="宋体"/>
              </w:rPr>
              <w:t>考核/评价细则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667" w:type="pct"/>
            <w:vMerge w:val="restart"/>
            <w:noWrap w:val="0"/>
            <w:tcMar>
              <w:left w:w="57" w:type="dxa"/>
              <w:right w:w="57" w:type="dxa"/>
            </w:tcMar>
            <w:vAlign w:val="center"/>
          </w:tcPr>
          <w:p>
            <w:pPr>
              <w:pStyle w:val="14"/>
              <w:jc w:val="center"/>
              <w:rPr>
                <w:rFonts w:eastAsia="宋体"/>
              </w:rPr>
            </w:pPr>
            <w:r>
              <w:rPr>
                <w:rFonts w:eastAsia="宋体"/>
              </w:rPr>
              <w:t>平时成绩</w:t>
            </w:r>
          </w:p>
        </w:tc>
        <w:tc>
          <w:tcPr>
            <w:tcW w:w="1000" w:type="pct"/>
            <w:noWrap w:val="0"/>
            <w:vAlign w:val="center"/>
          </w:tcPr>
          <w:p>
            <w:pPr>
              <w:pStyle w:val="14"/>
              <w:jc w:val="center"/>
              <w:rPr>
                <w:rFonts w:eastAsia="宋体"/>
              </w:rPr>
            </w:pPr>
            <w:r>
              <w:rPr>
                <w:rFonts w:eastAsia="宋体"/>
              </w:rPr>
              <w:t>平时作业</w:t>
            </w:r>
          </w:p>
        </w:tc>
        <w:tc>
          <w:tcPr>
            <w:tcW w:w="516" w:type="pct"/>
            <w:noWrap w:val="0"/>
            <w:vAlign w:val="center"/>
          </w:tcPr>
          <w:p>
            <w:pPr>
              <w:pStyle w:val="14"/>
              <w:jc w:val="center"/>
              <w:rPr>
                <w:rFonts w:eastAsia="宋体"/>
              </w:rPr>
            </w:pPr>
            <w:r>
              <w:rPr>
                <w:rFonts w:eastAsia="宋体"/>
              </w:rPr>
              <w:t>30%</w:t>
            </w:r>
          </w:p>
        </w:tc>
        <w:tc>
          <w:tcPr>
            <w:tcW w:w="2817" w:type="pct"/>
            <w:noWrap w:val="0"/>
            <w:vAlign w:val="center"/>
          </w:tcPr>
          <w:p>
            <w:pPr>
              <w:pStyle w:val="14"/>
              <w:rPr>
                <w:rFonts w:eastAsia="宋体"/>
              </w:rPr>
            </w:pPr>
            <w:r>
              <w:rPr>
                <w:rFonts w:eastAsia="宋体"/>
              </w:rPr>
              <w:t>课后完成2-5个习题，主要考核学生对每节课知识点的复习、理解和掌握程度，计算全部作业的平均成绩再按30%计入总成绩。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trPr>
        <w:tc>
          <w:tcPr>
            <w:tcW w:w="667" w:type="pct"/>
            <w:vMerge w:val="continue"/>
            <w:noWrap w:val="0"/>
            <w:tcMar>
              <w:left w:w="57" w:type="dxa"/>
              <w:right w:w="57" w:type="dxa"/>
            </w:tcMar>
            <w:vAlign w:val="center"/>
          </w:tcPr>
          <w:p>
            <w:pPr>
              <w:pStyle w:val="14"/>
              <w:jc w:val="center"/>
              <w:rPr>
                <w:rFonts w:eastAsia="宋体"/>
              </w:rPr>
            </w:pPr>
          </w:p>
        </w:tc>
        <w:tc>
          <w:tcPr>
            <w:tcW w:w="1000" w:type="pct"/>
            <w:noWrap w:val="0"/>
            <w:vAlign w:val="center"/>
          </w:tcPr>
          <w:p>
            <w:pPr>
              <w:pStyle w:val="14"/>
              <w:jc w:val="center"/>
              <w:rPr>
                <w:rFonts w:hint="eastAsia" w:eastAsia="宋体"/>
              </w:rPr>
            </w:pPr>
            <w:r>
              <w:rPr>
                <w:rFonts w:hint="eastAsia" w:eastAsia="宋体"/>
              </w:rPr>
              <w:t>考勤</w:t>
            </w:r>
            <w:r>
              <w:rPr>
                <w:rFonts w:eastAsia="宋体"/>
              </w:rPr>
              <w:t>及</w:t>
            </w:r>
          </w:p>
          <w:p>
            <w:pPr>
              <w:pStyle w:val="14"/>
              <w:jc w:val="center"/>
              <w:rPr>
                <w:rFonts w:eastAsia="宋体"/>
              </w:rPr>
            </w:pPr>
            <w:r>
              <w:rPr>
                <w:rFonts w:eastAsia="宋体"/>
              </w:rPr>
              <w:t>课堂</w:t>
            </w:r>
            <w:r>
              <w:rPr>
                <w:rFonts w:hint="eastAsia" w:eastAsia="宋体"/>
              </w:rPr>
              <w:t>表现</w:t>
            </w:r>
          </w:p>
        </w:tc>
        <w:tc>
          <w:tcPr>
            <w:tcW w:w="516" w:type="pct"/>
            <w:noWrap w:val="0"/>
            <w:vAlign w:val="center"/>
          </w:tcPr>
          <w:p>
            <w:pPr>
              <w:pStyle w:val="14"/>
              <w:jc w:val="center"/>
              <w:rPr>
                <w:rFonts w:eastAsia="宋体"/>
              </w:rPr>
            </w:pPr>
            <w:r>
              <w:rPr>
                <w:rFonts w:eastAsia="宋体"/>
              </w:rPr>
              <w:t>30%</w:t>
            </w:r>
          </w:p>
        </w:tc>
        <w:tc>
          <w:tcPr>
            <w:tcW w:w="2817" w:type="pct"/>
            <w:noWrap w:val="0"/>
            <w:vAlign w:val="center"/>
          </w:tcPr>
          <w:p>
            <w:pPr>
              <w:pStyle w:val="14"/>
              <w:rPr>
                <w:rFonts w:eastAsia="宋体"/>
                <w:szCs w:val="21"/>
              </w:rPr>
            </w:pPr>
            <w:r>
              <w:rPr>
                <w:rFonts w:eastAsia="宋体"/>
                <w:color w:val="000000"/>
                <w:szCs w:val="21"/>
              </w:rPr>
              <w:t>以随机的形式，在每章内容进行中或结束后，随堂测试1-3题，主要考核学生课堂的听课效果和课后及时复习消化本章知识的能力</w:t>
            </w:r>
            <w:r>
              <w:rPr>
                <w:rFonts w:eastAsia="宋体"/>
                <w:szCs w:val="21"/>
              </w:rPr>
              <w:t>，结合平时</w:t>
            </w:r>
            <w:r>
              <w:rPr>
                <w:rFonts w:hint="eastAsia" w:eastAsia="宋体"/>
                <w:szCs w:val="21"/>
              </w:rPr>
              <w:t>考勤</w:t>
            </w:r>
            <w:r>
              <w:rPr>
                <w:rFonts w:eastAsia="宋体"/>
                <w:szCs w:val="21"/>
              </w:rPr>
              <w:t>，最后按30%计入课程总成绩。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1" w:hRule="atLeast"/>
        </w:trPr>
        <w:tc>
          <w:tcPr>
            <w:tcW w:w="667" w:type="pct"/>
            <w:noWrap w:val="0"/>
            <w:tcMar>
              <w:left w:w="57" w:type="dxa"/>
              <w:right w:w="57" w:type="dxa"/>
            </w:tcMar>
            <w:vAlign w:val="center"/>
          </w:tcPr>
          <w:p>
            <w:pPr>
              <w:pStyle w:val="14"/>
              <w:jc w:val="center"/>
              <w:rPr>
                <w:rFonts w:eastAsia="宋体"/>
              </w:rPr>
            </w:pPr>
            <w:r>
              <w:rPr>
                <w:rFonts w:eastAsia="宋体"/>
              </w:rPr>
              <w:t>期末考试</w:t>
            </w:r>
          </w:p>
          <w:p>
            <w:pPr>
              <w:pStyle w:val="14"/>
              <w:jc w:val="center"/>
              <w:rPr>
                <w:rFonts w:eastAsia="宋体"/>
              </w:rPr>
            </w:pPr>
          </w:p>
        </w:tc>
        <w:tc>
          <w:tcPr>
            <w:tcW w:w="1000" w:type="pct"/>
            <w:noWrap w:val="0"/>
            <w:vAlign w:val="center"/>
          </w:tcPr>
          <w:p>
            <w:pPr>
              <w:pStyle w:val="14"/>
              <w:jc w:val="center"/>
              <w:rPr>
                <w:rFonts w:hint="eastAsia" w:eastAsia="宋体"/>
              </w:rPr>
            </w:pPr>
            <w:r>
              <w:rPr>
                <w:rFonts w:eastAsia="宋体"/>
              </w:rPr>
              <w:t>期末考试</w:t>
            </w:r>
          </w:p>
          <w:p>
            <w:pPr>
              <w:pStyle w:val="14"/>
              <w:jc w:val="center"/>
              <w:rPr>
                <w:rFonts w:eastAsia="宋体"/>
              </w:rPr>
            </w:pPr>
            <w:r>
              <w:rPr>
                <w:rFonts w:hint="eastAsia" w:eastAsia="宋体"/>
              </w:rPr>
              <w:t>卷面</w:t>
            </w:r>
            <w:r>
              <w:rPr>
                <w:rFonts w:eastAsia="宋体"/>
              </w:rPr>
              <w:t>成绩</w:t>
            </w:r>
          </w:p>
        </w:tc>
        <w:tc>
          <w:tcPr>
            <w:tcW w:w="516" w:type="pct"/>
            <w:noWrap w:val="0"/>
            <w:vAlign w:val="center"/>
          </w:tcPr>
          <w:p>
            <w:pPr>
              <w:pStyle w:val="14"/>
              <w:jc w:val="center"/>
              <w:rPr>
                <w:rFonts w:eastAsia="宋体"/>
              </w:rPr>
            </w:pPr>
            <w:r>
              <w:rPr>
                <w:rFonts w:eastAsia="宋体"/>
              </w:rPr>
              <w:t>40%</w:t>
            </w:r>
          </w:p>
        </w:tc>
        <w:tc>
          <w:tcPr>
            <w:tcW w:w="2817" w:type="pct"/>
            <w:noWrap w:val="0"/>
            <w:vAlign w:val="center"/>
          </w:tcPr>
          <w:p>
            <w:pPr>
              <w:pStyle w:val="14"/>
              <w:rPr>
                <w:rFonts w:eastAsia="宋体"/>
                <w:color w:val="000000"/>
                <w:szCs w:val="21"/>
              </w:rPr>
            </w:pPr>
            <w:r>
              <w:rPr>
                <w:rFonts w:eastAsia="宋体"/>
                <w:color w:val="000000"/>
                <w:szCs w:val="21"/>
              </w:rPr>
              <w:t>试卷题型包括填空题</w:t>
            </w:r>
            <w:r>
              <w:rPr>
                <w:rFonts w:hint="eastAsia" w:eastAsia="宋体"/>
                <w:color w:val="000000"/>
                <w:szCs w:val="21"/>
              </w:rPr>
              <w:t>和</w:t>
            </w:r>
            <w:r>
              <w:rPr>
                <w:rFonts w:eastAsia="宋体"/>
                <w:color w:val="000000"/>
                <w:szCs w:val="21"/>
              </w:rPr>
              <w:t>简答题，以卷面成绩的40%计入课程总成绩。其中考核</w:t>
            </w:r>
            <w:r>
              <w:rPr>
                <w:rFonts w:hint="eastAsia" w:eastAsia="宋体"/>
                <w:color w:val="000000"/>
                <w:szCs w:val="21"/>
              </w:rPr>
              <w:t>GMP对硬件、软件的要求、机构与人员、卫生的基本反应相</w:t>
            </w:r>
            <w:r>
              <w:rPr>
                <w:rFonts w:eastAsia="宋体"/>
                <w:color w:val="000000"/>
                <w:szCs w:val="21"/>
              </w:rPr>
              <w:t>关知识占40%；考核</w:t>
            </w:r>
            <w:r>
              <w:rPr>
                <w:rFonts w:hint="eastAsia" w:eastAsia="宋体"/>
                <w:color w:val="000000"/>
                <w:szCs w:val="21"/>
              </w:rPr>
              <w:t>物料管理、生产管理、质量管理</w:t>
            </w:r>
            <w:r>
              <w:rPr>
                <w:rFonts w:eastAsia="宋体"/>
                <w:color w:val="000000"/>
                <w:szCs w:val="21"/>
              </w:rPr>
              <w:t>相关内容占40%；考核</w:t>
            </w:r>
            <w:r>
              <w:rPr>
                <w:rFonts w:hint="eastAsia" w:eastAsia="宋体"/>
                <w:color w:val="000000"/>
                <w:szCs w:val="21"/>
              </w:rPr>
              <w:t>验证、产品销售与服务、自检</w:t>
            </w:r>
            <w:r>
              <w:rPr>
                <w:rFonts w:eastAsia="宋体"/>
                <w:color w:val="000000"/>
                <w:szCs w:val="21"/>
              </w:rPr>
              <w:t>相关知识占20%。</w:t>
            </w:r>
          </w:p>
        </w:tc>
      </w:tr>
    </w:tbl>
    <w:p>
      <w:pPr>
        <w:spacing w:line="360" w:lineRule="auto"/>
        <w:rPr>
          <w:sz w:val="24"/>
          <w:szCs w:val="22"/>
        </w:rPr>
      </w:pPr>
    </w:p>
    <w:p>
      <w:pPr>
        <w:spacing w:line="360" w:lineRule="auto"/>
        <w:ind w:firstLine="562" w:firstLineChars="200"/>
        <w:rPr>
          <w:rFonts w:hint="eastAsia"/>
          <w:b/>
          <w:sz w:val="28"/>
          <w:szCs w:val="28"/>
        </w:rPr>
      </w:pPr>
      <w:r>
        <w:rPr>
          <w:rFonts w:hint="eastAsia"/>
          <w:b/>
          <w:sz w:val="28"/>
          <w:szCs w:val="28"/>
        </w:rPr>
        <w:t>六</w:t>
      </w:r>
      <w:r>
        <w:rPr>
          <w:b/>
          <w:sz w:val="28"/>
          <w:szCs w:val="28"/>
        </w:rPr>
        <w:t>、</w:t>
      </w:r>
      <w:r>
        <w:rPr>
          <w:rFonts w:hint="eastAsia"/>
          <w:b/>
          <w:sz w:val="28"/>
          <w:szCs w:val="28"/>
        </w:rPr>
        <w:t>有关说明</w:t>
      </w:r>
    </w:p>
    <w:p>
      <w:pPr>
        <w:bidi w:val="0"/>
        <w:rPr>
          <w:rFonts w:hint="eastAsia"/>
          <w:b/>
          <w:bCs/>
          <w:sz w:val="24"/>
          <w:szCs w:val="24"/>
        </w:rPr>
      </w:pPr>
      <w:bookmarkStart w:id="262" w:name="_Toc12848"/>
      <w:r>
        <w:rPr>
          <w:rFonts w:hint="eastAsia"/>
          <w:b/>
          <w:bCs/>
          <w:sz w:val="24"/>
          <w:szCs w:val="24"/>
        </w:rPr>
        <w:t>（一）持续改进</w:t>
      </w:r>
      <w:bookmarkEnd w:id="262"/>
    </w:p>
    <w:p>
      <w:pPr>
        <w:spacing w:line="360" w:lineRule="auto"/>
        <w:ind w:firstLine="480" w:firstLineChars="200"/>
        <w:rPr>
          <w:sz w:val="24"/>
          <w:szCs w:val="22"/>
        </w:rPr>
      </w:pPr>
      <w:r>
        <w:rPr>
          <w:sz w:val="24"/>
          <w:szCs w:val="22"/>
        </w:rPr>
        <w:t>本课程根据学生作业、课堂讨论、平时考核情况和学生、教学督导等</w:t>
      </w:r>
      <w:r>
        <w:rPr>
          <w:rFonts w:hint="eastAsia"/>
          <w:sz w:val="24"/>
          <w:szCs w:val="22"/>
        </w:rPr>
        <w:t>的</w:t>
      </w:r>
      <w:r>
        <w:rPr>
          <w:sz w:val="24"/>
          <w:szCs w:val="22"/>
        </w:rPr>
        <w:t>反馈，及时对教学中</w:t>
      </w:r>
      <w:r>
        <w:rPr>
          <w:rFonts w:hint="eastAsia"/>
          <w:sz w:val="24"/>
          <w:szCs w:val="22"/>
        </w:rPr>
        <w:t>的</w:t>
      </w:r>
      <w:r>
        <w:rPr>
          <w:sz w:val="24"/>
          <w:szCs w:val="22"/>
        </w:rPr>
        <w:t>不足之处进行改进，并在下一轮课程教学中</w:t>
      </w:r>
      <w:r>
        <w:rPr>
          <w:rFonts w:hint="eastAsia"/>
          <w:sz w:val="24"/>
          <w:szCs w:val="22"/>
        </w:rPr>
        <w:t>整改完善</w:t>
      </w:r>
      <w:r>
        <w:rPr>
          <w:sz w:val="24"/>
          <w:szCs w:val="22"/>
        </w:rPr>
        <w:t>，确保相应毕业要求指标点达成。</w:t>
      </w:r>
    </w:p>
    <w:p>
      <w:pPr>
        <w:bidi w:val="0"/>
        <w:rPr>
          <w:rFonts w:hint="eastAsia"/>
          <w:b/>
          <w:bCs/>
          <w:sz w:val="24"/>
          <w:szCs w:val="24"/>
        </w:rPr>
      </w:pPr>
      <w:bookmarkStart w:id="263" w:name="_Toc25339"/>
      <w:r>
        <w:rPr>
          <w:rFonts w:hint="eastAsia"/>
          <w:b/>
          <w:bCs/>
          <w:sz w:val="24"/>
          <w:szCs w:val="24"/>
        </w:rPr>
        <w:t>（二）</w:t>
      </w:r>
      <w:r>
        <w:rPr>
          <w:b/>
          <w:bCs/>
          <w:sz w:val="24"/>
          <w:szCs w:val="24"/>
        </w:rPr>
        <w:t>参考书目及学习资料</w:t>
      </w:r>
      <w:bookmarkEnd w:id="263"/>
    </w:p>
    <w:p>
      <w:pPr>
        <w:spacing w:line="360" w:lineRule="auto"/>
        <w:ind w:left="420"/>
        <w:rPr>
          <w:sz w:val="24"/>
        </w:rPr>
      </w:pPr>
      <w:r>
        <w:rPr>
          <w:sz w:val="24"/>
        </w:rPr>
        <w:t xml:space="preserve">1. </w:t>
      </w:r>
      <w:r>
        <w:rPr>
          <w:rFonts w:hint="eastAsia"/>
          <w:sz w:val="24"/>
        </w:rPr>
        <w:t xml:space="preserve">李钧  </w:t>
      </w:r>
      <w:r>
        <w:rPr>
          <w:sz w:val="24"/>
        </w:rPr>
        <w:t xml:space="preserve">    </w:t>
      </w:r>
      <w:r>
        <w:rPr>
          <w:rFonts w:hint="eastAsia"/>
          <w:sz w:val="24"/>
        </w:rPr>
        <w:t xml:space="preserve">药品GMP实施与认证 </w:t>
      </w:r>
      <w:r>
        <w:rPr>
          <w:sz w:val="24"/>
        </w:rPr>
        <w:t xml:space="preserve">         北京：</w:t>
      </w:r>
      <w:r>
        <w:rPr>
          <w:rFonts w:hint="eastAsia"/>
          <w:sz w:val="24"/>
        </w:rPr>
        <w:t>中国医药科技出版社</w:t>
      </w:r>
    </w:p>
    <w:p>
      <w:pPr>
        <w:spacing w:line="360" w:lineRule="auto"/>
        <w:ind w:left="420"/>
        <w:rPr>
          <w:sz w:val="24"/>
        </w:rPr>
      </w:pPr>
      <w:r>
        <w:rPr>
          <w:sz w:val="24"/>
        </w:rPr>
        <w:t xml:space="preserve">2. </w:t>
      </w:r>
      <w:r>
        <w:rPr>
          <w:rFonts w:hint="eastAsia"/>
          <w:sz w:val="24"/>
        </w:rPr>
        <w:t xml:space="preserve">谭跃雄 </w:t>
      </w:r>
      <w:r>
        <w:rPr>
          <w:sz w:val="24"/>
        </w:rPr>
        <w:t xml:space="preserve">   </w:t>
      </w:r>
      <w:r>
        <w:rPr>
          <w:rFonts w:hint="eastAsia"/>
          <w:sz w:val="24"/>
        </w:rPr>
        <w:t>现代质量管理学</w:t>
      </w:r>
      <w:r>
        <w:rPr>
          <w:sz w:val="24"/>
        </w:rPr>
        <w:t xml:space="preserve">               </w:t>
      </w:r>
      <w:r>
        <w:rPr>
          <w:rFonts w:hint="eastAsia"/>
          <w:sz w:val="24"/>
        </w:rPr>
        <w:t>长沙</w:t>
      </w:r>
      <w:r>
        <w:rPr>
          <w:sz w:val="24"/>
        </w:rPr>
        <w:t>：</w:t>
      </w:r>
      <w:r>
        <w:rPr>
          <w:rFonts w:hint="eastAsia"/>
          <w:sz w:val="24"/>
        </w:rPr>
        <w:t>中南工业大学出版社</w:t>
      </w:r>
    </w:p>
    <w:p>
      <w:pPr>
        <w:spacing w:line="360" w:lineRule="auto"/>
        <w:ind w:left="420"/>
        <w:rPr>
          <w:sz w:val="24"/>
        </w:rPr>
      </w:pPr>
      <w:r>
        <w:rPr>
          <w:rFonts w:hint="eastAsia"/>
          <w:sz w:val="24"/>
        </w:rPr>
        <w:t>3. S</w:t>
      </w:r>
      <w:r>
        <w:rPr>
          <w:sz w:val="24"/>
        </w:rPr>
        <w:t>tephen P. Robbons, et al.  Fundamentals of Management（第5版） 北京：</w:t>
      </w:r>
      <w:r>
        <w:rPr>
          <w:rFonts w:hint="eastAsia"/>
          <w:sz w:val="24"/>
        </w:rPr>
        <w:t>中国人民大学</w:t>
      </w:r>
      <w:r>
        <w:rPr>
          <w:sz w:val="24"/>
        </w:rPr>
        <w:t>出版社</w:t>
      </w:r>
    </w:p>
    <w:p>
      <w:pPr>
        <w:spacing w:line="360" w:lineRule="auto"/>
        <w:ind w:left="420"/>
        <w:rPr>
          <w:sz w:val="24"/>
        </w:rPr>
      </w:pPr>
      <w:r>
        <w:rPr>
          <w:rFonts w:hint="eastAsia"/>
          <w:sz w:val="24"/>
        </w:rPr>
        <w:t>4</w:t>
      </w:r>
      <w:r>
        <w:rPr>
          <w:sz w:val="24"/>
        </w:rPr>
        <w:t xml:space="preserve">. </w:t>
      </w:r>
      <w:r>
        <w:rPr>
          <w:rFonts w:hint="eastAsia"/>
          <w:sz w:val="24"/>
        </w:rPr>
        <w:t>Mini</w:t>
      </w:r>
      <w:r>
        <w:rPr>
          <w:sz w:val="24"/>
        </w:rPr>
        <w:t>stry of the People’s Republic of China, Good Manufacturing Practice for Pharmaceutical Products (Amended in 2010) SDA Oeder #79.</w:t>
      </w:r>
    </w:p>
    <w:p>
      <w:pPr>
        <w:spacing w:line="360" w:lineRule="auto"/>
        <w:ind w:left="420"/>
        <w:rPr>
          <w:rFonts w:hint="eastAsia"/>
          <w:sz w:val="24"/>
        </w:rPr>
      </w:pPr>
    </w:p>
    <w:p>
      <w:pPr>
        <w:autoSpaceDE w:val="0"/>
        <w:autoSpaceDN w:val="0"/>
        <w:adjustRightInd w:val="0"/>
        <w:spacing w:line="360" w:lineRule="auto"/>
        <w:ind w:firstLine="480" w:firstLineChars="200"/>
        <w:jc w:val="left"/>
        <w:rPr>
          <w:kern w:val="0"/>
          <w:sz w:val="24"/>
          <w:szCs w:val="21"/>
        </w:rPr>
      </w:pPr>
      <w:r>
        <w:rPr>
          <w:rFonts w:hint="eastAsia"/>
          <w:sz w:val="24"/>
        </w:rPr>
        <w:t xml:space="preserve">                                                    </w:t>
      </w:r>
      <w:r>
        <w:rPr>
          <w:kern w:val="0"/>
          <w:sz w:val="24"/>
          <w:szCs w:val="21"/>
        </w:rPr>
        <w:t>执笔人：丁琳琳</w:t>
      </w:r>
    </w:p>
    <w:p>
      <w:pPr>
        <w:autoSpaceDE w:val="0"/>
        <w:autoSpaceDN w:val="0"/>
        <w:adjustRightInd w:val="0"/>
        <w:spacing w:line="360" w:lineRule="auto"/>
        <w:ind w:firstLine="6720" w:firstLineChars="2800"/>
        <w:jc w:val="left"/>
        <w:rPr>
          <w:kern w:val="0"/>
          <w:sz w:val="24"/>
          <w:szCs w:val="21"/>
        </w:rPr>
      </w:pPr>
      <w:r>
        <w:rPr>
          <w:rFonts w:hint="eastAsia"/>
          <w:kern w:val="0"/>
          <w:sz w:val="24"/>
          <w:szCs w:val="21"/>
        </w:rPr>
        <w:t>审定人：魏雪娇</w:t>
      </w:r>
    </w:p>
    <w:p>
      <w:pPr>
        <w:autoSpaceDE w:val="0"/>
        <w:autoSpaceDN w:val="0"/>
        <w:adjustRightInd w:val="0"/>
        <w:spacing w:line="360" w:lineRule="auto"/>
        <w:ind w:firstLine="6720" w:firstLineChars="2800"/>
        <w:jc w:val="left"/>
        <w:rPr>
          <w:kern w:val="0"/>
          <w:sz w:val="24"/>
          <w:szCs w:val="21"/>
        </w:rPr>
      </w:pPr>
      <w:r>
        <w:rPr>
          <w:rFonts w:hint="eastAsia"/>
          <w:kern w:val="0"/>
          <w:sz w:val="24"/>
          <w:szCs w:val="21"/>
        </w:rPr>
        <w:t>审批人：吴泽颖</w:t>
      </w:r>
    </w:p>
    <w:p>
      <w:pPr>
        <w:autoSpaceDE w:val="0"/>
        <w:autoSpaceDN w:val="0"/>
        <w:adjustRightInd w:val="0"/>
        <w:spacing w:line="360" w:lineRule="auto"/>
        <w:ind w:firstLine="6240" w:firstLineChars="2600"/>
        <w:jc w:val="left"/>
        <w:rPr>
          <w:kern w:val="0"/>
          <w:sz w:val="24"/>
          <w:szCs w:val="21"/>
        </w:rPr>
      </w:pPr>
      <w:r>
        <w:rPr>
          <w:rFonts w:hint="eastAsia"/>
          <w:kern w:val="0"/>
          <w:sz w:val="24"/>
          <w:szCs w:val="21"/>
        </w:rPr>
        <w:t>批准时间：</w:t>
      </w:r>
      <w:r>
        <w:rPr>
          <w:kern w:val="0"/>
          <w:sz w:val="24"/>
          <w:szCs w:val="21"/>
        </w:rPr>
        <w:t>2021.9.1</w:t>
      </w:r>
    </w:p>
    <w:p>
      <w:pPr>
        <w:autoSpaceDE w:val="0"/>
        <w:autoSpaceDN w:val="0"/>
        <w:adjustRightInd w:val="0"/>
        <w:spacing w:line="360" w:lineRule="auto"/>
        <w:ind w:firstLine="6240" w:firstLineChars="2600"/>
        <w:jc w:val="left"/>
        <w:rPr>
          <w:kern w:val="0"/>
          <w:sz w:val="24"/>
          <w:szCs w:val="21"/>
        </w:rPr>
      </w:pPr>
    </w:p>
    <w:p>
      <w:pPr>
        <w:autoSpaceDE w:val="0"/>
        <w:autoSpaceDN w:val="0"/>
        <w:adjustRightInd w:val="0"/>
        <w:spacing w:line="360" w:lineRule="auto"/>
        <w:ind w:firstLine="6240" w:firstLineChars="2600"/>
        <w:jc w:val="left"/>
        <w:rPr>
          <w:kern w:val="0"/>
          <w:sz w:val="24"/>
          <w:szCs w:val="21"/>
        </w:rPr>
      </w:pPr>
    </w:p>
    <w:p>
      <w:pPr>
        <w:autoSpaceDE w:val="0"/>
        <w:autoSpaceDN w:val="0"/>
        <w:adjustRightInd w:val="0"/>
        <w:spacing w:line="360" w:lineRule="auto"/>
        <w:ind w:firstLine="6240" w:firstLineChars="2600"/>
        <w:jc w:val="left"/>
        <w:rPr>
          <w:kern w:val="0"/>
          <w:sz w:val="24"/>
          <w:szCs w:val="21"/>
        </w:rPr>
      </w:pPr>
    </w:p>
    <w:p>
      <w:pPr>
        <w:autoSpaceDE w:val="0"/>
        <w:autoSpaceDN w:val="0"/>
        <w:adjustRightInd w:val="0"/>
        <w:spacing w:line="360" w:lineRule="auto"/>
        <w:ind w:firstLine="6240" w:firstLineChars="2600"/>
        <w:jc w:val="left"/>
        <w:rPr>
          <w:kern w:val="0"/>
          <w:sz w:val="24"/>
          <w:szCs w:val="21"/>
        </w:rPr>
      </w:pPr>
    </w:p>
    <w:p>
      <w:pPr>
        <w:autoSpaceDE w:val="0"/>
        <w:autoSpaceDN w:val="0"/>
        <w:adjustRightInd w:val="0"/>
        <w:spacing w:line="360" w:lineRule="auto"/>
        <w:ind w:firstLine="6240" w:firstLineChars="2600"/>
        <w:jc w:val="left"/>
        <w:rPr>
          <w:kern w:val="0"/>
          <w:sz w:val="24"/>
          <w:szCs w:val="21"/>
        </w:rPr>
      </w:pPr>
    </w:p>
    <w:p>
      <w:pPr>
        <w:autoSpaceDE w:val="0"/>
        <w:autoSpaceDN w:val="0"/>
        <w:adjustRightInd w:val="0"/>
        <w:spacing w:line="360" w:lineRule="auto"/>
        <w:ind w:firstLine="6240" w:firstLineChars="2600"/>
        <w:jc w:val="left"/>
        <w:rPr>
          <w:kern w:val="0"/>
          <w:sz w:val="24"/>
          <w:szCs w:val="21"/>
        </w:rPr>
      </w:pPr>
    </w:p>
    <w:p>
      <w:pPr>
        <w:autoSpaceDE w:val="0"/>
        <w:autoSpaceDN w:val="0"/>
        <w:adjustRightInd w:val="0"/>
        <w:spacing w:line="360" w:lineRule="auto"/>
        <w:ind w:firstLine="6240" w:firstLineChars="2600"/>
        <w:jc w:val="left"/>
        <w:rPr>
          <w:kern w:val="0"/>
          <w:sz w:val="24"/>
          <w:szCs w:val="21"/>
        </w:rPr>
      </w:pPr>
    </w:p>
    <w:p>
      <w:pPr>
        <w:pStyle w:val="3"/>
        <w:bidi w:val="0"/>
        <w:jc w:val="center"/>
      </w:pPr>
      <w:bookmarkStart w:id="264" w:name="_Toc22629"/>
      <w:bookmarkStart w:id="265" w:name="_Toc27819"/>
      <w:r>
        <w:t>药物化学课程教学大纲</w:t>
      </w:r>
      <w:bookmarkEnd w:id="264"/>
      <w:bookmarkEnd w:id="265"/>
    </w:p>
    <w:p>
      <w:pPr>
        <w:spacing w:line="312" w:lineRule="auto"/>
        <w:jc w:val="center"/>
        <w:rPr>
          <w:rFonts w:ascii="Times New Roman" w:hAnsi="Times New Roman"/>
          <w:b/>
          <w:bCs/>
          <w:sz w:val="30"/>
        </w:rPr>
      </w:pPr>
      <w:r>
        <w:rPr>
          <w:rFonts w:ascii="Times New Roman" w:hAnsi="Times New Roman"/>
          <w:b/>
          <w:bCs/>
          <w:sz w:val="30"/>
        </w:rPr>
        <w:t>（</w:t>
      </w:r>
      <w:r>
        <w:rPr>
          <w:rFonts w:ascii="Times New Roman" w:hAnsi="Times New Roman"/>
          <w:bCs/>
          <w:sz w:val="30"/>
        </w:rPr>
        <w:t>Pharmaceutical Chemistry</w:t>
      </w:r>
      <w:r>
        <w:rPr>
          <w:rFonts w:ascii="Times New Roman" w:hAnsi="Times New Roman"/>
          <w:b/>
          <w:bCs/>
          <w:sz w:val="30"/>
        </w:rPr>
        <w:t>）</w:t>
      </w:r>
    </w:p>
    <w:p>
      <w:pPr>
        <w:spacing w:line="360" w:lineRule="auto"/>
        <w:ind w:firstLine="551" w:firstLineChars="196"/>
        <w:rPr>
          <w:rFonts w:ascii="Times New Roman" w:hAnsi="Times New Roman"/>
          <w:b/>
          <w:sz w:val="28"/>
          <w:szCs w:val="28"/>
        </w:rPr>
      </w:pPr>
      <w:r>
        <w:rPr>
          <w:rFonts w:ascii="Times New Roman" w:hAnsi="Times New Roman"/>
          <w:b/>
          <w:sz w:val="28"/>
          <w:szCs w:val="28"/>
        </w:rPr>
        <w:t>一、课程概况</w:t>
      </w:r>
    </w:p>
    <w:p>
      <w:pPr>
        <w:spacing w:line="360" w:lineRule="auto"/>
        <w:ind w:firstLine="482" w:firstLineChars="200"/>
        <w:rPr>
          <w:rFonts w:ascii="Times New Roman" w:hAnsi="Times New Roman"/>
          <w:b/>
          <w:sz w:val="28"/>
          <w:szCs w:val="28"/>
        </w:rPr>
      </w:pPr>
      <w:r>
        <w:rPr>
          <w:rFonts w:ascii="Times New Roman" w:hAnsi="Times New Roman"/>
          <w:b/>
          <w:bCs/>
          <w:kern w:val="0"/>
          <w:sz w:val="24"/>
        </w:rPr>
        <w:t>课程代码</w:t>
      </w:r>
      <w:r>
        <w:rPr>
          <w:rFonts w:ascii="Times New Roman" w:hAnsi="Times New Roman"/>
          <w:b/>
          <w:kern w:val="0"/>
          <w:sz w:val="24"/>
        </w:rPr>
        <w:t>：</w:t>
      </w:r>
      <w:r>
        <w:rPr>
          <w:rFonts w:ascii="Times New Roman" w:hAnsi="Times New Roman"/>
          <w:kern w:val="0"/>
          <w:sz w:val="24"/>
        </w:rPr>
        <w:t>2501024</w:t>
      </w:r>
    </w:p>
    <w:p>
      <w:pPr>
        <w:spacing w:line="360" w:lineRule="auto"/>
        <w:ind w:firstLine="482" w:firstLineChars="200"/>
        <w:rPr>
          <w:rFonts w:ascii="Times New Roman" w:hAnsi="Times New Roman"/>
          <w:b/>
          <w:kern w:val="0"/>
          <w:sz w:val="24"/>
        </w:rPr>
      </w:pPr>
      <w:r>
        <w:rPr>
          <w:rFonts w:ascii="Times New Roman" w:hAnsi="Times New Roman"/>
          <w:b/>
          <w:bCs/>
          <w:kern w:val="0"/>
          <w:sz w:val="24"/>
        </w:rPr>
        <w:t>学    分</w:t>
      </w:r>
      <w:r>
        <w:rPr>
          <w:rFonts w:ascii="Times New Roman" w:hAnsi="Times New Roman"/>
          <w:b/>
          <w:kern w:val="0"/>
          <w:sz w:val="24"/>
        </w:rPr>
        <w:t>：</w:t>
      </w:r>
      <w:r>
        <w:rPr>
          <w:rFonts w:ascii="Times New Roman" w:hAnsi="Times New Roman"/>
          <w:kern w:val="0"/>
          <w:sz w:val="24"/>
        </w:rPr>
        <w:t>2</w:t>
      </w:r>
    </w:p>
    <w:p>
      <w:pPr>
        <w:spacing w:line="360" w:lineRule="auto"/>
        <w:ind w:firstLine="482" w:firstLineChars="200"/>
        <w:rPr>
          <w:rFonts w:ascii="Times New Roman" w:hAnsi="Times New Roman"/>
          <w:kern w:val="0"/>
          <w:sz w:val="24"/>
        </w:rPr>
      </w:pPr>
      <w:r>
        <w:rPr>
          <w:rFonts w:ascii="Times New Roman" w:hAnsi="Times New Roman"/>
          <w:b/>
          <w:bCs/>
          <w:kern w:val="0"/>
          <w:sz w:val="24"/>
        </w:rPr>
        <w:t>学    时</w:t>
      </w:r>
      <w:r>
        <w:rPr>
          <w:rFonts w:ascii="Times New Roman" w:hAnsi="Times New Roman"/>
          <w:b/>
          <w:kern w:val="0"/>
          <w:sz w:val="24"/>
        </w:rPr>
        <w:t>：</w:t>
      </w:r>
      <w:r>
        <w:rPr>
          <w:rFonts w:ascii="Times New Roman" w:hAnsi="Times New Roman"/>
          <w:kern w:val="0"/>
          <w:sz w:val="24"/>
        </w:rPr>
        <w:t>32（其中：讲授学时32）</w:t>
      </w:r>
    </w:p>
    <w:p>
      <w:pPr>
        <w:spacing w:line="360" w:lineRule="auto"/>
        <w:ind w:firstLine="482" w:firstLineChars="200"/>
        <w:rPr>
          <w:rFonts w:ascii="Times New Roman" w:hAnsi="Times New Roman"/>
          <w:b/>
          <w:bCs/>
          <w:kern w:val="0"/>
          <w:sz w:val="24"/>
        </w:rPr>
      </w:pPr>
      <w:r>
        <w:rPr>
          <w:rFonts w:ascii="Times New Roman" w:hAnsi="Times New Roman"/>
          <w:b/>
          <w:bCs/>
          <w:kern w:val="0"/>
          <w:sz w:val="24"/>
        </w:rPr>
        <w:t>先修课程</w:t>
      </w:r>
      <w:r>
        <w:rPr>
          <w:rFonts w:ascii="Times New Roman" w:hAnsi="Times New Roman"/>
          <w:b/>
          <w:kern w:val="0"/>
          <w:sz w:val="24"/>
        </w:rPr>
        <w:t>：</w:t>
      </w:r>
      <w:r>
        <w:rPr>
          <w:rFonts w:ascii="Times New Roman" w:hAnsi="Times New Roman"/>
          <w:kern w:val="0"/>
          <w:sz w:val="24"/>
        </w:rPr>
        <w:t>《药学基础》、《有机化学》</w:t>
      </w:r>
    </w:p>
    <w:p>
      <w:pPr>
        <w:spacing w:line="360" w:lineRule="auto"/>
        <w:ind w:firstLine="482" w:firstLineChars="200"/>
        <w:rPr>
          <w:rFonts w:ascii="Times New Roman" w:hAnsi="Times New Roman"/>
          <w:kern w:val="0"/>
          <w:sz w:val="24"/>
        </w:rPr>
      </w:pPr>
      <w:r>
        <w:rPr>
          <w:rFonts w:ascii="Times New Roman" w:hAnsi="Times New Roman"/>
          <w:b/>
          <w:bCs/>
          <w:kern w:val="0"/>
          <w:sz w:val="24"/>
        </w:rPr>
        <w:t>适用专业</w:t>
      </w:r>
      <w:r>
        <w:rPr>
          <w:rFonts w:ascii="Times New Roman" w:hAnsi="Times New Roman"/>
          <w:b/>
          <w:kern w:val="0"/>
          <w:sz w:val="24"/>
        </w:rPr>
        <w:t>：</w:t>
      </w:r>
      <w:r>
        <w:rPr>
          <w:rFonts w:ascii="Times New Roman" w:hAnsi="Times New Roman"/>
          <w:kern w:val="0"/>
          <w:sz w:val="24"/>
        </w:rPr>
        <w:t>化学工程与工艺、应用化学专业</w:t>
      </w:r>
    </w:p>
    <w:p>
      <w:pPr>
        <w:spacing w:line="360" w:lineRule="auto"/>
        <w:ind w:firstLine="482" w:firstLineChars="200"/>
        <w:rPr>
          <w:rFonts w:ascii="Times New Roman" w:hAnsi="Times New Roman"/>
          <w:kern w:val="0"/>
          <w:sz w:val="24"/>
        </w:rPr>
      </w:pPr>
      <w:r>
        <w:rPr>
          <w:rFonts w:ascii="Times New Roman" w:hAnsi="Times New Roman"/>
          <w:b/>
          <w:bCs/>
          <w:kern w:val="0"/>
          <w:sz w:val="24"/>
        </w:rPr>
        <w:t>建议教材</w:t>
      </w:r>
      <w:r>
        <w:rPr>
          <w:rFonts w:ascii="Times New Roman" w:hAnsi="Times New Roman"/>
          <w:b/>
          <w:kern w:val="0"/>
          <w:sz w:val="24"/>
        </w:rPr>
        <w:t>：</w:t>
      </w:r>
      <w:r>
        <w:rPr>
          <w:rFonts w:ascii="Times New Roman" w:hAnsi="Times New Roman"/>
          <w:kern w:val="0"/>
          <w:sz w:val="24"/>
        </w:rPr>
        <w:t>《</w:t>
      </w:r>
      <w:r>
        <w:rPr>
          <w:rFonts w:ascii="Times New Roman" w:hAnsi="Times New Roman"/>
          <w:bCs/>
          <w:kern w:val="0"/>
          <w:sz w:val="24"/>
        </w:rPr>
        <w:t>药物化学</w:t>
      </w:r>
      <w:r>
        <w:rPr>
          <w:rFonts w:ascii="Times New Roman" w:hAnsi="Times New Roman"/>
          <w:kern w:val="0"/>
          <w:sz w:val="24"/>
        </w:rPr>
        <w:t>》，郑虎，人民卫生出版社，2018年2月第三版</w:t>
      </w:r>
    </w:p>
    <w:p>
      <w:pPr>
        <w:spacing w:line="360" w:lineRule="auto"/>
        <w:ind w:firstLine="482" w:firstLineChars="200"/>
        <w:rPr>
          <w:rFonts w:ascii="Times New Roman" w:hAnsi="Times New Roman"/>
          <w:kern w:val="0"/>
          <w:sz w:val="24"/>
        </w:rPr>
      </w:pPr>
      <w:r>
        <w:rPr>
          <w:rFonts w:ascii="Times New Roman" w:hAnsi="Times New Roman"/>
          <w:b/>
          <w:bCs/>
          <w:kern w:val="0"/>
          <w:sz w:val="24"/>
        </w:rPr>
        <w:t>课程归口：</w:t>
      </w:r>
      <w:r>
        <w:rPr>
          <w:rFonts w:ascii="Times New Roman" w:hAnsi="Times New Roman"/>
          <w:bCs/>
          <w:kern w:val="0"/>
          <w:sz w:val="24"/>
        </w:rPr>
        <w:t>化工与材料</w:t>
      </w:r>
      <w:r>
        <w:rPr>
          <w:rFonts w:ascii="Times New Roman" w:hAnsi="Times New Roman"/>
          <w:kern w:val="0"/>
          <w:sz w:val="24"/>
        </w:rPr>
        <w:t>学院</w:t>
      </w:r>
    </w:p>
    <w:p>
      <w:pPr>
        <w:spacing w:line="360" w:lineRule="auto"/>
        <w:ind w:firstLine="482" w:firstLineChars="200"/>
        <w:rPr>
          <w:rFonts w:ascii="Times New Roman" w:hAnsi="Times New Roman"/>
          <w:kern w:val="0"/>
          <w:sz w:val="24"/>
        </w:rPr>
      </w:pPr>
      <w:r>
        <w:rPr>
          <w:rFonts w:ascii="Times New Roman" w:hAnsi="Times New Roman"/>
          <w:b/>
          <w:bCs/>
          <w:kern w:val="0"/>
          <w:sz w:val="24"/>
        </w:rPr>
        <w:t>课程团队：</w:t>
      </w:r>
      <w:r>
        <w:rPr>
          <w:rFonts w:ascii="Times New Roman" w:hAnsi="Times New Roman"/>
          <w:kern w:val="0"/>
          <w:sz w:val="24"/>
        </w:rPr>
        <w:t>王晋方、乐传俊、丁琳琳等</w:t>
      </w:r>
    </w:p>
    <w:p>
      <w:pPr>
        <w:spacing w:line="360" w:lineRule="auto"/>
        <w:ind w:firstLine="482" w:firstLineChars="200"/>
        <w:rPr>
          <w:rFonts w:ascii="Times New Roman" w:hAnsi="Times New Roman"/>
          <w:kern w:val="0"/>
          <w:sz w:val="24"/>
        </w:rPr>
      </w:pPr>
      <w:r>
        <w:rPr>
          <w:rFonts w:ascii="Times New Roman" w:hAnsi="Times New Roman"/>
          <w:b/>
          <w:bCs/>
          <w:kern w:val="0"/>
          <w:sz w:val="24"/>
        </w:rPr>
        <w:t>课程的性质与任务：</w:t>
      </w:r>
      <w:r>
        <w:rPr>
          <w:rFonts w:ascii="Times New Roman" w:hAnsi="Times New Roman"/>
          <w:color w:val="000000"/>
          <w:sz w:val="24"/>
        </w:rPr>
        <w:t>本课程是一门发现与发明新药，合成化学药物，阐明药物化学性质，研究药物分子与机体细胞（生物大分子）之间相互作用规律的综合学科。这门课程既要研究化学药物的化学结构特征、与此相联系的理论性质、稳定性状态，同时又要了解药物进入体内的生物转化等化学---生物学内容。为了设计、发现及发明新药物，必须研究和了解药物的构效关系、药物分子在生物体中作用的靶点结合方式，通常利用计算机进行研究。药物合成也是药物化学的重要内容。本课程的主要内容包括：各类药物的发展、结构类型、常用药物的化学结构、化学名、理化性质、鉴别方法；典型药物的合成，药物的化学结构与药效的关系，药物研究与开发的途径和方法</w:t>
      </w:r>
      <w:r>
        <w:rPr>
          <w:rFonts w:ascii="Times New Roman" w:hAnsi="Times New Roman"/>
          <w:kern w:val="0"/>
          <w:sz w:val="24"/>
        </w:rPr>
        <w:t>，为后续课程的学习和专业实践教学环节打下坚实的基础，着力培养学生的自主学习和探究性学习能力，树立良好的职业道德和职业素养，进而树立正确的人生观和价值观，并着重考查学生对药物化学“三基”的掌握与灵活运用的程度期望持续提高药物化学课程教学质量，实现立德树人的根本任务。</w:t>
      </w:r>
    </w:p>
    <w:p>
      <w:pPr>
        <w:spacing w:line="360" w:lineRule="auto"/>
        <w:ind w:firstLine="562" w:firstLineChars="200"/>
        <w:rPr>
          <w:rFonts w:ascii="Times New Roman" w:hAnsi="Times New Roman"/>
          <w:b/>
          <w:sz w:val="28"/>
          <w:szCs w:val="28"/>
        </w:rPr>
      </w:pPr>
      <w:r>
        <w:rPr>
          <w:rFonts w:ascii="Times New Roman" w:hAnsi="Times New Roman"/>
          <w:b/>
          <w:sz w:val="28"/>
          <w:szCs w:val="28"/>
        </w:rPr>
        <w:t>二、课程目标</w:t>
      </w:r>
    </w:p>
    <w:tbl>
      <w:tblPr>
        <w:tblStyle w:val="10"/>
        <w:tblW w:w="9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3118"/>
        <w:gridCol w:w="4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244" w:type="dxa"/>
            <w:noWrap/>
            <w:vAlign w:val="center"/>
          </w:tcPr>
          <w:p>
            <w:pPr>
              <w:widowControl/>
              <w:jc w:val="center"/>
              <w:rPr>
                <w:rFonts w:ascii="Times New Roman" w:hAnsi="Times New Roman"/>
                <w:b/>
                <w:bCs/>
                <w:kern w:val="0"/>
                <w:szCs w:val="21"/>
              </w:rPr>
            </w:pPr>
            <w:r>
              <w:rPr>
                <w:rFonts w:ascii="Times New Roman" w:hAnsi="Times New Roman"/>
                <w:b/>
                <w:bCs/>
                <w:kern w:val="0"/>
                <w:szCs w:val="21"/>
              </w:rPr>
              <w:t>序号</w:t>
            </w:r>
          </w:p>
        </w:tc>
        <w:tc>
          <w:tcPr>
            <w:tcW w:w="3118" w:type="dxa"/>
            <w:noWrap/>
            <w:vAlign w:val="center"/>
          </w:tcPr>
          <w:p>
            <w:pPr>
              <w:widowControl/>
              <w:jc w:val="center"/>
              <w:rPr>
                <w:rFonts w:ascii="Times New Roman" w:hAnsi="Times New Roman"/>
                <w:b/>
                <w:bCs/>
                <w:kern w:val="0"/>
                <w:szCs w:val="21"/>
              </w:rPr>
            </w:pPr>
            <w:r>
              <w:rPr>
                <w:rFonts w:ascii="Times New Roman" w:hAnsi="Times New Roman"/>
                <w:b/>
                <w:bCs/>
                <w:kern w:val="0"/>
                <w:szCs w:val="21"/>
              </w:rPr>
              <w:t>课程目标</w:t>
            </w:r>
          </w:p>
        </w:tc>
        <w:tc>
          <w:tcPr>
            <w:tcW w:w="4801" w:type="dxa"/>
            <w:noWrap/>
            <w:vAlign w:val="center"/>
          </w:tcPr>
          <w:p>
            <w:pPr>
              <w:widowControl/>
              <w:jc w:val="center"/>
              <w:rPr>
                <w:rFonts w:ascii="Times New Roman" w:hAnsi="Times New Roman"/>
                <w:b/>
                <w:bCs/>
                <w:kern w:val="0"/>
                <w:szCs w:val="21"/>
              </w:rPr>
            </w:pPr>
            <w:r>
              <w:rPr>
                <w:rFonts w:ascii="Times New Roman" w:hAnsi="Times New Roman"/>
                <w:b/>
                <w:bCs/>
                <w:kern w:val="0"/>
                <w:szCs w:val="21"/>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244" w:type="dxa"/>
            <w:noWrap/>
            <w:vAlign w:val="center"/>
          </w:tcPr>
          <w:p>
            <w:pPr>
              <w:widowControl/>
              <w:jc w:val="center"/>
              <w:rPr>
                <w:rFonts w:ascii="Times New Roman" w:hAnsi="Times New Roman"/>
                <w:kern w:val="0"/>
                <w:szCs w:val="21"/>
              </w:rPr>
            </w:pPr>
            <w:r>
              <w:rPr>
                <w:rFonts w:ascii="Times New Roman" w:hAnsi="Times New Roman"/>
                <w:kern w:val="0"/>
                <w:szCs w:val="21"/>
              </w:rPr>
              <w:t>1</w:t>
            </w:r>
          </w:p>
        </w:tc>
        <w:tc>
          <w:tcPr>
            <w:tcW w:w="3118" w:type="dxa"/>
            <w:noWrap/>
            <w:vAlign w:val="center"/>
          </w:tcPr>
          <w:p>
            <w:pPr>
              <w:rPr>
                <w:rFonts w:ascii="Times New Roman" w:hAnsi="Times New Roman"/>
                <w:b/>
                <w:kern w:val="0"/>
                <w:szCs w:val="21"/>
              </w:rPr>
            </w:pPr>
          </w:p>
          <w:p>
            <w:pPr>
              <w:rPr>
                <w:rFonts w:ascii="Times New Roman" w:hAnsi="Times New Roman"/>
                <w:b/>
                <w:kern w:val="0"/>
                <w:szCs w:val="21"/>
              </w:rPr>
            </w:pPr>
            <w:r>
              <w:rPr>
                <w:rFonts w:ascii="Times New Roman" w:hAnsi="Times New Roman"/>
                <w:b/>
                <w:kern w:val="0"/>
                <w:szCs w:val="21"/>
              </w:rPr>
              <w:t>目标1：</w:t>
            </w:r>
            <w:r>
              <w:rPr>
                <w:rFonts w:ascii="Times New Roman" w:hAnsi="Times New Roman"/>
                <w:bCs/>
                <w:kern w:val="0"/>
                <w:szCs w:val="21"/>
              </w:rPr>
              <w:t>能够理解掌握药物化学中相关术语；了解相关药物的特性并掌握结构式的书写，能够掌握化合物的构效关系。</w:t>
            </w:r>
          </w:p>
          <w:p>
            <w:pPr>
              <w:rPr>
                <w:rFonts w:ascii="Times New Roman" w:hAnsi="Times New Roman"/>
                <w:kern w:val="0"/>
                <w:szCs w:val="21"/>
              </w:rPr>
            </w:pPr>
          </w:p>
        </w:tc>
        <w:tc>
          <w:tcPr>
            <w:tcW w:w="4801" w:type="dxa"/>
            <w:noWrap/>
            <w:vAlign w:val="center"/>
          </w:tcPr>
          <w:p>
            <w:pPr>
              <w:widowControl/>
              <w:rPr>
                <w:rFonts w:ascii="Times New Roman" w:hAnsi="Times New Roman"/>
                <w:kern w:val="0"/>
                <w:szCs w:val="21"/>
              </w:rPr>
            </w:pPr>
            <w:r>
              <w:rPr>
                <w:rFonts w:ascii="Times New Roman" w:hAnsi="Times New Roman"/>
                <w:b/>
                <w:szCs w:val="21"/>
              </w:rPr>
              <w:t>毕业要求4</w:t>
            </w:r>
            <w:r>
              <w:rPr>
                <w:rFonts w:ascii="Times New Roman" w:hAnsi="Times New Roman"/>
                <w:color w:val="000000"/>
                <w:szCs w:val="22"/>
              </w:rPr>
              <w:t>研究：能够基于科学原理并采用科学方法对复杂工程问题进行研究，包括设计实验、分析与解释数据、并通过信息综合得到合理有效的结论。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244" w:type="dxa"/>
            <w:noWrap/>
            <w:vAlign w:val="center"/>
          </w:tcPr>
          <w:p>
            <w:pPr>
              <w:widowControl/>
              <w:jc w:val="center"/>
              <w:rPr>
                <w:rFonts w:ascii="Times New Roman" w:hAnsi="Times New Roman"/>
                <w:kern w:val="0"/>
                <w:szCs w:val="21"/>
              </w:rPr>
            </w:pPr>
            <w:r>
              <w:rPr>
                <w:rFonts w:ascii="Times New Roman" w:hAnsi="Times New Roman"/>
                <w:kern w:val="0"/>
                <w:szCs w:val="21"/>
              </w:rPr>
              <w:t>2</w:t>
            </w:r>
          </w:p>
        </w:tc>
        <w:tc>
          <w:tcPr>
            <w:tcW w:w="3118" w:type="dxa"/>
            <w:noWrap/>
            <w:vAlign w:val="center"/>
          </w:tcPr>
          <w:p>
            <w:pPr>
              <w:widowControl/>
              <w:rPr>
                <w:rFonts w:ascii="Times New Roman" w:hAnsi="Times New Roman"/>
                <w:kern w:val="0"/>
                <w:szCs w:val="21"/>
              </w:rPr>
            </w:pPr>
            <w:r>
              <w:rPr>
                <w:rFonts w:ascii="Times New Roman" w:hAnsi="Times New Roman"/>
                <w:b/>
                <w:kern w:val="0"/>
                <w:szCs w:val="21"/>
              </w:rPr>
              <w:t>目标2：</w:t>
            </w:r>
            <w:r>
              <w:rPr>
                <w:rFonts w:ascii="Times New Roman" w:hAnsi="Times New Roman"/>
                <w:kern w:val="0"/>
                <w:szCs w:val="21"/>
              </w:rPr>
              <w:t>能够了解典型药物的作用机制，掌握利用逆合成分析的方法设计相关药物的合成路线，在构效关系基础上提出新的结构改造方案，进行合理的药物设计</w:t>
            </w:r>
            <w:r>
              <w:rPr>
                <w:rFonts w:ascii="Times New Roman" w:hAnsi="Times New Roman"/>
                <w:sz w:val="24"/>
              </w:rPr>
              <w:t>。</w:t>
            </w:r>
          </w:p>
        </w:tc>
        <w:tc>
          <w:tcPr>
            <w:tcW w:w="4801" w:type="dxa"/>
            <w:noWrap/>
            <w:vAlign w:val="center"/>
          </w:tcPr>
          <w:p>
            <w:pPr>
              <w:widowControl/>
              <w:rPr>
                <w:rFonts w:ascii="Times New Roman" w:hAnsi="Times New Roman"/>
                <w:kern w:val="0"/>
                <w:szCs w:val="21"/>
              </w:rPr>
            </w:pPr>
            <w:r>
              <w:rPr>
                <w:rFonts w:ascii="Times New Roman" w:hAnsi="Times New Roman"/>
                <w:b/>
                <w:color w:val="000000"/>
                <w:kern w:val="0"/>
                <w:szCs w:val="21"/>
              </w:rPr>
              <w:t>毕业要求5</w:t>
            </w:r>
            <w:r>
              <w:rPr>
                <w:rFonts w:ascii="Times New Roman" w:hAnsi="Times New Roman"/>
                <w:color w:val="000000"/>
                <w:szCs w:val="22"/>
              </w:rPr>
              <w:t>能够针对复杂工程问题，开发、选择与使用恰当的技术、资源、现代工程工具和信息技术工具，包括对复杂工程问题的预测与模拟，并能够理解其局限性。</w:t>
            </w:r>
          </w:p>
        </w:tc>
      </w:tr>
    </w:tbl>
    <w:p>
      <w:pPr>
        <w:spacing w:line="360" w:lineRule="auto"/>
        <w:rPr>
          <w:rFonts w:ascii="Times New Roman" w:hAnsi="Times New Roman"/>
          <w:color w:val="000000"/>
          <w:sz w:val="24"/>
        </w:rPr>
      </w:pPr>
    </w:p>
    <w:p>
      <w:pPr>
        <w:spacing w:line="360" w:lineRule="auto"/>
        <w:ind w:firstLine="482"/>
        <w:jc w:val="left"/>
        <w:rPr>
          <w:rFonts w:ascii="Times New Roman" w:hAnsi="Times New Roman"/>
          <w:b/>
          <w:sz w:val="28"/>
          <w:szCs w:val="28"/>
        </w:rPr>
      </w:pPr>
      <w:r>
        <w:rPr>
          <w:rFonts w:ascii="Times New Roman" w:hAnsi="Times New Roman"/>
          <w:b/>
          <w:sz w:val="28"/>
          <w:szCs w:val="28"/>
        </w:rPr>
        <w:t>三、课程内容及要求</w:t>
      </w:r>
    </w:p>
    <w:tbl>
      <w:tblPr>
        <w:tblStyle w:val="10"/>
        <w:tblW w:w="9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5"/>
        <w:gridCol w:w="2617"/>
        <w:gridCol w:w="1129"/>
        <w:gridCol w:w="2019"/>
        <w:gridCol w:w="741"/>
        <w:gridCol w:w="970"/>
        <w:gridCol w:w="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ascii="Times New Roman" w:hAnsi="Times New Roman"/>
                <w:b/>
                <w:bCs/>
                <w:szCs w:val="21"/>
              </w:rPr>
            </w:pPr>
            <w:r>
              <w:rPr>
                <w:rFonts w:ascii="Times New Roman" w:hAnsi="Times New Roman"/>
                <w:b/>
                <w:bCs/>
                <w:szCs w:val="21"/>
              </w:rPr>
              <w:t>序号</w:t>
            </w:r>
          </w:p>
        </w:tc>
        <w:tc>
          <w:tcPr>
            <w:tcW w:w="2632" w:type="dxa"/>
            <w:noWrap w:val="0"/>
            <w:vAlign w:val="center"/>
          </w:tcPr>
          <w:p>
            <w:pPr>
              <w:jc w:val="center"/>
              <w:rPr>
                <w:rFonts w:ascii="Times New Roman" w:hAnsi="Times New Roman"/>
                <w:b/>
                <w:bCs/>
                <w:szCs w:val="21"/>
              </w:rPr>
            </w:pPr>
            <w:r>
              <w:rPr>
                <w:rFonts w:ascii="Times New Roman" w:hAnsi="Times New Roman"/>
                <w:b/>
                <w:bCs/>
                <w:szCs w:val="21"/>
              </w:rPr>
              <w:t>教学内容</w:t>
            </w:r>
          </w:p>
        </w:tc>
        <w:tc>
          <w:tcPr>
            <w:tcW w:w="1134" w:type="dxa"/>
            <w:noWrap w:val="0"/>
            <w:vAlign w:val="center"/>
          </w:tcPr>
          <w:p>
            <w:pPr>
              <w:jc w:val="center"/>
              <w:rPr>
                <w:rFonts w:ascii="Times New Roman" w:hAnsi="Times New Roman"/>
                <w:b/>
                <w:bCs/>
                <w:szCs w:val="21"/>
              </w:rPr>
            </w:pPr>
            <w:r>
              <w:rPr>
                <w:rFonts w:ascii="Times New Roman" w:hAnsi="Times New Roman"/>
                <w:b/>
                <w:bCs/>
                <w:szCs w:val="21"/>
              </w:rPr>
              <w:t>思政元素</w:t>
            </w:r>
          </w:p>
        </w:tc>
        <w:tc>
          <w:tcPr>
            <w:tcW w:w="2028" w:type="dxa"/>
            <w:noWrap w:val="0"/>
            <w:vAlign w:val="center"/>
          </w:tcPr>
          <w:p>
            <w:pPr>
              <w:jc w:val="center"/>
              <w:rPr>
                <w:rFonts w:ascii="Times New Roman" w:hAnsi="Times New Roman"/>
                <w:b/>
                <w:bCs/>
                <w:szCs w:val="21"/>
              </w:rPr>
            </w:pPr>
            <w:r>
              <w:rPr>
                <w:rFonts w:ascii="Times New Roman" w:hAnsi="Times New Roman"/>
                <w:b/>
                <w:bCs/>
                <w:szCs w:val="21"/>
              </w:rPr>
              <w:t>预期学习成果</w:t>
            </w:r>
          </w:p>
          <w:p>
            <w:pPr>
              <w:jc w:val="center"/>
              <w:rPr>
                <w:rFonts w:ascii="Times New Roman" w:hAnsi="Times New Roman"/>
                <w:b/>
                <w:bCs/>
                <w:szCs w:val="21"/>
              </w:rPr>
            </w:pPr>
          </w:p>
        </w:tc>
        <w:tc>
          <w:tcPr>
            <w:tcW w:w="699" w:type="dxa"/>
            <w:noWrap w:val="0"/>
            <w:vAlign w:val="center"/>
          </w:tcPr>
          <w:p>
            <w:pPr>
              <w:jc w:val="center"/>
              <w:rPr>
                <w:rFonts w:ascii="Times New Roman" w:hAnsi="Times New Roman"/>
                <w:b/>
                <w:bCs/>
                <w:szCs w:val="21"/>
              </w:rPr>
            </w:pPr>
            <w:r>
              <w:rPr>
                <w:rFonts w:ascii="Times New Roman" w:hAnsi="Times New Roman"/>
                <w:b/>
                <w:bCs/>
                <w:szCs w:val="21"/>
              </w:rPr>
              <w:t>教学学时</w:t>
            </w:r>
          </w:p>
        </w:tc>
        <w:tc>
          <w:tcPr>
            <w:tcW w:w="975" w:type="dxa"/>
            <w:noWrap w:val="0"/>
            <w:vAlign w:val="center"/>
          </w:tcPr>
          <w:p>
            <w:pPr>
              <w:jc w:val="center"/>
              <w:rPr>
                <w:rFonts w:ascii="Times New Roman" w:hAnsi="Times New Roman"/>
                <w:b/>
                <w:bCs/>
                <w:szCs w:val="21"/>
              </w:rPr>
            </w:pPr>
            <w:r>
              <w:rPr>
                <w:rFonts w:ascii="Times New Roman" w:hAnsi="Times New Roman"/>
                <w:b/>
                <w:bCs/>
                <w:szCs w:val="21"/>
              </w:rPr>
              <w:t>教学方式</w:t>
            </w:r>
          </w:p>
        </w:tc>
        <w:tc>
          <w:tcPr>
            <w:tcW w:w="925" w:type="dxa"/>
            <w:noWrap w:val="0"/>
            <w:vAlign w:val="center"/>
          </w:tcPr>
          <w:p>
            <w:pPr>
              <w:jc w:val="center"/>
              <w:rPr>
                <w:rFonts w:ascii="Times New Roman" w:hAnsi="Times New Roman"/>
                <w:b/>
                <w:bCs/>
                <w:szCs w:val="21"/>
              </w:rPr>
            </w:pPr>
            <w:r>
              <w:rPr>
                <w:rFonts w:ascii="Times New Roman" w:hAnsi="Times New Roman"/>
                <w:b/>
                <w:bCs/>
                <w:szCs w:val="21"/>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ascii="Times New Roman" w:hAnsi="Times New Roman"/>
                <w:szCs w:val="21"/>
              </w:rPr>
            </w:pPr>
            <w:r>
              <w:rPr>
                <w:rFonts w:ascii="Times New Roman" w:hAnsi="Times New Roman"/>
                <w:szCs w:val="21"/>
              </w:rPr>
              <w:t>1</w:t>
            </w:r>
          </w:p>
        </w:tc>
        <w:tc>
          <w:tcPr>
            <w:tcW w:w="2632" w:type="dxa"/>
            <w:noWrap w:val="0"/>
            <w:vAlign w:val="center"/>
          </w:tcPr>
          <w:p>
            <w:pPr>
              <w:autoSpaceDE w:val="0"/>
              <w:autoSpaceDN w:val="0"/>
              <w:adjustRightInd w:val="0"/>
              <w:rPr>
                <w:rFonts w:ascii="Times New Roman" w:hAnsi="Times New Roman"/>
                <w:kern w:val="0"/>
                <w:szCs w:val="21"/>
              </w:rPr>
            </w:pPr>
            <w:r>
              <w:rPr>
                <w:rFonts w:ascii="Times New Roman" w:hAnsi="Times New Roman"/>
                <w:b/>
                <w:bCs/>
                <w:kern w:val="0"/>
                <w:szCs w:val="21"/>
              </w:rPr>
              <w:t>绪论：</w:t>
            </w:r>
            <w:r>
              <w:rPr>
                <w:rFonts w:ascii="Times New Roman" w:hAnsi="Times New Roman"/>
                <w:kern w:val="0"/>
                <w:szCs w:val="21"/>
              </w:rPr>
              <w:t>药物化学的研究内容， 药物化学的起源与发展，药物的命名</w:t>
            </w:r>
          </w:p>
          <w:p>
            <w:pPr>
              <w:autoSpaceDE w:val="0"/>
              <w:autoSpaceDN w:val="0"/>
              <w:adjustRightInd w:val="0"/>
              <w:rPr>
                <w:rFonts w:ascii="Times New Roman" w:hAnsi="Times New Roman"/>
                <w:kern w:val="0"/>
                <w:szCs w:val="21"/>
              </w:rPr>
            </w:pPr>
            <w:r>
              <w:rPr>
                <w:rFonts w:ascii="Times New Roman" w:hAnsi="Times New Roman"/>
                <w:b/>
                <w:bCs/>
                <w:kern w:val="0"/>
                <w:szCs w:val="21"/>
              </w:rPr>
              <w:t>重点和难点</w:t>
            </w:r>
            <w:r>
              <w:rPr>
                <w:rFonts w:ascii="Times New Roman" w:hAnsi="Times New Roman"/>
                <w:kern w:val="0"/>
                <w:szCs w:val="21"/>
              </w:rPr>
              <w:t>：评定化学药物质量的原则和药品的质量标准，药物化学的发展及本课程的任务。</w:t>
            </w:r>
          </w:p>
          <w:p>
            <w:pPr>
              <w:autoSpaceDE w:val="0"/>
              <w:autoSpaceDN w:val="0"/>
              <w:adjustRightInd w:val="0"/>
              <w:rPr>
                <w:rFonts w:ascii="Times New Roman" w:hAnsi="Times New Roman"/>
                <w:kern w:val="0"/>
                <w:szCs w:val="21"/>
              </w:rPr>
            </w:pPr>
          </w:p>
          <w:p>
            <w:pPr>
              <w:rPr>
                <w:rFonts w:ascii="Times New Roman" w:hAnsi="Times New Roman"/>
                <w:kern w:val="0"/>
                <w:szCs w:val="21"/>
              </w:rPr>
            </w:pPr>
          </w:p>
        </w:tc>
        <w:tc>
          <w:tcPr>
            <w:tcW w:w="1134" w:type="dxa"/>
            <w:noWrap w:val="0"/>
            <w:vAlign w:val="center"/>
          </w:tcPr>
          <w:p>
            <w:pPr>
              <w:autoSpaceDE w:val="0"/>
              <w:autoSpaceDN w:val="0"/>
              <w:adjustRightInd w:val="0"/>
              <w:rPr>
                <w:rFonts w:ascii="Times New Roman" w:hAnsi="Times New Roman"/>
                <w:kern w:val="0"/>
                <w:szCs w:val="21"/>
              </w:rPr>
            </w:pPr>
            <w:r>
              <w:rPr>
                <w:rFonts w:ascii="Times New Roman" w:hAnsi="Times New Roman"/>
                <w:kern w:val="0"/>
                <w:szCs w:val="21"/>
              </w:rPr>
              <w:t>培养学生具备用药安全意识。</w:t>
            </w:r>
          </w:p>
        </w:tc>
        <w:tc>
          <w:tcPr>
            <w:tcW w:w="2028" w:type="dxa"/>
            <w:noWrap w:val="0"/>
            <w:vAlign w:val="center"/>
          </w:tcPr>
          <w:p>
            <w:pPr>
              <w:autoSpaceDE w:val="0"/>
              <w:autoSpaceDN w:val="0"/>
              <w:adjustRightInd w:val="0"/>
              <w:rPr>
                <w:rFonts w:ascii="Times New Roman" w:hAnsi="Times New Roman"/>
                <w:kern w:val="0"/>
                <w:szCs w:val="21"/>
              </w:rPr>
            </w:pPr>
            <w:r>
              <w:rPr>
                <w:rFonts w:ascii="Times New Roman" w:hAnsi="Times New Roman"/>
                <w:kern w:val="0"/>
                <w:szCs w:val="21"/>
              </w:rPr>
              <w:t>能够了解评定化学药物质量的原则和药品的质量标准，物化学的发展及本课程的任务。</w:t>
            </w:r>
          </w:p>
          <w:p>
            <w:pPr>
              <w:spacing w:line="400" w:lineRule="exact"/>
              <w:rPr>
                <w:rFonts w:ascii="Times New Roman" w:hAnsi="Times New Roman"/>
                <w:kern w:val="0"/>
                <w:szCs w:val="21"/>
              </w:rPr>
            </w:pPr>
          </w:p>
        </w:tc>
        <w:tc>
          <w:tcPr>
            <w:tcW w:w="699" w:type="dxa"/>
            <w:noWrap w:val="0"/>
            <w:vAlign w:val="center"/>
          </w:tcPr>
          <w:p>
            <w:pPr>
              <w:spacing w:line="312" w:lineRule="auto"/>
              <w:jc w:val="center"/>
              <w:rPr>
                <w:rFonts w:ascii="Times New Roman" w:hAnsi="Times New Roman"/>
                <w:szCs w:val="21"/>
              </w:rPr>
            </w:pPr>
            <w:r>
              <w:rPr>
                <w:rFonts w:ascii="Times New Roman" w:hAnsi="Times New Roman"/>
                <w:szCs w:val="21"/>
              </w:rPr>
              <w:t>2（讲授）</w:t>
            </w:r>
          </w:p>
        </w:tc>
        <w:tc>
          <w:tcPr>
            <w:tcW w:w="975" w:type="dxa"/>
            <w:noWrap w:val="0"/>
            <w:vAlign w:val="center"/>
          </w:tcPr>
          <w:p>
            <w:pPr>
              <w:rPr>
                <w:rFonts w:ascii="Times New Roman" w:hAnsi="Times New Roman"/>
                <w:szCs w:val="21"/>
              </w:rPr>
            </w:pPr>
            <w:r>
              <w:rPr>
                <w:rFonts w:ascii="Times New Roman" w:hAnsi="Times New Roman"/>
                <w:szCs w:val="21"/>
              </w:rPr>
              <w:t>讲授/讨论/实例教学等</w:t>
            </w:r>
          </w:p>
        </w:tc>
        <w:tc>
          <w:tcPr>
            <w:tcW w:w="925" w:type="dxa"/>
            <w:noWrap w:val="0"/>
            <w:vAlign w:val="center"/>
          </w:tcPr>
          <w:p>
            <w:pPr>
              <w:jc w:val="center"/>
              <w:rPr>
                <w:rFonts w:ascii="Times New Roman" w:hAnsi="Times New Roman"/>
                <w:szCs w:val="21"/>
              </w:rPr>
            </w:pPr>
            <w:r>
              <w:rPr>
                <w:rFonts w:ascii="Times New Roman" w:hAnsi="Times New Roman"/>
                <w:b/>
                <w:kern w:val="0"/>
                <w:szCs w:val="21"/>
              </w:rPr>
              <w:t>目标12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ascii="Times New Roman" w:hAnsi="Times New Roman"/>
                <w:szCs w:val="21"/>
              </w:rPr>
            </w:pPr>
            <w:r>
              <w:rPr>
                <w:rFonts w:ascii="Times New Roman" w:hAnsi="Times New Roman"/>
                <w:szCs w:val="21"/>
              </w:rPr>
              <w:t>2</w:t>
            </w:r>
          </w:p>
        </w:tc>
        <w:tc>
          <w:tcPr>
            <w:tcW w:w="2632" w:type="dxa"/>
            <w:noWrap w:val="0"/>
            <w:vAlign w:val="center"/>
          </w:tcPr>
          <w:p>
            <w:pPr>
              <w:rPr>
                <w:rFonts w:ascii="Times New Roman" w:hAnsi="Times New Roman"/>
                <w:bCs/>
                <w:kern w:val="0"/>
                <w:szCs w:val="21"/>
              </w:rPr>
            </w:pPr>
            <w:r>
              <w:rPr>
                <w:rFonts w:ascii="Times New Roman" w:hAnsi="Times New Roman"/>
                <w:b/>
                <w:kern w:val="0"/>
                <w:szCs w:val="21"/>
              </w:rPr>
              <w:t>药物的转运代谢与药效的关系：</w:t>
            </w:r>
            <w:r>
              <w:rPr>
                <w:rFonts w:ascii="Times New Roman" w:hAnsi="Times New Roman"/>
                <w:bCs/>
                <w:kern w:val="0"/>
                <w:szCs w:val="21"/>
              </w:rPr>
              <w:t>药物在体内的转运过程；药物在吸收、分布、代谢、组织结合以及在作用部位产生作用，对药效的影响。</w:t>
            </w:r>
          </w:p>
          <w:p>
            <w:pPr>
              <w:rPr>
                <w:rFonts w:ascii="Times New Roman" w:hAnsi="Times New Roman"/>
                <w:kern w:val="0"/>
                <w:szCs w:val="21"/>
              </w:rPr>
            </w:pPr>
            <w:r>
              <w:rPr>
                <w:rFonts w:ascii="Times New Roman" w:hAnsi="Times New Roman"/>
                <w:b/>
                <w:kern w:val="0"/>
                <w:szCs w:val="21"/>
              </w:rPr>
              <w:t>重点和难点：</w:t>
            </w:r>
            <w:r>
              <w:rPr>
                <w:rFonts w:ascii="Times New Roman" w:hAnsi="Times New Roman"/>
                <w:bCs/>
                <w:kern w:val="0"/>
                <w:szCs w:val="21"/>
              </w:rPr>
              <w:t>药物在吸收、分布、代谢、组织结合；药物在吸收、分布、代谢、组织结合以及在作用部位产生作用对药效的影响</w:t>
            </w:r>
          </w:p>
        </w:tc>
        <w:tc>
          <w:tcPr>
            <w:tcW w:w="1134" w:type="dxa"/>
            <w:noWrap w:val="0"/>
            <w:vAlign w:val="center"/>
          </w:tcPr>
          <w:p>
            <w:pPr>
              <w:rPr>
                <w:rFonts w:ascii="Times New Roman" w:hAnsi="Times New Roman"/>
                <w:szCs w:val="21"/>
              </w:rPr>
            </w:pPr>
            <w:r>
              <w:rPr>
                <w:rFonts w:ascii="Times New Roman" w:hAnsi="Times New Roman"/>
                <w:szCs w:val="21"/>
              </w:rPr>
              <w:t>了解药物作用方式的重要性，培养学生具备敬业精神。</w:t>
            </w:r>
          </w:p>
        </w:tc>
        <w:tc>
          <w:tcPr>
            <w:tcW w:w="2028" w:type="dxa"/>
            <w:noWrap w:val="0"/>
            <w:vAlign w:val="center"/>
          </w:tcPr>
          <w:p>
            <w:pPr>
              <w:rPr>
                <w:rFonts w:ascii="Times New Roman" w:hAnsi="Times New Roman"/>
                <w:szCs w:val="21"/>
              </w:rPr>
            </w:pPr>
            <w:r>
              <w:rPr>
                <w:rFonts w:ascii="Times New Roman" w:hAnsi="Times New Roman"/>
                <w:kern w:val="0"/>
                <w:szCs w:val="21"/>
              </w:rPr>
              <w:t>能够理解药物在吸收、分布、代谢、组织结合以及在作用部位产生作用；药物在吸收、分布、代谢、组织结合以及在作用部位产生作用，对药效的影响</w:t>
            </w:r>
          </w:p>
        </w:tc>
        <w:tc>
          <w:tcPr>
            <w:tcW w:w="699" w:type="dxa"/>
            <w:noWrap w:val="0"/>
            <w:vAlign w:val="center"/>
          </w:tcPr>
          <w:p>
            <w:pPr>
              <w:spacing w:line="312" w:lineRule="auto"/>
              <w:jc w:val="center"/>
              <w:rPr>
                <w:rFonts w:ascii="Times New Roman" w:hAnsi="Times New Roman"/>
                <w:szCs w:val="21"/>
              </w:rPr>
            </w:pPr>
            <w:r>
              <w:rPr>
                <w:rFonts w:ascii="Times New Roman" w:hAnsi="Times New Roman"/>
                <w:szCs w:val="21"/>
              </w:rPr>
              <w:t>4（讲授）</w:t>
            </w:r>
          </w:p>
        </w:tc>
        <w:tc>
          <w:tcPr>
            <w:tcW w:w="975" w:type="dxa"/>
            <w:noWrap w:val="0"/>
            <w:vAlign w:val="center"/>
          </w:tcPr>
          <w:p>
            <w:pPr>
              <w:rPr>
                <w:rFonts w:ascii="Times New Roman" w:hAnsi="Times New Roman"/>
                <w:szCs w:val="21"/>
              </w:rPr>
            </w:pPr>
            <w:r>
              <w:rPr>
                <w:rFonts w:ascii="Times New Roman" w:hAnsi="Times New Roman"/>
                <w:szCs w:val="21"/>
              </w:rPr>
              <w:t>讲授/讨论/实例教学等</w:t>
            </w:r>
          </w:p>
        </w:tc>
        <w:tc>
          <w:tcPr>
            <w:tcW w:w="925" w:type="dxa"/>
            <w:noWrap w:val="0"/>
            <w:vAlign w:val="center"/>
          </w:tcPr>
          <w:p>
            <w:pPr>
              <w:jc w:val="center"/>
              <w:rPr>
                <w:rFonts w:ascii="Times New Roman" w:hAnsi="Times New Roman"/>
                <w:kern w:val="0"/>
                <w:szCs w:val="21"/>
              </w:rPr>
            </w:pPr>
            <w:r>
              <w:rPr>
                <w:rFonts w:ascii="Times New Roman" w:hAnsi="Times New Roman"/>
                <w:b/>
                <w:kern w:val="0"/>
                <w:szCs w:val="21"/>
              </w:rPr>
              <w:t>目标1</w:t>
            </w:r>
          </w:p>
          <w:p>
            <w:pPr>
              <w:jc w:val="center"/>
              <w:rPr>
                <w:rFonts w:ascii="Times New Roman" w:hAnsi="Times New Roman"/>
                <w:szCs w:val="21"/>
              </w:rPr>
            </w:pPr>
            <w:r>
              <w:rPr>
                <w:rFonts w:ascii="Times New Roman" w:hAnsi="Times New Roman"/>
                <w:b/>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ascii="Times New Roman" w:hAnsi="Times New Roman"/>
                <w:szCs w:val="21"/>
              </w:rPr>
            </w:pPr>
            <w:r>
              <w:rPr>
                <w:rFonts w:ascii="Times New Roman" w:hAnsi="Times New Roman"/>
                <w:szCs w:val="21"/>
              </w:rPr>
              <w:t>3</w:t>
            </w:r>
          </w:p>
        </w:tc>
        <w:tc>
          <w:tcPr>
            <w:tcW w:w="2632" w:type="dxa"/>
            <w:noWrap w:val="0"/>
            <w:vAlign w:val="center"/>
          </w:tcPr>
          <w:p>
            <w:pPr>
              <w:rPr>
                <w:rFonts w:ascii="Times New Roman" w:hAnsi="Times New Roman"/>
                <w:b/>
                <w:kern w:val="0"/>
                <w:szCs w:val="21"/>
              </w:rPr>
            </w:pPr>
            <w:r>
              <w:rPr>
                <w:rFonts w:ascii="Times New Roman" w:hAnsi="Times New Roman"/>
                <w:b/>
                <w:kern w:val="0"/>
                <w:szCs w:val="21"/>
              </w:rPr>
              <w:t>中枢神经系统药物：</w:t>
            </w:r>
            <w:r>
              <w:rPr>
                <w:rFonts w:ascii="Times New Roman" w:hAnsi="Times New Roman"/>
                <w:bCs/>
                <w:kern w:val="0"/>
                <w:szCs w:val="21"/>
              </w:rPr>
              <w:t>合成镇痛药的结构和类型，掌握盐酸吗啡、盐酸美沙酮的结构、化学名称、理化性质及用途</w:t>
            </w:r>
          </w:p>
          <w:p>
            <w:pPr>
              <w:rPr>
                <w:rFonts w:ascii="Times New Roman" w:hAnsi="Times New Roman"/>
                <w:kern w:val="0"/>
                <w:szCs w:val="21"/>
              </w:rPr>
            </w:pPr>
            <w:r>
              <w:rPr>
                <w:rFonts w:ascii="Times New Roman" w:hAnsi="Times New Roman"/>
                <w:b/>
                <w:kern w:val="0"/>
                <w:szCs w:val="21"/>
              </w:rPr>
              <w:t>重点和难点：</w:t>
            </w:r>
            <w:r>
              <w:rPr>
                <w:rFonts w:ascii="Times New Roman" w:hAnsi="Times New Roman"/>
                <w:bCs/>
                <w:kern w:val="0"/>
                <w:szCs w:val="21"/>
              </w:rPr>
              <w:t>镇痛药的构效关系，镇痛药的发展</w:t>
            </w:r>
          </w:p>
        </w:tc>
        <w:tc>
          <w:tcPr>
            <w:tcW w:w="1134" w:type="dxa"/>
            <w:noWrap w:val="0"/>
            <w:vAlign w:val="center"/>
          </w:tcPr>
          <w:p>
            <w:pPr>
              <w:rPr>
                <w:rFonts w:ascii="Times New Roman" w:hAnsi="Times New Roman"/>
                <w:szCs w:val="21"/>
              </w:rPr>
            </w:pPr>
            <w:r>
              <w:rPr>
                <w:rFonts w:ascii="Times New Roman" w:hAnsi="Times New Roman"/>
                <w:szCs w:val="21"/>
              </w:rPr>
              <w:t>了解合成镇痛药的类型性质与用途，培养学生具备职业道德和敬业精神。</w:t>
            </w:r>
          </w:p>
        </w:tc>
        <w:tc>
          <w:tcPr>
            <w:tcW w:w="2028" w:type="dxa"/>
            <w:noWrap w:val="0"/>
            <w:vAlign w:val="center"/>
          </w:tcPr>
          <w:p>
            <w:pPr>
              <w:ind w:firstLine="420" w:firstLineChars="200"/>
              <w:rPr>
                <w:rFonts w:ascii="Times New Roman" w:hAnsi="Times New Roman"/>
                <w:szCs w:val="21"/>
              </w:rPr>
            </w:pPr>
            <w:r>
              <w:rPr>
                <w:rFonts w:ascii="Times New Roman" w:hAnsi="Times New Roman"/>
                <w:kern w:val="0"/>
                <w:szCs w:val="21"/>
              </w:rPr>
              <w:t>能够了解合成镇痛药的结构和类型，掌握盐酸吗啡、盐酸美沙酮的结构、化学名称、理化性质及用途，掌握镇痛药的构效关系</w:t>
            </w:r>
          </w:p>
        </w:tc>
        <w:tc>
          <w:tcPr>
            <w:tcW w:w="699" w:type="dxa"/>
            <w:noWrap w:val="0"/>
            <w:vAlign w:val="center"/>
          </w:tcPr>
          <w:p>
            <w:pPr>
              <w:spacing w:line="312" w:lineRule="auto"/>
              <w:jc w:val="center"/>
              <w:rPr>
                <w:rFonts w:ascii="Times New Roman" w:hAnsi="Times New Roman"/>
                <w:szCs w:val="21"/>
              </w:rPr>
            </w:pPr>
            <w:r>
              <w:rPr>
                <w:rFonts w:ascii="Times New Roman" w:hAnsi="Times New Roman"/>
                <w:szCs w:val="21"/>
              </w:rPr>
              <w:t>4（讲授）、</w:t>
            </w:r>
          </w:p>
        </w:tc>
        <w:tc>
          <w:tcPr>
            <w:tcW w:w="975" w:type="dxa"/>
            <w:noWrap w:val="0"/>
            <w:vAlign w:val="center"/>
          </w:tcPr>
          <w:p>
            <w:pPr>
              <w:rPr>
                <w:rFonts w:ascii="Times New Roman" w:hAnsi="Times New Roman"/>
                <w:szCs w:val="21"/>
              </w:rPr>
            </w:pPr>
            <w:r>
              <w:rPr>
                <w:rFonts w:ascii="Times New Roman" w:hAnsi="Times New Roman"/>
                <w:szCs w:val="21"/>
              </w:rPr>
              <w:t>讲授/实验/讨论/等</w:t>
            </w:r>
          </w:p>
        </w:tc>
        <w:tc>
          <w:tcPr>
            <w:tcW w:w="925" w:type="dxa"/>
            <w:noWrap w:val="0"/>
            <w:vAlign w:val="center"/>
          </w:tcPr>
          <w:p>
            <w:pPr>
              <w:jc w:val="center"/>
              <w:rPr>
                <w:rFonts w:ascii="Times New Roman" w:hAnsi="Times New Roman"/>
                <w:kern w:val="0"/>
                <w:szCs w:val="21"/>
              </w:rPr>
            </w:pPr>
            <w:r>
              <w:rPr>
                <w:rFonts w:ascii="Times New Roman" w:hAnsi="Times New Roman"/>
                <w:b/>
                <w:kern w:val="0"/>
                <w:szCs w:val="21"/>
              </w:rPr>
              <w:t>目标1</w:t>
            </w:r>
          </w:p>
          <w:p>
            <w:pPr>
              <w:jc w:val="center"/>
              <w:rPr>
                <w:rFonts w:ascii="Times New Roman" w:hAnsi="Times New Roman"/>
                <w:szCs w:val="21"/>
              </w:rPr>
            </w:pPr>
            <w:r>
              <w:rPr>
                <w:rFonts w:ascii="Times New Roman" w:hAnsi="Times New Roman"/>
                <w:b/>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ascii="Times New Roman" w:hAnsi="Times New Roman"/>
                <w:szCs w:val="21"/>
              </w:rPr>
            </w:pPr>
            <w:r>
              <w:rPr>
                <w:rFonts w:ascii="Times New Roman" w:hAnsi="Times New Roman"/>
                <w:szCs w:val="21"/>
              </w:rPr>
              <w:t>4</w:t>
            </w:r>
          </w:p>
        </w:tc>
        <w:tc>
          <w:tcPr>
            <w:tcW w:w="2632" w:type="dxa"/>
            <w:noWrap w:val="0"/>
            <w:vAlign w:val="center"/>
          </w:tcPr>
          <w:p>
            <w:pPr>
              <w:rPr>
                <w:rFonts w:ascii="Times New Roman" w:hAnsi="Times New Roman"/>
                <w:kern w:val="0"/>
                <w:szCs w:val="21"/>
              </w:rPr>
            </w:pPr>
            <w:r>
              <w:rPr>
                <w:rFonts w:ascii="Times New Roman" w:hAnsi="Times New Roman"/>
                <w:kern w:val="0"/>
                <w:szCs w:val="21"/>
              </w:rPr>
              <w:t> </w:t>
            </w:r>
            <w:r>
              <w:rPr>
                <w:rFonts w:ascii="Times New Roman" w:hAnsi="Times New Roman"/>
                <w:b/>
                <w:bCs/>
                <w:kern w:val="0"/>
                <w:szCs w:val="21"/>
              </w:rPr>
              <w:t>外周神经系统用药：</w:t>
            </w:r>
            <w:r>
              <w:rPr>
                <w:rFonts w:ascii="Times New Roman" w:hAnsi="Times New Roman"/>
                <w:kern w:val="0"/>
                <w:szCs w:val="21"/>
              </w:rPr>
              <w:t>盐酸麻黄碱的结构、化学名称、理化性质及用途；肾上腺素的结构、化学名称、理化性质及用途；拟肾上腺素药的构效关系及发展。</w:t>
            </w:r>
          </w:p>
          <w:p>
            <w:pPr>
              <w:rPr>
                <w:rFonts w:ascii="Times New Roman" w:hAnsi="Times New Roman"/>
                <w:kern w:val="0"/>
                <w:szCs w:val="21"/>
              </w:rPr>
            </w:pPr>
            <w:r>
              <w:rPr>
                <w:rFonts w:ascii="Times New Roman" w:hAnsi="Times New Roman"/>
                <w:b/>
                <w:kern w:val="0"/>
                <w:szCs w:val="21"/>
              </w:rPr>
              <w:t>重点和难点：</w:t>
            </w:r>
            <w:r>
              <w:rPr>
                <w:rFonts w:ascii="Times New Roman" w:hAnsi="Times New Roman"/>
                <w:kern w:val="0"/>
                <w:szCs w:val="21"/>
              </w:rPr>
              <w:t>盐酸麻黄碱的结构、化学名称、理化性质及用途；肾上腺素的用途。</w:t>
            </w:r>
          </w:p>
        </w:tc>
        <w:tc>
          <w:tcPr>
            <w:tcW w:w="1134" w:type="dxa"/>
            <w:noWrap w:val="0"/>
            <w:vAlign w:val="center"/>
          </w:tcPr>
          <w:p>
            <w:pPr>
              <w:autoSpaceDE w:val="0"/>
              <w:autoSpaceDN w:val="0"/>
              <w:adjustRightInd w:val="0"/>
              <w:rPr>
                <w:rFonts w:ascii="Times New Roman" w:hAnsi="Times New Roman"/>
                <w:szCs w:val="21"/>
              </w:rPr>
            </w:pPr>
            <w:r>
              <w:rPr>
                <w:rFonts w:ascii="Times New Roman" w:hAnsi="Times New Roman"/>
                <w:szCs w:val="21"/>
              </w:rPr>
              <w:t>正确使用神经系统药物，培养学生具备职业道德和敬业精神。</w:t>
            </w:r>
          </w:p>
        </w:tc>
        <w:tc>
          <w:tcPr>
            <w:tcW w:w="2028" w:type="dxa"/>
            <w:noWrap w:val="0"/>
            <w:vAlign w:val="center"/>
          </w:tcPr>
          <w:p>
            <w:pPr>
              <w:autoSpaceDE w:val="0"/>
              <w:autoSpaceDN w:val="0"/>
              <w:adjustRightInd w:val="0"/>
              <w:rPr>
                <w:rFonts w:ascii="Times New Roman" w:hAnsi="Times New Roman"/>
                <w:kern w:val="0"/>
                <w:szCs w:val="21"/>
              </w:rPr>
            </w:pPr>
            <w:r>
              <w:rPr>
                <w:rFonts w:ascii="Times New Roman" w:hAnsi="Times New Roman"/>
                <w:kern w:val="0"/>
                <w:szCs w:val="21"/>
              </w:rPr>
              <w:t>能够掌握盐酸麻黄碱的结构、化学名称、理化性质及用途，掌握肾上腺素的结构、化学名称、理化性质及用途。</w:t>
            </w:r>
          </w:p>
          <w:p>
            <w:pPr>
              <w:autoSpaceDE w:val="0"/>
              <w:autoSpaceDN w:val="0"/>
              <w:adjustRightInd w:val="0"/>
              <w:rPr>
                <w:rFonts w:ascii="Times New Roman" w:hAnsi="Times New Roman"/>
                <w:szCs w:val="21"/>
              </w:rPr>
            </w:pPr>
          </w:p>
        </w:tc>
        <w:tc>
          <w:tcPr>
            <w:tcW w:w="699" w:type="dxa"/>
            <w:noWrap w:val="0"/>
            <w:vAlign w:val="center"/>
          </w:tcPr>
          <w:p>
            <w:pPr>
              <w:spacing w:line="312" w:lineRule="auto"/>
              <w:jc w:val="center"/>
              <w:rPr>
                <w:rFonts w:ascii="Times New Roman" w:hAnsi="Times New Roman"/>
                <w:szCs w:val="21"/>
              </w:rPr>
            </w:pPr>
            <w:r>
              <w:rPr>
                <w:rFonts w:ascii="Times New Roman" w:hAnsi="Times New Roman"/>
                <w:szCs w:val="21"/>
              </w:rPr>
              <w:t>4（讲授）、</w:t>
            </w:r>
          </w:p>
        </w:tc>
        <w:tc>
          <w:tcPr>
            <w:tcW w:w="975" w:type="dxa"/>
            <w:noWrap w:val="0"/>
            <w:vAlign w:val="center"/>
          </w:tcPr>
          <w:p>
            <w:pPr>
              <w:rPr>
                <w:rFonts w:ascii="Times New Roman" w:hAnsi="Times New Roman"/>
                <w:szCs w:val="21"/>
              </w:rPr>
            </w:pPr>
            <w:r>
              <w:rPr>
                <w:rFonts w:ascii="Times New Roman" w:hAnsi="Times New Roman"/>
                <w:szCs w:val="21"/>
              </w:rPr>
              <w:t>讲授/实验/讨论/等</w:t>
            </w:r>
          </w:p>
        </w:tc>
        <w:tc>
          <w:tcPr>
            <w:tcW w:w="925" w:type="dxa"/>
            <w:noWrap w:val="0"/>
            <w:vAlign w:val="center"/>
          </w:tcPr>
          <w:p>
            <w:pPr>
              <w:jc w:val="center"/>
              <w:rPr>
                <w:rFonts w:ascii="Times New Roman" w:hAnsi="Times New Roman"/>
                <w:kern w:val="0"/>
                <w:szCs w:val="21"/>
              </w:rPr>
            </w:pPr>
            <w:r>
              <w:rPr>
                <w:rFonts w:ascii="Times New Roman" w:hAnsi="Times New Roman"/>
                <w:b/>
                <w:kern w:val="0"/>
                <w:szCs w:val="21"/>
              </w:rPr>
              <w:t>目标1</w:t>
            </w:r>
          </w:p>
          <w:p>
            <w:pPr>
              <w:jc w:val="center"/>
              <w:rPr>
                <w:rFonts w:ascii="Times New Roman" w:hAnsi="Times New Roman"/>
                <w:szCs w:val="21"/>
              </w:rPr>
            </w:pPr>
            <w:r>
              <w:rPr>
                <w:rFonts w:ascii="Times New Roman" w:hAnsi="Times New Roman"/>
                <w:b/>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ascii="Times New Roman" w:hAnsi="Times New Roman"/>
                <w:szCs w:val="21"/>
              </w:rPr>
            </w:pPr>
            <w:r>
              <w:rPr>
                <w:rFonts w:ascii="Times New Roman" w:hAnsi="Times New Roman"/>
                <w:szCs w:val="21"/>
              </w:rPr>
              <w:t>5</w:t>
            </w:r>
          </w:p>
        </w:tc>
        <w:tc>
          <w:tcPr>
            <w:tcW w:w="2632" w:type="dxa"/>
            <w:noWrap w:val="0"/>
            <w:vAlign w:val="center"/>
          </w:tcPr>
          <w:p>
            <w:pPr>
              <w:rPr>
                <w:rFonts w:ascii="Times New Roman" w:hAnsi="Times New Roman"/>
                <w:b/>
                <w:kern w:val="0"/>
                <w:szCs w:val="21"/>
              </w:rPr>
            </w:pPr>
            <w:r>
              <w:rPr>
                <w:rFonts w:ascii="Times New Roman" w:hAnsi="Times New Roman"/>
                <w:b/>
                <w:kern w:val="0"/>
                <w:szCs w:val="21"/>
              </w:rPr>
              <w:t>循环系统药物：</w:t>
            </w:r>
            <w:r>
              <w:rPr>
                <w:rFonts w:ascii="Times New Roman" w:hAnsi="Times New Roman"/>
                <w:bCs/>
                <w:kern w:val="0"/>
                <w:szCs w:val="21"/>
              </w:rPr>
              <w:t>掌握β--肾上腺受体阻滞剂、钙拮抗剂、肾素—血管紧张素转化酶抑制剂、羟甲戊二酰辅酶还原酶抑制剂的概念；掌握氯贝丁酯、硝酸甘油、硝苯地平、桂利嗪的结构、化学名称、理化性质及用途；了解各类心血管药物的进展</w:t>
            </w:r>
            <w:r>
              <w:rPr>
                <w:rFonts w:ascii="Times New Roman" w:hAnsi="Times New Roman"/>
                <w:b/>
                <w:kern w:val="0"/>
                <w:szCs w:val="21"/>
              </w:rPr>
              <w:t>。</w:t>
            </w:r>
          </w:p>
          <w:p>
            <w:pPr>
              <w:rPr>
                <w:rFonts w:ascii="Times New Roman" w:hAnsi="Times New Roman"/>
                <w:kern w:val="0"/>
                <w:szCs w:val="21"/>
              </w:rPr>
            </w:pPr>
            <w:r>
              <w:rPr>
                <w:rFonts w:ascii="Times New Roman" w:hAnsi="Times New Roman"/>
                <w:b/>
                <w:kern w:val="0"/>
                <w:szCs w:val="21"/>
              </w:rPr>
              <w:t>重点和难点：</w:t>
            </w:r>
            <w:r>
              <w:rPr>
                <w:rFonts w:ascii="Times New Roman" w:hAnsi="Times New Roman"/>
                <w:bCs/>
                <w:kern w:val="0"/>
                <w:szCs w:val="21"/>
              </w:rPr>
              <w:t>氯贝丁酯、硝酸甘油、硝苯地平、桂利嗪的结构；羟甲戊二酰辅酶还原酶抑制剂的设计理念。</w:t>
            </w:r>
          </w:p>
        </w:tc>
        <w:tc>
          <w:tcPr>
            <w:tcW w:w="1134" w:type="dxa"/>
            <w:noWrap w:val="0"/>
            <w:vAlign w:val="center"/>
          </w:tcPr>
          <w:p>
            <w:pPr>
              <w:rPr>
                <w:rFonts w:ascii="Times New Roman" w:hAnsi="Times New Roman"/>
                <w:szCs w:val="21"/>
              </w:rPr>
            </w:pPr>
            <w:r>
              <w:rPr>
                <w:rFonts w:ascii="Times New Roman" w:hAnsi="Times New Roman"/>
                <w:szCs w:val="21"/>
              </w:rPr>
              <w:t>掌握循环系统药物的作用，培养学生具备职业道德和敬业精神。</w:t>
            </w:r>
          </w:p>
        </w:tc>
        <w:tc>
          <w:tcPr>
            <w:tcW w:w="2028" w:type="dxa"/>
            <w:noWrap w:val="0"/>
            <w:vAlign w:val="center"/>
          </w:tcPr>
          <w:p>
            <w:pPr>
              <w:rPr>
                <w:rFonts w:ascii="Times New Roman" w:hAnsi="Times New Roman"/>
                <w:szCs w:val="21"/>
              </w:rPr>
            </w:pPr>
            <w:r>
              <w:rPr>
                <w:rFonts w:ascii="Times New Roman" w:hAnsi="Times New Roman"/>
                <w:szCs w:val="21"/>
              </w:rPr>
              <w:t>掌握β--肾上腺受体阻滞剂、钙拮抗剂、肾素—血管紧张素转化酶抑制剂、羟甲戊二酰辅酶还原酶抑制剂的概念；掌握氯贝丁酯、硝酸甘油、硝苯地平、桂利嗪的结构、化学名称、理化性质及用途。</w:t>
            </w:r>
          </w:p>
        </w:tc>
        <w:tc>
          <w:tcPr>
            <w:tcW w:w="699" w:type="dxa"/>
            <w:noWrap w:val="0"/>
            <w:vAlign w:val="center"/>
          </w:tcPr>
          <w:p>
            <w:pPr>
              <w:spacing w:line="312" w:lineRule="auto"/>
              <w:jc w:val="center"/>
              <w:rPr>
                <w:rFonts w:ascii="Times New Roman" w:hAnsi="Times New Roman"/>
                <w:szCs w:val="21"/>
              </w:rPr>
            </w:pPr>
            <w:r>
              <w:rPr>
                <w:rFonts w:ascii="Times New Roman" w:hAnsi="Times New Roman"/>
                <w:szCs w:val="21"/>
              </w:rPr>
              <w:t>4（讲授）、</w:t>
            </w:r>
          </w:p>
        </w:tc>
        <w:tc>
          <w:tcPr>
            <w:tcW w:w="975" w:type="dxa"/>
            <w:noWrap w:val="0"/>
            <w:vAlign w:val="center"/>
          </w:tcPr>
          <w:p>
            <w:pPr>
              <w:rPr>
                <w:rFonts w:ascii="Times New Roman" w:hAnsi="Times New Roman"/>
                <w:szCs w:val="21"/>
              </w:rPr>
            </w:pPr>
            <w:r>
              <w:rPr>
                <w:rFonts w:ascii="Times New Roman" w:hAnsi="Times New Roman"/>
                <w:szCs w:val="21"/>
              </w:rPr>
              <w:t>讲授/实验/讨论/等</w:t>
            </w:r>
          </w:p>
        </w:tc>
        <w:tc>
          <w:tcPr>
            <w:tcW w:w="925" w:type="dxa"/>
            <w:noWrap w:val="0"/>
            <w:vAlign w:val="center"/>
          </w:tcPr>
          <w:p>
            <w:pPr>
              <w:jc w:val="center"/>
              <w:rPr>
                <w:rFonts w:ascii="Times New Roman" w:hAnsi="Times New Roman"/>
                <w:kern w:val="0"/>
                <w:szCs w:val="21"/>
              </w:rPr>
            </w:pPr>
            <w:r>
              <w:rPr>
                <w:rFonts w:ascii="Times New Roman" w:hAnsi="Times New Roman"/>
                <w:b/>
                <w:kern w:val="0"/>
                <w:szCs w:val="21"/>
              </w:rPr>
              <w:t>目标1</w:t>
            </w:r>
          </w:p>
          <w:p>
            <w:pPr>
              <w:jc w:val="center"/>
              <w:rPr>
                <w:rFonts w:ascii="Times New Roman" w:hAnsi="Times New Roman"/>
                <w:szCs w:val="21"/>
              </w:rPr>
            </w:pPr>
            <w:r>
              <w:rPr>
                <w:rFonts w:ascii="Times New Roman" w:hAnsi="Times New Roman"/>
                <w:b/>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ascii="Times New Roman" w:hAnsi="Times New Roman"/>
                <w:szCs w:val="21"/>
              </w:rPr>
            </w:pPr>
            <w:r>
              <w:rPr>
                <w:rFonts w:ascii="Times New Roman" w:hAnsi="Times New Roman"/>
                <w:szCs w:val="21"/>
              </w:rPr>
              <w:t>6</w:t>
            </w:r>
          </w:p>
        </w:tc>
        <w:tc>
          <w:tcPr>
            <w:tcW w:w="2632" w:type="dxa"/>
            <w:noWrap w:val="0"/>
            <w:vAlign w:val="center"/>
          </w:tcPr>
          <w:p>
            <w:pPr>
              <w:rPr>
                <w:rFonts w:ascii="Times New Roman" w:hAnsi="Times New Roman"/>
                <w:bCs/>
                <w:kern w:val="0"/>
                <w:szCs w:val="21"/>
              </w:rPr>
            </w:pPr>
            <w:r>
              <w:rPr>
                <w:rFonts w:ascii="Times New Roman" w:hAnsi="Times New Roman"/>
                <w:b/>
                <w:kern w:val="0"/>
                <w:szCs w:val="21"/>
              </w:rPr>
              <w:t>消化系统药物：</w:t>
            </w:r>
            <w:r>
              <w:rPr>
                <w:rFonts w:ascii="Times New Roman" w:hAnsi="Times New Roman"/>
                <w:bCs/>
                <w:kern w:val="0"/>
                <w:szCs w:val="21"/>
              </w:rPr>
              <w:t>盐酸雷尼替丁的结构、化学名称、理化性质及用途；西咪替丁的结构、化学名称及用途；止吐、促动力药的类型。</w:t>
            </w:r>
          </w:p>
          <w:p>
            <w:pPr>
              <w:rPr>
                <w:rFonts w:ascii="Times New Roman" w:hAnsi="Times New Roman"/>
                <w:kern w:val="0"/>
                <w:szCs w:val="21"/>
              </w:rPr>
            </w:pPr>
            <w:r>
              <w:rPr>
                <w:rFonts w:ascii="Times New Roman" w:hAnsi="Times New Roman"/>
                <w:b/>
                <w:kern w:val="0"/>
                <w:szCs w:val="21"/>
              </w:rPr>
              <w:t>重点和难点：</w:t>
            </w:r>
            <w:r>
              <w:rPr>
                <w:rFonts w:ascii="Times New Roman" w:hAnsi="Times New Roman"/>
                <w:kern w:val="0"/>
                <w:szCs w:val="21"/>
              </w:rPr>
              <w:t>雷尼替丁的结构；西米替丁化学名称、理化性质及用途。</w:t>
            </w:r>
          </w:p>
        </w:tc>
        <w:tc>
          <w:tcPr>
            <w:tcW w:w="1134" w:type="dxa"/>
            <w:noWrap w:val="0"/>
            <w:vAlign w:val="center"/>
          </w:tcPr>
          <w:p>
            <w:pPr>
              <w:rPr>
                <w:rFonts w:ascii="Times New Roman" w:hAnsi="Times New Roman"/>
                <w:kern w:val="0"/>
                <w:szCs w:val="21"/>
              </w:rPr>
            </w:pPr>
            <w:r>
              <w:rPr>
                <w:rFonts w:ascii="Times New Roman" w:hAnsi="Times New Roman"/>
                <w:szCs w:val="21"/>
              </w:rPr>
              <w:t>了解消化系统药物作用，培养学生具备职业道德和敬业精神。</w:t>
            </w:r>
          </w:p>
        </w:tc>
        <w:tc>
          <w:tcPr>
            <w:tcW w:w="2028" w:type="dxa"/>
            <w:noWrap w:val="0"/>
            <w:vAlign w:val="center"/>
          </w:tcPr>
          <w:p>
            <w:pPr>
              <w:tabs>
                <w:tab w:val="left" w:pos="4000"/>
              </w:tabs>
              <w:ind w:firstLine="420" w:firstLineChars="200"/>
              <w:rPr>
                <w:rFonts w:ascii="Times New Roman" w:hAnsi="Times New Roman"/>
                <w:kern w:val="0"/>
                <w:szCs w:val="21"/>
              </w:rPr>
            </w:pPr>
            <w:r>
              <w:rPr>
                <w:rFonts w:ascii="Times New Roman" w:hAnsi="Times New Roman"/>
                <w:kern w:val="0"/>
                <w:szCs w:val="21"/>
              </w:rPr>
              <w:t>能够掌握盐酸雷尼替丁的结构、化学名称、理化性质及用途；熟悉西咪替丁的结构、化学名称及用途。</w:t>
            </w:r>
          </w:p>
        </w:tc>
        <w:tc>
          <w:tcPr>
            <w:tcW w:w="699" w:type="dxa"/>
            <w:noWrap w:val="0"/>
            <w:vAlign w:val="center"/>
          </w:tcPr>
          <w:p>
            <w:pPr>
              <w:spacing w:line="312" w:lineRule="auto"/>
              <w:jc w:val="center"/>
              <w:rPr>
                <w:rFonts w:ascii="Times New Roman" w:hAnsi="Times New Roman"/>
                <w:szCs w:val="21"/>
              </w:rPr>
            </w:pPr>
            <w:r>
              <w:rPr>
                <w:rFonts w:ascii="Times New Roman" w:hAnsi="Times New Roman"/>
                <w:szCs w:val="21"/>
              </w:rPr>
              <w:t>4（讲授）、</w:t>
            </w:r>
          </w:p>
        </w:tc>
        <w:tc>
          <w:tcPr>
            <w:tcW w:w="975" w:type="dxa"/>
            <w:noWrap w:val="0"/>
            <w:vAlign w:val="center"/>
          </w:tcPr>
          <w:p>
            <w:pPr>
              <w:rPr>
                <w:rFonts w:ascii="Times New Roman" w:hAnsi="Times New Roman"/>
                <w:szCs w:val="21"/>
              </w:rPr>
            </w:pPr>
            <w:r>
              <w:rPr>
                <w:rFonts w:ascii="Times New Roman" w:hAnsi="Times New Roman"/>
                <w:szCs w:val="21"/>
              </w:rPr>
              <w:t>讲授/实验/讨论/等</w:t>
            </w:r>
          </w:p>
        </w:tc>
        <w:tc>
          <w:tcPr>
            <w:tcW w:w="925" w:type="dxa"/>
            <w:noWrap w:val="0"/>
            <w:vAlign w:val="center"/>
          </w:tcPr>
          <w:p>
            <w:pPr>
              <w:jc w:val="center"/>
              <w:rPr>
                <w:rFonts w:ascii="Times New Roman" w:hAnsi="Times New Roman"/>
                <w:kern w:val="0"/>
                <w:szCs w:val="21"/>
              </w:rPr>
            </w:pPr>
            <w:r>
              <w:rPr>
                <w:rFonts w:ascii="Times New Roman" w:hAnsi="Times New Roman"/>
                <w:b/>
                <w:kern w:val="0"/>
                <w:szCs w:val="21"/>
              </w:rPr>
              <w:t>目标1</w:t>
            </w:r>
          </w:p>
          <w:p>
            <w:pPr>
              <w:jc w:val="center"/>
              <w:rPr>
                <w:rFonts w:ascii="Times New Roman" w:hAnsi="Times New Roman"/>
                <w:szCs w:val="21"/>
              </w:rPr>
            </w:pPr>
            <w:r>
              <w:rPr>
                <w:rFonts w:ascii="Times New Roman" w:hAnsi="Times New Roman"/>
                <w:b/>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ascii="Times New Roman" w:hAnsi="Times New Roman"/>
                <w:szCs w:val="21"/>
              </w:rPr>
            </w:pPr>
            <w:r>
              <w:rPr>
                <w:rFonts w:ascii="Times New Roman" w:hAnsi="Times New Roman"/>
                <w:szCs w:val="21"/>
              </w:rPr>
              <w:t>7</w:t>
            </w:r>
          </w:p>
        </w:tc>
        <w:tc>
          <w:tcPr>
            <w:tcW w:w="2632" w:type="dxa"/>
            <w:noWrap w:val="0"/>
            <w:vAlign w:val="center"/>
          </w:tcPr>
          <w:p>
            <w:pPr>
              <w:rPr>
                <w:rFonts w:ascii="Times New Roman" w:hAnsi="Times New Roman"/>
                <w:bCs/>
                <w:kern w:val="0"/>
                <w:szCs w:val="21"/>
              </w:rPr>
            </w:pPr>
            <w:r>
              <w:rPr>
                <w:rFonts w:ascii="Times New Roman" w:hAnsi="Times New Roman"/>
                <w:b/>
                <w:kern w:val="0"/>
                <w:szCs w:val="21"/>
              </w:rPr>
              <w:t>解热镇痛药和非甾体抗炎药</w:t>
            </w:r>
            <w:r>
              <w:rPr>
                <w:rFonts w:ascii="Times New Roman" w:hAnsi="Times New Roman"/>
                <w:bCs/>
                <w:kern w:val="0"/>
                <w:szCs w:val="21"/>
              </w:rPr>
              <w:t>： 解热镇痛药、非甾体抗炎药的结构类型；阿司匹林、布洛芬的结构、化学名称、理化性质及用途；解热镇痛药、非甾体抗炎药的发展</w:t>
            </w:r>
          </w:p>
          <w:p>
            <w:pPr>
              <w:rPr>
                <w:rFonts w:ascii="Times New Roman" w:hAnsi="Times New Roman"/>
                <w:kern w:val="0"/>
                <w:szCs w:val="21"/>
              </w:rPr>
            </w:pPr>
            <w:r>
              <w:rPr>
                <w:rFonts w:ascii="Times New Roman" w:hAnsi="Times New Roman"/>
                <w:b/>
                <w:kern w:val="0"/>
                <w:szCs w:val="21"/>
              </w:rPr>
              <w:t>重点和难点：</w:t>
            </w:r>
            <w:r>
              <w:rPr>
                <w:rFonts w:ascii="Times New Roman" w:hAnsi="Times New Roman"/>
                <w:bCs/>
                <w:kern w:val="0"/>
                <w:szCs w:val="21"/>
              </w:rPr>
              <w:t>布洛芬的结构、化学名称、理化性质及用途；解热镇痛药、非甾体抗炎药的结构类型</w:t>
            </w:r>
            <w:r>
              <w:rPr>
                <w:rFonts w:ascii="Times New Roman" w:hAnsi="Times New Roman"/>
                <w:kern w:val="0"/>
                <w:szCs w:val="21"/>
              </w:rPr>
              <w:t>。</w:t>
            </w:r>
          </w:p>
        </w:tc>
        <w:tc>
          <w:tcPr>
            <w:tcW w:w="1134" w:type="dxa"/>
            <w:noWrap w:val="0"/>
            <w:vAlign w:val="center"/>
          </w:tcPr>
          <w:p>
            <w:pPr>
              <w:rPr>
                <w:rFonts w:ascii="Times New Roman" w:hAnsi="Times New Roman"/>
                <w:kern w:val="0"/>
                <w:szCs w:val="21"/>
              </w:rPr>
            </w:pPr>
            <w:r>
              <w:rPr>
                <w:rFonts w:ascii="Times New Roman" w:hAnsi="Times New Roman"/>
                <w:szCs w:val="21"/>
              </w:rPr>
              <w:t>了解非甾体抗炎药的的重要性，培养学生具备职业道德和敬业精神。</w:t>
            </w:r>
          </w:p>
        </w:tc>
        <w:tc>
          <w:tcPr>
            <w:tcW w:w="2028" w:type="dxa"/>
            <w:noWrap w:val="0"/>
            <w:vAlign w:val="center"/>
          </w:tcPr>
          <w:p>
            <w:pPr>
              <w:rPr>
                <w:rFonts w:ascii="Times New Roman" w:hAnsi="Times New Roman"/>
                <w:kern w:val="0"/>
                <w:szCs w:val="21"/>
              </w:rPr>
            </w:pPr>
            <w:r>
              <w:rPr>
                <w:rFonts w:ascii="Times New Roman" w:hAnsi="Times New Roman"/>
                <w:bCs/>
                <w:kern w:val="0"/>
                <w:szCs w:val="21"/>
              </w:rPr>
              <w:t>掌握解热镇痛药、非甾体抗炎药的结构类型；了解阿司匹林、布洛芬的结构、化学名称、理化性质及用途</w:t>
            </w:r>
          </w:p>
        </w:tc>
        <w:tc>
          <w:tcPr>
            <w:tcW w:w="699" w:type="dxa"/>
            <w:noWrap w:val="0"/>
            <w:vAlign w:val="center"/>
          </w:tcPr>
          <w:p>
            <w:pPr>
              <w:spacing w:line="312" w:lineRule="auto"/>
              <w:jc w:val="center"/>
              <w:rPr>
                <w:rFonts w:ascii="Times New Roman" w:hAnsi="Times New Roman"/>
                <w:szCs w:val="21"/>
              </w:rPr>
            </w:pPr>
            <w:r>
              <w:rPr>
                <w:rFonts w:ascii="Times New Roman" w:hAnsi="Times New Roman"/>
                <w:szCs w:val="21"/>
              </w:rPr>
              <w:t>4（讲授）</w:t>
            </w:r>
          </w:p>
        </w:tc>
        <w:tc>
          <w:tcPr>
            <w:tcW w:w="975" w:type="dxa"/>
            <w:noWrap w:val="0"/>
            <w:vAlign w:val="center"/>
          </w:tcPr>
          <w:p>
            <w:pPr>
              <w:rPr>
                <w:rFonts w:ascii="Times New Roman" w:hAnsi="Times New Roman"/>
                <w:szCs w:val="21"/>
              </w:rPr>
            </w:pPr>
            <w:r>
              <w:rPr>
                <w:rFonts w:ascii="Times New Roman" w:hAnsi="Times New Roman"/>
                <w:szCs w:val="21"/>
              </w:rPr>
              <w:t>讲授/实验/讨论/等</w:t>
            </w:r>
          </w:p>
        </w:tc>
        <w:tc>
          <w:tcPr>
            <w:tcW w:w="925" w:type="dxa"/>
            <w:noWrap w:val="0"/>
            <w:vAlign w:val="center"/>
          </w:tcPr>
          <w:p>
            <w:pPr>
              <w:jc w:val="center"/>
              <w:rPr>
                <w:rFonts w:ascii="Times New Roman" w:hAnsi="Times New Roman"/>
                <w:kern w:val="0"/>
                <w:szCs w:val="21"/>
              </w:rPr>
            </w:pPr>
            <w:r>
              <w:rPr>
                <w:rFonts w:ascii="Times New Roman" w:hAnsi="Times New Roman"/>
                <w:b/>
                <w:kern w:val="0"/>
                <w:szCs w:val="21"/>
              </w:rPr>
              <w:t>目标1</w:t>
            </w:r>
          </w:p>
          <w:p>
            <w:pPr>
              <w:jc w:val="center"/>
              <w:rPr>
                <w:rFonts w:ascii="Times New Roman" w:hAnsi="Times New Roman"/>
                <w:szCs w:val="21"/>
              </w:rPr>
            </w:pPr>
            <w:r>
              <w:rPr>
                <w:rFonts w:ascii="Times New Roman" w:hAnsi="Times New Roman"/>
                <w:b/>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ascii="Times New Roman" w:hAnsi="Times New Roman"/>
                <w:szCs w:val="21"/>
              </w:rPr>
            </w:pPr>
            <w:r>
              <w:rPr>
                <w:rFonts w:ascii="Times New Roman" w:hAnsi="Times New Roman"/>
                <w:szCs w:val="21"/>
              </w:rPr>
              <w:t>8</w:t>
            </w:r>
          </w:p>
        </w:tc>
        <w:tc>
          <w:tcPr>
            <w:tcW w:w="2632" w:type="dxa"/>
            <w:noWrap w:val="0"/>
            <w:vAlign w:val="center"/>
          </w:tcPr>
          <w:p>
            <w:pPr>
              <w:rPr>
                <w:rFonts w:ascii="Times New Roman" w:hAnsi="Times New Roman"/>
                <w:b/>
                <w:kern w:val="0"/>
                <w:szCs w:val="21"/>
              </w:rPr>
            </w:pPr>
            <w:r>
              <w:rPr>
                <w:rFonts w:ascii="Times New Roman" w:hAnsi="Times New Roman"/>
                <w:b/>
                <w:bCs/>
                <w:kern w:val="0"/>
                <w:szCs w:val="21"/>
              </w:rPr>
              <w:t>抗肿瘤药物：</w:t>
            </w:r>
            <w:r>
              <w:rPr>
                <w:rFonts w:ascii="Times New Roman" w:hAnsi="Times New Roman"/>
                <w:kern w:val="0"/>
                <w:szCs w:val="21"/>
              </w:rPr>
              <w:t>抗肿瘤药的类别，掌握氮甲、环磷酰胺、卡莫司汀、白消安、顺铂、氟尿嘧啶、盐酸阿糖胞苷、巯嘌呤、甲氨喋呤的结构、化学名称及用途；抗肿瘤有效成分的用途及抗肿瘤药物的发展。</w:t>
            </w:r>
            <w:r>
              <w:rPr>
                <w:rFonts w:ascii="Times New Roman" w:hAnsi="Times New Roman"/>
                <w:b/>
                <w:kern w:val="0"/>
                <w:szCs w:val="21"/>
              </w:rPr>
              <w:t>重点和难点：</w:t>
            </w:r>
            <w:r>
              <w:rPr>
                <w:rFonts w:ascii="Times New Roman" w:hAnsi="Times New Roman"/>
                <w:kern w:val="0"/>
                <w:szCs w:val="21"/>
              </w:rPr>
              <w:t>氮芥、环磷酰胺、卡莫司汀、白消安、顺铂、氟尿嘧啶、盐酸阿糖胞苷、巯嘌呤、甲氨喋呤的结构；顺铂、氟尿嘧啶、盐酸阿糖胞苷、巯嘌呤的化学名称及用途。</w:t>
            </w:r>
          </w:p>
        </w:tc>
        <w:tc>
          <w:tcPr>
            <w:tcW w:w="1134" w:type="dxa"/>
            <w:noWrap w:val="0"/>
            <w:vAlign w:val="center"/>
          </w:tcPr>
          <w:p>
            <w:pPr>
              <w:autoSpaceDE w:val="0"/>
              <w:autoSpaceDN w:val="0"/>
              <w:adjustRightInd w:val="0"/>
              <w:rPr>
                <w:rFonts w:ascii="Times New Roman" w:hAnsi="Times New Roman"/>
                <w:szCs w:val="21"/>
              </w:rPr>
            </w:pPr>
            <w:r>
              <w:rPr>
                <w:rFonts w:ascii="Times New Roman" w:hAnsi="Times New Roman"/>
                <w:szCs w:val="21"/>
              </w:rPr>
              <w:t>掌握抗肿瘤药物的应用，培养学生具备职业道德和敬业精神。</w:t>
            </w:r>
          </w:p>
        </w:tc>
        <w:tc>
          <w:tcPr>
            <w:tcW w:w="2028" w:type="dxa"/>
            <w:noWrap w:val="0"/>
            <w:vAlign w:val="center"/>
          </w:tcPr>
          <w:p>
            <w:pPr>
              <w:rPr>
                <w:rFonts w:ascii="Times New Roman" w:hAnsi="Times New Roman"/>
                <w:kern w:val="0"/>
                <w:szCs w:val="21"/>
              </w:rPr>
            </w:pPr>
            <w:r>
              <w:rPr>
                <w:rFonts w:ascii="Times New Roman" w:hAnsi="Times New Roman"/>
                <w:kern w:val="0"/>
                <w:szCs w:val="21"/>
              </w:rPr>
              <w:t>掌握抗肿瘤药的类别，掌握氮芥、环磷酰胺、卡莫司汀、白消安、顺铂、氟尿嘧啶、盐酸阿糖胞苷、巯嘌呤、甲氨喋呤的结构、化学名称及用途；了解抗肿瘤有效成分的用途及抗肿瘤药物的发展。</w:t>
            </w:r>
          </w:p>
        </w:tc>
        <w:tc>
          <w:tcPr>
            <w:tcW w:w="699" w:type="dxa"/>
            <w:noWrap w:val="0"/>
            <w:vAlign w:val="center"/>
          </w:tcPr>
          <w:p>
            <w:pPr>
              <w:spacing w:line="312" w:lineRule="auto"/>
              <w:jc w:val="center"/>
              <w:rPr>
                <w:rFonts w:ascii="Times New Roman" w:hAnsi="Times New Roman"/>
                <w:szCs w:val="21"/>
              </w:rPr>
            </w:pPr>
            <w:r>
              <w:rPr>
                <w:rFonts w:ascii="Times New Roman" w:hAnsi="Times New Roman"/>
                <w:szCs w:val="21"/>
              </w:rPr>
              <w:t>4（讲授）</w:t>
            </w:r>
          </w:p>
        </w:tc>
        <w:tc>
          <w:tcPr>
            <w:tcW w:w="975" w:type="dxa"/>
            <w:noWrap w:val="0"/>
            <w:vAlign w:val="center"/>
          </w:tcPr>
          <w:p>
            <w:pPr>
              <w:rPr>
                <w:rFonts w:ascii="Times New Roman" w:hAnsi="Times New Roman"/>
                <w:szCs w:val="21"/>
              </w:rPr>
            </w:pPr>
            <w:r>
              <w:rPr>
                <w:rFonts w:ascii="Times New Roman" w:hAnsi="Times New Roman"/>
                <w:szCs w:val="21"/>
              </w:rPr>
              <w:t>讲授/实验/讨论/等</w:t>
            </w:r>
          </w:p>
        </w:tc>
        <w:tc>
          <w:tcPr>
            <w:tcW w:w="925" w:type="dxa"/>
            <w:noWrap w:val="0"/>
            <w:vAlign w:val="center"/>
          </w:tcPr>
          <w:p>
            <w:pPr>
              <w:jc w:val="center"/>
              <w:rPr>
                <w:rFonts w:ascii="Times New Roman" w:hAnsi="Times New Roman"/>
                <w:kern w:val="0"/>
                <w:szCs w:val="21"/>
              </w:rPr>
            </w:pPr>
            <w:r>
              <w:rPr>
                <w:rFonts w:ascii="Times New Roman" w:hAnsi="Times New Roman"/>
                <w:b/>
                <w:kern w:val="0"/>
                <w:szCs w:val="21"/>
              </w:rPr>
              <w:t>目标1</w:t>
            </w:r>
          </w:p>
          <w:p>
            <w:pPr>
              <w:jc w:val="center"/>
              <w:rPr>
                <w:rFonts w:ascii="Times New Roman" w:hAnsi="Times New Roman"/>
                <w:b/>
                <w:kern w:val="0"/>
                <w:szCs w:val="21"/>
              </w:rPr>
            </w:pPr>
            <w:r>
              <w:rPr>
                <w:rFonts w:ascii="Times New Roman" w:hAnsi="Times New Roman"/>
                <w:b/>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ascii="Times New Roman" w:hAnsi="Times New Roman"/>
                <w:szCs w:val="21"/>
              </w:rPr>
            </w:pPr>
            <w:r>
              <w:rPr>
                <w:rFonts w:ascii="Times New Roman" w:hAnsi="Times New Roman"/>
                <w:szCs w:val="21"/>
              </w:rPr>
              <w:t>9</w:t>
            </w:r>
          </w:p>
        </w:tc>
        <w:tc>
          <w:tcPr>
            <w:tcW w:w="2632" w:type="dxa"/>
            <w:noWrap w:val="0"/>
            <w:vAlign w:val="center"/>
          </w:tcPr>
          <w:p>
            <w:pPr>
              <w:rPr>
                <w:rFonts w:ascii="Times New Roman" w:hAnsi="Times New Roman"/>
                <w:bCs/>
                <w:kern w:val="0"/>
                <w:szCs w:val="21"/>
              </w:rPr>
            </w:pPr>
            <w:r>
              <w:rPr>
                <w:rFonts w:ascii="Times New Roman" w:hAnsi="Times New Roman"/>
                <w:b/>
                <w:kern w:val="0"/>
                <w:szCs w:val="21"/>
              </w:rPr>
              <w:t>抗生素：</w:t>
            </w:r>
            <w:r>
              <w:rPr>
                <w:rFonts w:ascii="Times New Roman" w:hAnsi="Times New Roman"/>
                <w:bCs/>
                <w:kern w:val="0"/>
                <w:szCs w:val="21"/>
              </w:rPr>
              <w:t>青霉素钠（钾）、氨苄西林、阿莫西林、头孢氨苄、头孢羟氨苄、头孢噻吩钠、头孢噻肟钠、哌拉西林、头孢哌酮、红霉素、阿米卡星、氯霉素的结构、化学名称、理化性质及用途，掌握半合成抗生素的发展；克拉维酸、舒巴坦、氨曲南、替莫西林、头孢克罗的结构、化学名称及用途,熟悉β—内酰胺抗生素的构效关系；四环素类、氨基糖苷类、大环内酯类药物的发展</w:t>
            </w:r>
          </w:p>
          <w:p>
            <w:pPr>
              <w:rPr>
                <w:rFonts w:ascii="Times New Roman" w:hAnsi="Times New Roman"/>
                <w:kern w:val="0"/>
                <w:szCs w:val="21"/>
              </w:rPr>
            </w:pPr>
            <w:r>
              <w:rPr>
                <w:rFonts w:ascii="Times New Roman" w:hAnsi="Times New Roman"/>
                <w:b/>
                <w:kern w:val="0"/>
                <w:szCs w:val="21"/>
              </w:rPr>
              <w:t>重点和难点：</w:t>
            </w:r>
            <w:r>
              <w:rPr>
                <w:rFonts w:ascii="Times New Roman" w:hAnsi="Times New Roman"/>
                <w:bCs/>
                <w:kern w:val="0"/>
                <w:szCs w:val="21"/>
              </w:rPr>
              <w:t>系列抗生素的结构及其特点；β—内酰胺抗生素的构效关系。</w:t>
            </w:r>
          </w:p>
        </w:tc>
        <w:tc>
          <w:tcPr>
            <w:tcW w:w="1134" w:type="dxa"/>
            <w:noWrap w:val="0"/>
            <w:vAlign w:val="center"/>
          </w:tcPr>
          <w:p>
            <w:pPr>
              <w:autoSpaceDE w:val="0"/>
              <w:autoSpaceDN w:val="0"/>
              <w:adjustRightInd w:val="0"/>
              <w:rPr>
                <w:rFonts w:ascii="Times New Roman" w:hAnsi="Times New Roman"/>
                <w:kern w:val="0"/>
                <w:szCs w:val="21"/>
              </w:rPr>
            </w:pPr>
            <w:r>
              <w:rPr>
                <w:rFonts w:ascii="Times New Roman" w:hAnsi="Times New Roman"/>
                <w:kern w:val="0"/>
                <w:szCs w:val="21"/>
              </w:rPr>
              <w:t>掌握青霉素类药物的应用，培养学生具备工匠精神。</w:t>
            </w:r>
          </w:p>
        </w:tc>
        <w:tc>
          <w:tcPr>
            <w:tcW w:w="2028" w:type="dxa"/>
            <w:noWrap w:val="0"/>
            <w:vAlign w:val="center"/>
          </w:tcPr>
          <w:p>
            <w:pPr>
              <w:rPr>
                <w:rFonts w:ascii="Times New Roman" w:hAnsi="Times New Roman"/>
                <w:color w:val="000000"/>
                <w:sz w:val="24"/>
              </w:rPr>
            </w:pPr>
            <w:r>
              <w:rPr>
                <w:rFonts w:ascii="Times New Roman" w:hAnsi="Times New Roman"/>
                <w:bCs/>
                <w:kern w:val="0"/>
                <w:szCs w:val="21"/>
              </w:rPr>
              <w:t>了解青霉素钠（钾）、氨苄西林、阿莫西林、头孢氨苄、头孢羟氨苄、头孢噻吩钠、头孢噻肟钠、哌拉西林、头孢哌酮、红霉素、阿米卡星、氯霉素的结构；掌握相关药物的化学名称、理化性质及用途；掌握克拉维酸、舒巴坦、氨曲南、替莫西林、头孢克罗的结构、化学名称及用途,熟悉β—内酰胺抗生素的构效关系</w:t>
            </w:r>
            <w:r>
              <w:rPr>
                <w:rFonts w:ascii="Times New Roman" w:hAnsi="Times New Roman"/>
                <w:color w:val="000000"/>
                <w:sz w:val="24"/>
              </w:rPr>
              <w:t>。</w:t>
            </w:r>
          </w:p>
          <w:p>
            <w:pPr>
              <w:autoSpaceDE w:val="0"/>
              <w:autoSpaceDN w:val="0"/>
              <w:adjustRightInd w:val="0"/>
              <w:rPr>
                <w:rFonts w:ascii="Times New Roman" w:hAnsi="Times New Roman"/>
                <w:kern w:val="0"/>
                <w:szCs w:val="21"/>
              </w:rPr>
            </w:pPr>
          </w:p>
        </w:tc>
        <w:tc>
          <w:tcPr>
            <w:tcW w:w="699" w:type="dxa"/>
            <w:noWrap w:val="0"/>
            <w:vAlign w:val="center"/>
          </w:tcPr>
          <w:p>
            <w:pPr>
              <w:spacing w:line="312" w:lineRule="auto"/>
              <w:jc w:val="center"/>
              <w:rPr>
                <w:rFonts w:ascii="Times New Roman" w:hAnsi="Times New Roman"/>
                <w:szCs w:val="21"/>
              </w:rPr>
            </w:pPr>
            <w:r>
              <w:rPr>
                <w:rFonts w:ascii="Times New Roman" w:hAnsi="Times New Roman"/>
                <w:szCs w:val="21"/>
              </w:rPr>
              <w:t>6（讲授）</w:t>
            </w:r>
          </w:p>
        </w:tc>
        <w:tc>
          <w:tcPr>
            <w:tcW w:w="975" w:type="dxa"/>
            <w:noWrap w:val="0"/>
            <w:vAlign w:val="center"/>
          </w:tcPr>
          <w:p>
            <w:pPr>
              <w:rPr>
                <w:rFonts w:ascii="Times New Roman" w:hAnsi="Times New Roman"/>
                <w:szCs w:val="21"/>
              </w:rPr>
            </w:pPr>
            <w:r>
              <w:rPr>
                <w:rFonts w:ascii="Times New Roman" w:hAnsi="Times New Roman"/>
                <w:szCs w:val="21"/>
              </w:rPr>
              <w:t>讲授/实例/讨论/等</w:t>
            </w:r>
          </w:p>
        </w:tc>
        <w:tc>
          <w:tcPr>
            <w:tcW w:w="925" w:type="dxa"/>
            <w:noWrap w:val="0"/>
            <w:vAlign w:val="center"/>
          </w:tcPr>
          <w:p>
            <w:pPr>
              <w:jc w:val="center"/>
              <w:rPr>
                <w:rFonts w:ascii="Times New Roman" w:hAnsi="Times New Roman"/>
                <w:szCs w:val="21"/>
              </w:rPr>
            </w:pPr>
            <w:r>
              <w:rPr>
                <w:rFonts w:ascii="Times New Roman" w:hAnsi="Times New Roman"/>
                <w:b/>
                <w:kern w:val="0"/>
                <w:szCs w:val="21"/>
              </w:rPr>
              <w:t>目标12</w:t>
            </w:r>
          </w:p>
        </w:tc>
      </w:tr>
    </w:tbl>
    <w:p>
      <w:pPr>
        <w:spacing w:line="360" w:lineRule="auto"/>
        <w:ind w:firstLine="472" w:firstLineChars="196"/>
        <w:rPr>
          <w:rFonts w:ascii="Times New Roman" w:hAnsi="Times New Roman"/>
          <w:b/>
          <w:sz w:val="24"/>
        </w:rPr>
      </w:pPr>
    </w:p>
    <w:p>
      <w:pPr>
        <w:spacing w:line="360" w:lineRule="auto"/>
        <w:ind w:firstLine="562" w:firstLineChars="200"/>
        <w:rPr>
          <w:rFonts w:ascii="Times New Roman" w:hAnsi="Times New Roman"/>
          <w:b/>
          <w:sz w:val="28"/>
          <w:szCs w:val="28"/>
        </w:rPr>
      </w:pPr>
      <w:r>
        <w:rPr>
          <w:rFonts w:ascii="Times New Roman" w:hAnsi="Times New Roman"/>
          <w:b/>
          <w:sz w:val="28"/>
          <w:szCs w:val="28"/>
        </w:rPr>
        <w:t>四、课程实施</w:t>
      </w:r>
    </w:p>
    <w:p>
      <w:pPr>
        <w:spacing w:line="360" w:lineRule="auto"/>
        <w:ind w:firstLine="482" w:firstLineChars="200"/>
        <w:rPr>
          <w:rFonts w:ascii="Times New Roman" w:hAnsi="Times New Roman"/>
          <w:b/>
          <w:sz w:val="24"/>
        </w:rPr>
      </w:pPr>
      <w:r>
        <w:rPr>
          <w:rFonts w:ascii="Times New Roman" w:hAnsi="Times New Roman"/>
          <w:b/>
          <w:sz w:val="24"/>
        </w:rPr>
        <w:t>（一）教学方法与教学手段</w:t>
      </w:r>
    </w:p>
    <w:p>
      <w:pPr>
        <w:spacing w:line="360" w:lineRule="auto"/>
        <w:ind w:firstLine="480" w:firstLineChars="200"/>
        <w:rPr>
          <w:rFonts w:ascii="Times New Roman" w:hAnsi="Times New Roman"/>
          <w:sz w:val="24"/>
        </w:rPr>
      </w:pPr>
      <w:r>
        <w:rPr>
          <w:rFonts w:ascii="Times New Roman" w:hAnsi="Times New Roman"/>
          <w:sz w:val="24"/>
        </w:rPr>
        <w:t>1.把握主线，引导学生掌握药物物的分类、结构及性质，培养学生能够从结构来分析化合物性质，最终在合成路线设计及反应开发方面得到应用。</w:t>
      </w:r>
    </w:p>
    <w:p>
      <w:pPr>
        <w:spacing w:line="360" w:lineRule="auto"/>
        <w:ind w:firstLine="480" w:firstLineChars="200"/>
        <w:rPr>
          <w:rFonts w:ascii="Times New Roman" w:hAnsi="Times New Roman"/>
          <w:sz w:val="24"/>
        </w:rPr>
      </w:pPr>
      <w:r>
        <w:rPr>
          <w:rFonts w:ascii="Times New Roman" w:hAnsi="Times New Roman"/>
          <w:sz w:val="24"/>
        </w:rPr>
        <w:t>2.采用多媒体教学手段，配合例题的讲解及课堂讨论以及适当的思考题，保证讲课进度的同时，注意学生的掌握程度和课堂的气氛。</w:t>
      </w:r>
    </w:p>
    <w:p>
      <w:pPr>
        <w:spacing w:line="360" w:lineRule="auto"/>
        <w:ind w:firstLine="480" w:firstLineChars="200"/>
        <w:rPr>
          <w:rFonts w:ascii="Times New Roman" w:hAnsi="Times New Roman"/>
          <w:sz w:val="24"/>
        </w:rPr>
      </w:pPr>
      <w:r>
        <w:rPr>
          <w:rFonts w:ascii="Times New Roman" w:hAnsi="Times New Roman"/>
          <w:sz w:val="24"/>
        </w:rPr>
        <w:t>3.采用案例式教学，引进现代新药研发的实际例子，让学生真正了解并掌握药物化学及有机化合物的合成及设计方法，从而具备相关知识和方法的实际应用能力。</w:t>
      </w:r>
    </w:p>
    <w:p>
      <w:pPr>
        <w:spacing w:line="360" w:lineRule="auto"/>
        <w:ind w:firstLine="482" w:firstLineChars="200"/>
        <w:rPr>
          <w:rFonts w:ascii="Times New Roman" w:hAnsi="Times New Roman"/>
          <w:b/>
          <w:sz w:val="24"/>
        </w:rPr>
      </w:pPr>
      <w:r>
        <w:rPr>
          <w:rFonts w:ascii="Times New Roman" w:hAnsi="Times New Roman"/>
          <w:b/>
          <w:sz w:val="24"/>
        </w:rPr>
        <w:t>（二）课程实施与保障</w:t>
      </w:r>
    </w:p>
    <w:tbl>
      <w:tblPr>
        <w:tblStyle w:val="10"/>
        <w:tblW w:w="9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2"/>
        <w:gridCol w:w="1701"/>
        <w:gridCol w:w="6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3" w:type="dxa"/>
            <w:gridSpan w:val="2"/>
            <w:tcBorders>
              <w:top w:val="single" w:color="auto" w:sz="8" w:space="0"/>
              <w:left w:val="single" w:color="auto" w:sz="8" w:space="0"/>
              <w:right w:val="single" w:color="auto" w:sz="8" w:space="0"/>
            </w:tcBorders>
            <w:noWrap w:val="0"/>
            <w:tcMar>
              <w:left w:w="28" w:type="dxa"/>
              <w:right w:w="28" w:type="dxa"/>
            </w:tcMar>
            <w:vAlign w:val="center"/>
          </w:tcPr>
          <w:p>
            <w:pPr>
              <w:spacing w:line="276" w:lineRule="auto"/>
              <w:jc w:val="center"/>
              <w:rPr>
                <w:rFonts w:ascii="Times New Roman" w:hAnsi="Times New Roman"/>
                <w:szCs w:val="21"/>
              </w:rPr>
            </w:pPr>
            <w:r>
              <w:rPr>
                <w:rFonts w:ascii="Times New Roman" w:hAnsi="Times New Roman"/>
                <w:bCs/>
                <w:szCs w:val="21"/>
              </w:rPr>
              <w:t>主要教学环节</w:t>
            </w:r>
          </w:p>
        </w:tc>
        <w:tc>
          <w:tcPr>
            <w:tcW w:w="6817" w:type="dxa"/>
            <w:tcBorders>
              <w:top w:val="single" w:color="auto" w:sz="8" w:space="0"/>
              <w:left w:val="single" w:color="auto" w:sz="8" w:space="0"/>
              <w:right w:val="single" w:color="auto" w:sz="8" w:space="0"/>
            </w:tcBorders>
            <w:noWrap w:val="0"/>
            <w:vAlign w:val="center"/>
          </w:tcPr>
          <w:p>
            <w:pPr>
              <w:spacing w:line="276" w:lineRule="auto"/>
              <w:jc w:val="center"/>
              <w:rPr>
                <w:rFonts w:ascii="Times New Roman" w:hAnsi="Times New Roman"/>
                <w:szCs w:val="21"/>
              </w:rPr>
            </w:pPr>
            <w:r>
              <w:rPr>
                <w:rFonts w:ascii="Times New Roman" w:hAnsi="Times New Roman"/>
                <w:bCs/>
                <w:szCs w:val="21"/>
              </w:rPr>
              <w:t>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6" w:hRule="atLeast"/>
          <w:jc w:val="center"/>
        </w:trPr>
        <w:tc>
          <w:tcPr>
            <w:tcW w:w="582" w:type="dxa"/>
            <w:tcBorders>
              <w:left w:val="single" w:color="auto" w:sz="8" w:space="0"/>
            </w:tcBorders>
            <w:noWrap w:val="0"/>
            <w:vAlign w:val="center"/>
          </w:tcPr>
          <w:p>
            <w:pPr>
              <w:spacing w:line="276" w:lineRule="auto"/>
              <w:jc w:val="center"/>
              <w:rPr>
                <w:rFonts w:ascii="Times New Roman" w:hAnsi="Times New Roman"/>
                <w:szCs w:val="21"/>
              </w:rPr>
            </w:pPr>
            <w:r>
              <w:rPr>
                <w:rFonts w:ascii="Times New Roman" w:hAnsi="Times New Roman"/>
                <w:szCs w:val="21"/>
              </w:rPr>
              <w:t>1</w:t>
            </w:r>
          </w:p>
        </w:tc>
        <w:tc>
          <w:tcPr>
            <w:tcW w:w="1701" w:type="dxa"/>
            <w:noWrap w:val="0"/>
            <w:tcMar>
              <w:left w:w="28" w:type="dxa"/>
              <w:right w:w="28" w:type="dxa"/>
            </w:tcMar>
            <w:vAlign w:val="center"/>
          </w:tcPr>
          <w:p>
            <w:pPr>
              <w:spacing w:line="276" w:lineRule="auto"/>
              <w:jc w:val="center"/>
              <w:rPr>
                <w:rFonts w:ascii="Times New Roman" w:hAnsi="Times New Roman"/>
                <w:szCs w:val="21"/>
              </w:rPr>
            </w:pPr>
            <w:r>
              <w:rPr>
                <w:rFonts w:ascii="Times New Roman" w:hAnsi="Times New Roman"/>
                <w:szCs w:val="21"/>
              </w:rPr>
              <w:t>备课</w:t>
            </w:r>
          </w:p>
        </w:tc>
        <w:tc>
          <w:tcPr>
            <w:tcW w:w="6817" w:type="dxa"/>
            <w:tcBorders>
              <w:right w:val="single" w:color="auto" w:sz="8" w:space="0"/>
            </w:tcBorders>
            <w:noWrap w:val="0"/>
            <w:vAlign w:val="center"/>
          </w:tcPr>
          <w:p>
            <w:pPr>
              <w:spacing w:line="276" w:lineRule="auto"/>
              <w:rPr>
                <w:rFonts w:ascii="Times New Roman" w:hAnsi="Times New Roman"/>
                <w:szCs w:val="21"/>
              </w:rPr>
            </w:pPr>
            <w:r>
              <w:rPr>
                <w:rFonts w:ascii="Times New Roman" w:hAnsi="Times New Roman"/>
                <w:szCs w:val="21"/>
              </w:rPr>
              <w:t>（1）掌握本课程教学大纲内容，严格按照教学大纲要求进行课程教学内容的组织。</w:t>
            </w:r>
          </w:p>
          <w:p>
            <w:pPr>
              <w:spacing w:line="276" w:lineRule="auto"/>
              <w:rPr>
                <w:rFonts w:ascii="Times New Roman" w:hAnsi="Times New Roman"/>
                <w:szCs w:val="21"/>
              </w:rPr>
            </w:pPr>
            <w:r>
              <w:rPr>
                <w:rFonts w:ascii="Times New Roman" w:hAnsi="Times New Roman"/>
                <w:szCs w:val="21"/>
              </w:rPr>
              <w:t>（2）熟悉教材各章节，借助专业书籍资料，并依据教学大纲编写授课计划，编写每次授课的教案。教案内容包括章节标题、教学目的、教法设计、课堂类型、时间分配、授课内容、课后作业、教学效果分析等方面。</w:t>
            </w:r>
          </w:p>
          <w:p>
            <w:pPr>
              <w:spacing w:line="276" w:lineRule="auto"/>
              <w:rPr>
                <w:rFonts w:ascii="Times New Roman" w:hAnsi="Times New Roman"/>
                <w:szCs w:val="21"/>
              </w:rPr>
            </w:pPr>
            <w:r>
              <w:rPr>
                <w:rFonts w:ascii="Times New Roman" w:hAnsi="Times New Roman"/>
                <w:szCs w:val="21"/>
              </w:rPr>
              <w:t>（3）根据各部分教学内容，构思授课思路、技巧，选择合适的教学方法。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tcBorders>
              <w:left w:val="single" w:color="auto" w:sz="8" w:space="0"/>
            </w:tcBorders>
            <w:noWrap w:val="0"/>
            <w:vAlign w:val="center"/>
          </w:tcPr>
          <w:p>
            <w:pPr>
              <w:spacing w:line="276" w:lineRule="auto"/>
              <w:jc w:val="center"/>
              <w:rPr>
                <w:rFonts w:ascii="Times New Roman" w:hAnsi="Times New Roman"/>
                <w:szCs w:val="21"/>
              </w:rPr>
            </w:pPr>
            <w:r>
              <w:rPr>
                <w:rFonts w:ascii="Times New Roman" w:hAnsi="Times New Roman"/>
                <w:szCs w:val="21"/>
              </w:rPr>
              <w:t>2</w:t>
            </w:r>
          </w:p>
        </w:tc>
        <w:tc>
          <w:tcPr>
            <w:tcW w:w="1701" w:type="dxa"/>
            <w:noWrap w:val="0"/>
            <w:tcMar>
              <w:left w:w="28" w:type="dxa"/>
              <w:right w:w="28" w:type="dxa"/>
            </w:tcMar>
            <w:vAlign w:val="center"/>
          </w:tcPr>
          <w:p>
            <w:pPr>
              <w:spacing w:line="276" w:lineRule="auto"/>
              <w:jc w:val="center"/>
              <w:rPr>
                <w:rFonts w:ascii="Times New Roman" w:hAnsi="Times New Roman"/>
                <w:szCs w:val="21"/>
              </w:rPr>
            </w:pPr>
            <w:r>
              <w:rPr>
                <w:rFonts w:ascii="Times New Roman" w:hAnsi="Times New Roman"/>
                <w:szCs w:val="21"/>
              </w:rPr>
              <w:t>讲授</w:t>
            </w:r>
          </w:p>
        </w:tc>
        <w:tc>
          <w:tcPr>
            <w:tcW w:w="6817" w:type="dxa"/>
            <w:tcBorders>
              <w:right w:val="single" w:color="auto" w:sz="8" w:space="0"/>
            </w:tcBorders>
            <w:noWrap w:val="0"/>
            <w:vAlign w:val="center"/>
          </w:tcPr>
          <w:p>
            <w:pPr>
              <w:spacing w:line="276" w:lineRule="auto"/>
              <w:rPr>
                <w:rFonts w:ascii="Times New Roman" w:hAnsi="Times New Roman"/>
                <w:szCs w:val="21"/>
              </w:rPr>
            </w:pPr>
            <w:r>
              <w:rPr>
                <w:rFonts w:ascii="Times New Roman" w:hAnsi="Times New Roman"/>
                <w:szCs w:val="21"/>
              </w:rPr>
              <w:t>（1）要点准确、推理正确、条理清晰、重点突出，能够理论联系实际，熟练地解答和讲解例题。</w:t>
            </w:r>
          </w:p>
          <w:p>
            <w:pPr>
              <w:spacing w:line="276" w:lineRule="auto"/>
              <w:rPr>
                <w:rFonts w:ascii="Times New Roman" w:hAnsi="Times New Roman"/>
                <w:szCs w:val="21"/>
              </w:rPr>
            </w:pPr>
            <w:r>
              <w:rPr>
                <w:rFonts w:ascii="Times New Roman" w:hAnsi="Times New Roman"/>
                <w:szCs w:val="21"/>
              </w:rPr>
              <w:t>（2）采用多种教学方式（如启发式教学、案例分析教学、讨论式教学、多媒体示范教学等），注重培养学生发现、分析和解决问题的能力。</w:t>
            </w:r>
          </w:p>
          <w:p>
            <w:pPr>
              <w:spacing w:line="276" w:lineRule="auto"/>
              <w:rPr>
                <w:rFonts w:ascii="Times New Roman" w:hAnsi="Times New Roman"/>
                <w:szCs w:val="21"/>
              </w:rPr>
            </w:pPr>
            <w:r>
              <w:rPr>
                <w:rFonts w:ascii="Times New Roman" w:hAnsi="Times New Roman"/>
                <w:szCs w:val="21"/>
              </w:rPr>
              <w:t>（3）能够采用现代信息技术辅助教学。</w:t>
            </w:r>
          </w:p>
          <w:p>
            <w:pPr>
              <w:spacing w:line="276" w:lineRule="auto"/>
              <w:rPr>
                <w:rFonts w:ascii="Times New Roman" w:hAnsi="Times New Roman"/>
                <w:szCs w:val="21"/>
              </w:rPr>
            </w:pPr>
            <w:r>
              <w:rPr>
                <w:rFonts w:ascii="Times New Roman" w:hAnsi="Times New Roman"/>
                <w:szCs w:val="21"/>
              </w:rPr>
              <w:t>（4）表达方式应能便于学生理解、接受，力求形象生动，使学生在掌握知识的过程中，保持较为浓厚的学习兴趣。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jc w:val="center"/>
        </w:trPr>
        <w:tc>
          <w:tcPr>
            <w:tcW w:w="582" w:type="dxa"/>
            <w:tcBorders>
              <w:left w:val="single" w:color="auto" w:sz="8" w:space="0"/>
            </w:tcBorders>
            <w:noWrap w:val="0"/>
            <w:vAlign w:val="center"/>
          </w:tcPr>
          <w:p>
            <w:pPr>
              <w:spacing w:line="276" w:lineRule="auto"/>
              <w:jc w:val="center"/>
              <w:rPr>
                <w:rFonts w:ascii="Times New Roman" w:hAnsi="Times New Roman"/>
                <w:szCs w:val="21"/>
              </w:rPr>
            </w:pPr>
            <w:r>
              <w:rPr>
                <w:rFonts w:ascii="Times New Roman" w:hAnsi="Times New Roman"/>
                <w:szCs w:val="21"/>
              </w:rPr>
              <w:t>3</w:t>
            </w:r>
          </w:p>
        </w:tc>
        <w:tc>
          <w:tcPr>
            <w:tcW w:w="1701" w:type="dxa"/>
            <w:noWrap w:val="0"/>
            <w:tcMar>
              <w:left w:w="28" w:type="dxa"/>
              <w:right w:w="28" w:type="dxa"/>
            </w:tcMar>
            <w:vAlign w:val="center"/>
          </w:tcPr>
          <w:p>
            <w:pPr>
              <w:spacing w:line="276" w:lineRule="auto"/>
              <w:jc w:val="center"/>
              <w:rPr>
                <w:rFonts w:ascii="Times New Roman" w:hAnsi="Times New Roman"/>
                <w:szCs w:val="21"/>
              </w:rPr>
            </w:pPr>
            <w:r>
              <w:rPr>
                <w:rFonts w:ascii="Times New Roman" w:hAnsi="Times New Roman"/>
                <w:szCs w:val="21"/>
              </w:rPr>
              <w:t>作业布置与批改</w:t>
            </w:r>
          </w:p>
        </w:tc>
        <w:tc>
          <w:tcPr>
            <w:tcW w:w="6817" w:type="dxa"/>
            <w:tcBorders>
              <w:right w:val="single" w:color="auto" w:sz="8" w:space="0"/>
            </w:tcBorders>
            <w:noWrap w:val="0"/>
            <w:vAlign w:val="center"/>
          </w:tcPr>
          <w:p>
            <w:pPr>
              <w:spacing w:line="276" w:lineRule="auto"/>
              <w:rPr>
                <w:rFonts w:ascii="Times New Roman" w:hAnsi="Times New Roman"/>
                <w:szCs w:val="21"/>
              </w:rPr>
            </w:pPr>
            <w:r>
              <w:rPr>
                <w:rFonts w:ascii="Times New Roman" w:hAnsi="Times New Roman"/>
                <w:szCs w:val="21"/>
              </w:rPr>
              <w:t>学生必须完成规定数量的作业，作业必须达到以下基本要求：</w:t>
            </w:r>
          </w:p>
          <w:p>
            <w:pPr>
              <w:spacing w:line="276" w:lineRule="auto"/>
              <w:rPr>
                <w:rFonts w:ascii="Times New Roman" w:hAnsi="Times New Roman"/>
                <w:szCs w:val="21"/>
              </w:rPr>
            </w:pPr>
            <w:r>
              <w:rPr>
                <w:rFonts w:ascii="Times New Roman" w:hAnsi="Times New Roman"/>
                <w:szCs w:val="21"/>
              </w:rPr>
              <w:t>（1）按时按量完成作业，不缺交，不抄袭。</w:t>
            </w:r>
          </w:p>
          <w:p>
            <w:pPr>
              <w:spacing w:line="276" w:lineRule="auto"/>
              <w:rPr>
                <w:rFonts w:ascii="Times New Roman" w:hAnsi="Times New Roman"/>
                <w:szCs w:val="21"/>
              </w:rPr>
            </w:pPr>
            <w:r>
              <w:rPr>
                <w:rFonts w:ascii="Times New Roman" w:hAnsi="Times New Roman"/>
                <w:szCs w:val="21"/>
              </w:rPr>
              <w:t>（2）书写规范、清晰。</w:t>
            </w:r>
          </w:p>
          <w:p>
            <w:pPr>
              <w:spacing w:line="276" w:lineRule="auto"/>
              <w:rPr>
                <w:rFonts w:ascii="Times New Roman" w:hAnsi="Times New Roman"/>
                <w:szCs w:val="21"/>
              </w:rPr>
            </w:pPr>
            <w:r>
              <w:rPr>
                <w:rFonts w:ascii="Times New Roman" w:hAnsi="Times New Roman"/>
                <w:szCs w:val="21"/>
              </w:rPr>
              <w:t>（3）解题方法和步骤正确。</w:t>
            </w:r>
          </w:p>
          <w:p>
            <w:pPr>
              <w:spacing w:line="276" w:lineRule="auto"/>
              <w:rPr>
                <w:rFonts w:ascii="Times New Roman" w:hAnsi="Times New Roman"/>
                <w:szCs w:val="21"/>
              </w:rPr>
            </w:pPr>
            <w:r>
              <w:rPr>
                <w:rFonts w:ascii="Times New Roman" w:hAnsi="Times New Roman"/>
                <w:szCs w:val="21"/>
              </w:rPr>
              <w:t>教师批改和讲评作业要求如下：</w:t>
            </w:r>
          </w:p>
          <w:p>
            <w:pPr>
              <w:spacing w:line="276" w:lineRule="auto"/>
              <w:rPr>
                <w:rFonts w:ascii="Times New Roman" w:hAnsi="Times New Roman"/>
                <w:szCs w:val="21"/>
              </w:rPr>
            </w:pPr>
            <w:r>
              <w:rPr>
                <w:rFonts w:ascii="Times New Roman" w:hAnsi="Times New Roman"/>
                <w:szCs w:val="21"/>
              </w:rPr>
              <w:t>（1）学生的作业要按时全部批改，并及时进行讲评。</w:t>
            </w:r>
          </w:p>
          <w:p>
            <w:pPr>
              <w:spacing w:line="276" w:lineRule="auto"/>
              <w:rPr>
                <w:rFonts w:ascii="Times New Roman" w:hAnsi="Times New Roman"/>
                <w:szCs w:val="21"/>
              </w:rPr>
            </w:pPr>
            <w:r>
              <w:rPr>
                <w:rFonts w:ascii="Times New Roman" w:hAnsi="Times New Roman"/>
                <w:szCs w:val="21"/>
              </w:rPr>
              <w:t>（2）教师批改和讲评作业要认真、细致，按百分制评定成绩并写明日期。</w:t>
            </w:r>
          </w:p>
          <w:p>
            <w:pPr>
              <w:spacing w:line="276" w:lineRule="auto"/>
              <w:rPr>
                <w:rFonts w:ascii="Times New Roman" w:hAnsi="Times New Roman"/>
                <w:szCs w:val="21"/>
              </w:rPr>
            </w:pPr>
            <w:r>
              <w:rPr>
                <w:rFonts w:ascii="Times New Roman" w:hAnsi="Times New Roman"/>
                <w:szCs w:val="21"/>
              </w:rPr>
              <w:t>（3）学生作业的平均成绩应作为本课程总评成绩中平时成绩的重要组成部分。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582" w:type="dxa"/>
            <w:tcBorders>
              <w:left w:val="single" w:color="auto" w:sz="8" w:space="0"/>
            </w:tcBorders>
            <w:noWrap w:val="0"/>
            <w:vAlign w:val="center"/>
          </w:tcPr>
          <w:p>
            <w:pPr>
              <w:spacing w:line="276" w:lineRule="auto"/>
              <w:jc w:val="center"/>
              <w:rPr>
                <w:rFonts w:ascii="Times New Roman" w:hAnsi="Times New Roman"/>
                <w:szCs w:val="21"/>
              </w:rPr>
            </w:pPr>
            <w:r>
              <w:rPr>
                <w:rFonts w:ascii="Times New Roman" w:hAnsi="Times New Roman"/>
                <w:szCs w:val="21"/>
              </w:rPr>
              <w:t>4</w:t>
            </w:r>
          </w:p>
        </w:tc>
        <w:tc>
          <w:tcPr>
            <w:tcW w:w="1701" w:type="dxa"/>
            <w:noWrap w:val="0"/>
            <w:tcMar>
              <w:left w:w="28" w:type="dxa"/>
              <w:right w:w="28" w:type="dxa"/>
            </w:tcMar>
            <w:vAlign w:val="center"/>
          </w:tcPr>
          <w:p>
            <w:pPr>
              <w:spacing w:line="276" w:lineRule="auto"/>
              <w:jc w:val="center"/>
              <w:rPr>
                <w:rFonts w:ascii="Times New Roman" w:hAnsi="Times New Roman"/>
                <w:szCs w:val="21"/>
              </w:rPr>
            </w:pPr>
            <w:r>
              <w:rPr>
                <w:rFonts w:ascii="Times New Roman" w:hAnsi="Times New Roman"/>
                <w:szCs w:val="21"/>
              </w:rPr>
              <w:t>课外答疑</w:t>
            </w:r>
          </w:p>
        </w:tc>
        <w:tc>
          <w:tcPr>
            <w:tcW w:w="6817" w:type="dxa"/>
            <w:tcBorders>
              <w:right w:val="single" w:color="auto" w:sz="8" w:space="0"/>
            </w:tcBorders>
            <w:noWrap w:val="0"/>
            <w:vAlign w:val="center"/>
          </w:tcPr>
          <w:p>
            <w:pPr>
              <w:spacing w:line="276" w:lineRule="auto"/>
              <w:rPr>
                <w:rFonts w:ascii="Times New Roman" w:hAnsi="Times New Roman"/>
                <w:szCs w:val="21"/>
              </w:rPr>
            </w:pPr>
            <w:r>
              <w:rPr>
                <w:rFonts w:ascii="Times New Roman" w:hAnsi="Times New Roman"/>
                <w:szCs w:val="21"/>
              </w:rPr>
              <w:t>为了解学生的学习情况，帮助学生更好地理解和消化所学知识、改进学习方法和思维方式，培养其独立思考问题的能力，任课教师需每周安排一定时间进行课外答疑与辅导。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582" w:type="dxa"/>
            <w:tcBorders>
              <w:left w:val="single" w:color="auto" w:sz="8" w:space="0"/>
            </w:tcBorders>
            <w:noWrap w:val="0"/>
            <w:vAlign w:val="center"/>
          </w:tcPr>
          <w:p>
            <w:pPr>
              <w:spacing w:line="276" w:lineRule="auto"/>
              <w:jc w:val="center"/>
              <w:rPr>
                <w:rFonts w:ascii="Times New Roman" w:hAnsi="Times New Roman"/>
                <w:szCs w:val="21"/>
              </w:rPr>
            </w:pPr>
            <w:r>
              <w:rPr>
                <w:rFonts w:ascii="Times New Roman" w:hAnsi="Times New Roman"/>
                <w:szCs w:val="21"/>
              </w:rPr>
              <w:t>5</w:t>
            </w:r>
          </w:p>
        </w:tc>
        <w:tc>
          <w:tcPr>
            <w:tcW w:w="1701" w:type="dxa"/>
            <w:noWrap w:val="0"/>
            <w:tcMar>
              <w:left w:w="28" w:type="dxa"/>
              <w:right w:w="28" w:type="dxa"/>
            </w:tcMar>
            <w:vAlign w:val="center"/>
          </w:tcPr>
          <w:p>
            <w:pPr>
              <w:spacing w:line="276" w:lineRule="auto"/>
              <w:jc w:val="center"/>
              <w:rPr>
                <w:rFonts w:ascii="Times New Roman" w:hAnsi="Times New Roman"/>
                <w:szCs w:val="21"/>
              </w:rPr>
            </w:pPr>
            <w:r>
              <w:rPr>
                <w:rFonts w:ascii="Times New Roman" w:hAnsi="Times New Roman"/>
                <w:szCs w:val="21"/>
              </w:rPr>
              <w:t>成绩考核</w:t>
            </w:r>
          </w:p>
        </w:tc>
        <w:tc>
          <w:tcPr>
            <w:tcW w:w="6817" w:type="dxa"/>
            <w:tcBorders>
              <w:right w:val="single" w:color="auto" w:sz="8" w:space="0"/>
            </w:tcBorders>
            <w:noWrap w:val="0"/>
            <w:vAlign w:val="center"/>
          </w:tcPr>
          <w:p>
            <w:pPr>
              <w:spacing w:line="276" w:lineRule="auto"/>
              <w:rPr>
                <w:rFonts w:ascii="Times New Roman" w:hAnsi="Times New Roman"/>
                <w:szCs w:val="21"/>
              </w:rPr>
            </w:pPr>
            <w:r>
              <w:rPr>
                <w:rFonts w:ascii="Times New Roman" w:hAnsi="Times New Roman"/>
                <w:szCs w:val="21"/>
              </w:rPr>
              <w:t>本课程考核的方式为闭卷笔试。考试采取教考分离，监考由学院统一安排。有下列情况之一者，总评成绩为不及格：</w:t>
            </w:r>
          </w:p>
          <w:p>
            <w:pPr>
              <w:spacing w:line="276" w:lineRule="auto"/>
              <w:rPr>
                <w:rFonts w:ascii="Times New Roman" w:hAnsi="Times New Roman"/>
                <w:szCs w:val="21"/>
              </w:rPr>
            </w:pPr>
            <w:r>
              <w:rPr>
                <w:rFonts w:ascii="Times New Roman" w:hAnsi="Times New Roman"/>
                <w:szCs w:val="21"/>
              </w:rPr>
              <w:t>（1）缺交作业次数达1/3以上者。</w:t>
            </w:r>
          </w:p>
          <w:p>
            <w:pPr>
              <w:spacing w:line="276" w:lineRule="auto"/>
              <w:rPr>
                <w:rFonts w:ascii="Times New Roman" w:hAnsi="Times New Roman"/>
                <w:szCs w:val="21"/>
              </w:rPr>
            </w:pPr>
            <w:r>
              <w:rPr>
                <w:rFonts w:ascii="Times New Roman" w:hAnsi="Times New Roman"/>
                <w:szCs w:val="21"/>
              </w:rPr>
              <w:t>（2）缺课次数达本学期总授课学时的1/3以上者。</w:t>
            </w:r>
          </w:p>
          <w:p>
            <w:pPr>
              <w:spacing w:line="276" w:lineRule="auto"/>
              <w:rPr>
                <w:rFonts w:ascii="Times New Roman" w:hAnsi="Times New Roman"/>
                <w:szCs w:val="21"/>
              </w:rPr>
            </w:pPr>
            <w:r>
              <w:rPr>
                <w:rFonts w:ascii="Times New Roman" w:hAnsi="Times New Roman"/>
                <w:szCs w:val="21"/>
              </w:rPr>
              <w:t>（3）课程目标小于0.6。</w:t>
            </w:r>
          </w:p>
        </w:tc>
      </w:tr>
    </w:tbl>
    <w:p>
      <w:pPr>
        <w:spacing w:line="360" w:lineRule="auto"/>
        <w:ind w:firstLine="562" w:firstLineChars="200"/>
        <w:rPr>
          <w:rFonts w:ascii="Times New Roman" w:hAnsi="Times New Roman"/>
          <w:b/>
          <w:sz w:val="28"/>
          <w:szCs w:val="28"/>
        </w:rPr>
      </w:pPr>
      <w:r>
        <w:rPr>
          <w:rFonts w:ascii="Times New Roman" w:hAnsi="Times New Roman"/>
          <w:b/>
          <w:sz w:val="28"/>
          <w:szCs w:val="28"/>
        </w:rPr>
        <w:t>五、课程考核</w:t>
      </w:r>
    </w:p>
    <w:p>
      <w:pPr>
        <w:spacing w:line="360" w:lineRule="auto"/>
        <w:rPr>
          <w:rFonts w:ascii="Times New Roman" w:hAnsi="Times New Roman"/>
          <w:sz w:val="24"/>
        </w:rPr>
      </w:pPr>
      <w:r>
        <w:rPr>
          <w:rFonts w:ascii="Times New Roman" w:hAnsi="Times New Roman"/>
          <w:sz w:val="24"/>
        </w:rPr>
        <w:t>（一）课程考核包括期末考试、平时及作业考核，期末考试采用开卷考试方式。</w:t>
      </w:r>
    </w:p>
    <w:p>
      <w:pPr>
        <w:spacing w:line="360" w:lineRule="auto"/>
        <w:rPr>
          <w:rFonts w:ascii="Times New Roman" w:hAnsi="Times New Roman"/>
          <w:sz w:val="24"/>
        </w:rPr>
      </w:pPr>
      <w:r>
        <w:rPr>
          <w:rFonts w:ascii="Times New Roman" w:hAnsi="Times New Roman"/>
          <w:sz w:val="24"/>
        </w:rPr>
        <w:t>（二）课程总评成绩=平时成绩×30% +作业成绩×30%+期末考试成绩×40%。具体内容和比例如表所示。</w:t>
      </w:r>
    </w:p>
    <w:tbl>
      <w:tblPr>
        <w:tblStyle w:val="10"/>
        <w:tblpPr w:leftFromText="180" w:rightFromText="180" w:vertAnchor="text" w:horzAnchor="margin" w:tblpXSpec="center" w:tblpY="244"/>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2"/>
        <w:gridCol w:w="715"/>
        <w:gridCol w:w="1564"/>
        <w:gridCol w:w="5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43" w:type="dxa"/>
            <w:vMerge w:val="restart"/>
            <w:shd w:val="clear" w:color="auto" w:fill="FFFFFF"/>
            <w:noWrap w:val="0"/>
            <w:tcMar>
              <w:left w:w="57" w:type="dxa"/>
              <w:right w:w="57" w:type="dxa"/>
            </w:tcMar>
            <w:vAlign w:val="center"/>
          </w:tcPr>
          <w:p>
            <w:pPr>
              <w:pStyle w:val="14"/>
              <w:jc w:val="center"/>
              <w:rPr>
                <w:rFonts w:ascii="Times New Roman" w:hAnsi="Times New Roman" w:eastAsia="宋体"/>
              </w:rPr>
            </w:pPr>
            <w:r>
              <w:rPr>
                <w:rFonts w:ascii="Times New Roman" w:hAnsi="Times New Roman" w:eastAsia="宋体"/>
              </w:rPr>
              <w:t>考核环节</w:t>
            </w:r>
          </w:p>
        </w:tc>
        <w:tc>
          <w:tcPr>
            <w:tcW w:w="715" w:type="dxa"/>
            <w:vMerge w:val="restart"/>
            <w:shd w:val="clear" w:color="auto" w:fill="FFFFFF"/>
            <w:noWrap w:val="0"/>
            <w:vAlign w:val="center"/>
          </w:tcPr>
          <w:p>
            <w:pPr>
              <w:pStyle w:val="14"/>
              <w:jc w:val="center"/>
              <w:rPr>
                <w:rFonts w:ascii="Times New Roman" w:hAnsi="Times New Roman" w:eastAsia="宋体"/>
              </w:rPr>
            </w:pPr>
            <w:r>
              <w:rPr>
                <w:rFonts w:ascii="Times New Roman" w:hAnsi="Times New Roman" w:eastAsia="宋体"/>
              </w:rPr>
              <w:t>成绩比例</w:t>
            </w:r>
          </w:p>
        </w:tc>
        <w:tc>
          <w:tcPr>
            <w:tcW w:w="7006" w:type="dxa"/>
            <w:gridSpan w:val="2"/>
            <w:vMerge w:val="restart"/>
            <w:shd w:val="clear" w:color="auto" w:fill="FFFFFF"/>
            <w:noWrap w:val="0"/>
            <w:vAlign w:val="center"/>
          </w:tcPr>
          <w:p>
            <w:pPr>
              <w:pStyle w:val="14"/>
              <w:jc w:val="center"/>
              <w:rPr>
                <w:rFonts w:ascii="Times New Roman" w:hAnsi="Times New Roman" w:eastAsia="宋体"/>
              </w:rPr>
            </w:pPr>
            <w:r>
              <w:rPr>
                <w:rFonts w:ascii="Times New Roman" w:hAnsi="Times New Roman" w:eastAsia="宋体"/>
              </w:rPr>
              <w:t>考核内容与评价细则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43" w:type="dxa"/>
            <w:vMerge w:val="continue"/>
            <w:shd w:val="clear" w:color="auto" w:fill="FFFFFF"/>
            <w:noWrap w:val="0"/>
            <w:tcMar>
              <w:left w:w="57" w:type="dxa"/>
              <w:right w:w="57" w:type="dxa"/>
            </w:tcMar>
            <w:vAlign w:val="center"/>
          </w:tcPr>
          <w:p>
            <w:pPr>
              <w:pStyle w:val="14"/>
              <w:jc w:val="center"/>
              <w:rPr>
                <w:rFonts w:ascii="Times New Roman" w:hAnsi="Times New Roman" w:eastAsia="宋体"/>
              </w:rPr>
            </w:pPr>
          </w:p>
        </w:tc>
        <w:tc>
          <w:tcPr>
            <w:tcW w:w="715" w:type="dxa"/>
            <w:vMerge w:val="continue"/>
            <w:shd w:val="clear" w:color="auto" w:fill="FFFFFF"/>
            <w:noWrap w:val="0"/>
            <w:vAlign w:val="center"/>
          </w:tcPr>
          <w:p>
            <w:pPr>
              <w:pStyle w:val="14"/>
              <w:jc w:val="center"/>
              <w:rPr>
                <w:rFonts w:ascii="Times New Roman" w:hAnsi="Times New Roman" w:eastAsia="宋体"/>
              </w:rPr>
            </w:pPr>
          </w:p>
        </w:tc>
        <w:tc>
          <w:tcPr>
            <w:tcW w:w="7006" w:type="dxa"/>
            <w:gridSpan w:val="2"/>
            <w:vMerge w:val="continue"/>
            <w:shd w:val="clear" w:color="auto" w:fill="FFFFFF"/>
            <w:noWrap w:val="0"/>
            <w:vAlign w:val="center"/>
          </w:tcPr>
          <w:p>
            <w:pPr>
              <w:pStyle w:val="14"/>
              <w:jc w:val="center"/>
              <w:rPr>
                <w:rFonts w:ascii="Times New Roman" w:hAnsi="Times New Roman"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shd w:val="clear" w:color="auto" w:fill="FFFFFF"/>
            <w:noWrap w:val="0"/>
            <w:tcMar>
              <w:left w:w="57" w:type="dxa"/>
              <w:right w:w="57" w:type="dxa"/>
            </w:tcMar>
            <w:vAlign w:val="center"/>
          </w:tcPr>
          <w:p>
            <w:pPr>
              <w:pStyle w:val="14"/>
              <w:jc w:val="center"/>
              <w:rPr>
                <w:rFonts w:ascii="Times New Roman" w:hAnsi="Times New Roman" w:eastAsia="宋体"/>
              </w:rPr>
            </w:pPr>
            <w:r>
              <w:rPr>
                <w:rFonts w:ascii="Times New Roman" w:hAnsi="Times New Roman" w:eastAsia="宋体"/>
              </w:rPr>
              <w:t>平时表现</w:t>
            </w:r>
          </w:p>
        </w:tc>
        <w:tc>
          <w:tcPr>
            <w:tcW w:w="715" w:type="dxa"/>
            <w:shd w:val="clear" w:color="auto" w:fill="FFFFFF"/>
            <w:noWrap w:val="0"/>
            <w:vAlign w:val="center"/>
          </w:tcPr>
          <w:p>
            <w:pPr>
              <w:pStyle w:val="14"/>
              <w:jc w:val="center"/>
              <w:rPr>
                <w:rFonts w:ascii="Times New Roman" w:hAnsi="Times New Roman" w:eastAsia="宋体"/>
              </w:rPr>
            </w:pPr>
            <w:r>
              <w:rPr>
                <w:rFonts w:ascii="Times New Roman" w:hAnsi="Times New Roman" w:eastAsia="宋体"/>
              </w:rPr>
              <w:t>30%</w:t>
            </w:r>
          </w:p>
        </w:tc>
        <w:tc>
          <w:tcPr>
            <w:tcW w:w="7006" w:type="dxa"/>
            <w:gridSpan w:val="2"/>
            <w:shd w:val="clear" w:color="auto" w:fill="FFFFFF"/>
            <w:noWrap w:val="0"/>
            <w:vAlign w:val="center"/>
          </w:tcPr>
          <w:p>
            <w:pPr>
              <w:pStyle w:val="14"/>
              <w:rPr>
                <w:rFonts w:ascii="Times New Roman" w:hAnsi="Times New Roman" w:eastAsia="宋体"/>
              </w:rPr>
            </w:pPr>
            <w:r>
              <w:rPr>
                <w:rFonts w:ascii="Times New Roman" w:hAnsi="Times New Roman" w:eastAsia="宋体"/>
              </w:rPr>
              <w:t>课堂不定期点名，考核能否按时到勤，对于旷课、迟到和早退者适当扣分，根据平时课堂笔记、课堂回答问题等情况确定平时表现分数。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shd w:val="clear" w:color="auto" w:fill="FFFFFF"/>
            <w:noWrap w:val="0"/>
            <w:tcMar>
              <w:left w:w="57" w:type="dxa"/>
              <w:right w:w="57" w:type="dxa"/>
            </w:tcMar>
            <w:vAlign w:val="center"/>
          </w:tcPr>
          <w:p>
            <w:pPr>
              <w:pStyle w:val="14"/>
              <w:jc w:val="center"/>
              <w:rPr>
                <w:rFonts w:ascii="Times New Roman" w:hAnsi="Times New Roman" w:eastAsia="宋体"/>
              </w:rPr>
            </w:pPr>
            <w:r>
              <w:rPr>
                <w:rFonts w:ascii="Times New Roman" w:hAnsi="Times New Roman" w:eastAsia="宋体"/>
              </w:rPr>
              <w:t>作    业</w:t>
            </w:r>
          </w:p>
        </w:tc>
        <w:tc>
          <w:tcPr>
            <w:tcW w:w="715" w:type="dxa"/>
            <w:shd w:val="clear" w:color="auto" w:fill="FFFFFF"/>
            <w:noWrap w:val="0"/>
            <w:vAlign w:val="center"/>
          </w:tcPr>
          <w:p>
            <w:pPr>
              <w:pStyle w:val="14"/>
              <w:jc w:val="center"/>
              <w:rPr>
                <w:rFonts w:ascii="Times New Roman" w:hAnsi="Times New Roman" w:eastAsia="宋体"/>
              </w:rPr>
            </w:pPr>
            <w:r>
              <w:rPr>
                <w:rFonts w:ascii="Times New Roman" w:hAnsi="Times New Roman" w:eastAsia="宋体"/>
              </w:rPr>
              <w:t>30%</w:t>
            </w:r>
          </w:p>
        </w:tc>
        <w:tc>
          <w:tcPr>
            <w:tcW w:w="7006" w:type="dxa"/>
            <w:gridSpan w:val="2"/>
            <w:shd w:val="clear" w:color="auto" w:fill="FFFFFF"/>
            <w:noWrap w:val="0"/>
            <w:vAlign w:val="center"/>
          </w:tcPr>
          <w:p>
            <w:pPr>
              <w:pStyle w:val="14"/>
              <w:rPr>
                <w:rFonts w:ascii="Times New Roman" w:hAnsi="Times New Roman" w:eastAsia="宋体"/>
              </w:rPr>
            </w:pPr>
            <w:r>
              <w:rPr>
                <w:rFonts w:ascii="Times New Roman" w:hAnsi="Times New Roman" w:eastAsia="宋体"/>
                <w:szCs w:val="21"/>
              </w:rPr>
              <w:t>重点章节对应有思考题和习题，考核学生对每节课知识点的复习、理解和掌握度。对每次作业完成情况做记录并百分制打分。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 w:type="dxa"/>
            <w:vMerge w:val="restart"/>
            <w:noWrap w:val="0"/>
            <w:tcMar>
              <w:left w:w="57" w:type="dxa"/>
              <w:right w:w="57" w:type="dxa"/>
            </w:tcMar>
            <w:vAlign w:val="center"/>
          </w:tcPr>
          <w:p>
            <w:pPr>
              <w:pStyle w:val="14"/>
              <w:jc w:val="center"/>
              <w:rPr>
                <w:rFonts w:ascii="Times New Roman" w:hAnsi="Times New Roman" w:eastAsia="宋体"/>
              </w:rPr>
            </w:pPr>
            <w:r>
              <w:rPr>
                <w:rFonts w:ascii="Times New Roman" w:hAnsi="Times New Roman" w:eastAsia="宋体"/>
              </w:rPr>
              <w:t>期末试卷</w:t>
            </w:r>
          </w:p>
        </w:tc>
        <w:tc>
          <w:tcPr>
            <w:tcW w:w="715" w:type="dxa"/>
            <w:vMerge w:val="restart"/>
            <w:noWrap w:val="0"/>
            <w:vAlign w:val="center"/>
          </w:tcPr>
          <w:p>
            <w:pPr>
              <w:pStyle w:val="14"/>
              <w:jc w:val="center"/>
              <w:rPr>
                <w:rFonts w:ascii="Times New Roman" w:hAnsi="Times New Roman" w:eastAsia="宋体"/>
              </w:rPr>
            </w:pPr>
            <w:r>
              <w:rPr>
                <w:rFonts w:ascii="Times New Roman" w:hAnsi="Times New Roman" w:eastAsia="宋体"/>
              </w:rPr>
              <w:t xml:space="preserve"> </w:t>
            </w:r>
          </w:p>
          <w:p>
            <w:pPr>
              <w:pStyle w:val="14"/>
              <w:jc w:val="center"/>
              <w:rPr>
                <w:rFonts w:ascii="Times New Roman" w:hAnsi="Times New Roman" w:eastAsia="宋体"/>
              </w:rPr>
            </w:pPr>
            <w:r>
              <w:rPr>
                <w:rFonts w:ascii="Times New Roman" w:hAnsi="Times New Roman" w:eastAsia="宋体"/>
              </w:rPr>
              <w:t>40%</w:t>
            </w:r>
          </w:p>
        </w:tc>
        <w:tc>
          <w:tcPr>
            <w:tcW w:w="1565" w:type="dxa"/>
            <w:tcBorders>
              <w:left w:val="single" w:color="auto" w:sz="4" w:space="0"/>
            </w:tcBorders>
            <w:noWrap w:val="0"/>
            <w:vAlign w:val="center"/>
          </w:tcPr>
          <w:p>
            <w:pPr>
              <w:pStyle w:val="14"/>
              <w:jc w:val="center"/>
              <w:rPr>
                <w:rFonts w:ascii="Times New Roman" w:hAnsi="Times New Roman" w:eastAsia="宋体"/>
                <w:color w:val="000000"/>
                <w:szCs w:val="21"/>
              </w:rPr>
            </w:pPr>
            <w:r>
              <w:rPr>
                <w:rFonts w:ascii="Times New Roman" w:hAnsi="Times New Roman" w:eastAsia="宋体"/>
                <w:color w:val="000000"/>
                <w:szCs w:val="21"/>
              </w:rPr>
              <w:t>题型</w:t>
            </w:r>
          </w:p>
        </w:tc>
        <w:tc>
          <w:tcPr>
            <w:tcW w:w="5441" w:type="dxa"/>
            <w:tcBorders>
              <w:left w:val="single" w:color="auto" w:sz="4" w:space="0"/>
            </w:tcBorders>
            <w:noWrap w:val="0"/>
            <w:vAlign w:val="center"/>
          </w:tcPr>
          <w:p>
            <w:pPr>
              <w:pStyle w:val="14"/>
              <w:jc w:val="center"/>
              <w:rPr>
                <w:rFonts w:ascii="Times New Roman" w:hAnsi="Times New Roman" w:eastAsia="宋体"/>
                <w:color w:val="000000"/>
                <w:szCs w:val="21"/>
              </w:rPr>
            </w:pPr>
            <w:r>
              <w:rPr>
                <w:rFonts w:ascii="Times New Roman" w:hAnsi="Times New Roman" w:eastAsia="宋体"/>
                <w:szCs w:val="21"/>
              </w:rPr>
              <w:t>考核内容及相应试题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043" w:type="dxa"/>
            <w:vMerge w:val="continue"/>
            <w:noWrap w:val="0"/>
            <w:tcMar>
              <w:left w:w="57" w:type="dxa"/>
              <w:right w:w="57" w:type="dxa"/>
            </w:tcMar>
            <w:vAlign w:val="center"/>
          </w:tcPr>
          <w:p>
            <w:pPr>
              <w:pStyle w:val="14"/>
              <w:jc w:val="center"/>
              <w:rPr>
                <w:rFonts w:ascii="Times New Roman" w:hAnsi="Times New Roman" w:eastAsia="宋体"/>
              </w:rPr>
            </w:pPr>
          </w:p>
        </w:tc>
        <w:tc>
          <w:tcPr>
            <w:tcW w:w="715" w:type="dxa"/>
            <w:vMerge w:val="continue"/>
            <w:noWrap w:val="0"/>
            <w:vAlign w:val="center"/>
          </w:tcPr>
          <w:p>
            <w:pPr>
              <w:pStyle w:val="14"/>
              <w:jc w:val="center"/>
              <w:rPr>
                <w:rFonts w:ascii="Times New Roman" w:hAnsi="Times New Roman" w:eastAsia="宋体"/>
              </w:rPr>
            </w:pPr>
          </w:p>
        </w:tc>
        <w:tc>
          <w:tcPr>
            <w:tcW w:w="1560" w:type="dxa"/>
            <w:tcBorders>
              <w:left w:val="single" w:color="auto" w:sz="4" w:space="0"/>
            </w:tcBorders>
            <w:noWrap w:val="0"/>
            <w:vAlign w:val="center"/>
          </w:tcPr>
          <w:p>
            <w:pPr>
              <w:pStyle w:val="14"/>
              <w:jc w:val="center"/>
              <w:rPr>
                <w:rFonts w:ascii="Times New Roman" w:hAnsi="Times New Roman" w:eastAsia="宋体"/>
                <w:color w:val="000000"/>
                <w:szCs w:val="21"/>
              </w:rPr>
            </w:pPr>
            <w:r>
              <w:rPr>
                <w:rFonts w:ascii="Times New Roman" w:hAnsi="Times New Roman" w:eastAsia="宋体"/>
                <w:color w:val="000000"/>
                <w:szCs w:val="21"/>
              </w:rPr>
              <w:t>选择题</w:t>
            </w:r>
          </w:p>
        </w:tc>
        <w:tc>
          <w:tcPr>
            <w:tcW w:w="5446" w:type="dxa"/>
            <w:tcBorders>
              <w:left w:val="single" w:color="auto" w:sz="4" w:space="0"/>
            </w:tcBorders>
            <w:noWrap w:val="0"/>
            <w:vAlign w:val="center"/>
          </w:tcPr>
          <w:p>
            <w:pPr>
              <w:widowControl/>
              <w:rPr>
                <w:rFonts w:ascii="Times New Roman" w:hAnsi="Times New Roman"/>
              </w:rPr>
            </w:pPr>
            <w:r>
              <w:rPr>
                <w:rFonts w:ascii="Times New Roman" w:hAnsi="Times New Roman"/>
              </w:rPr>
              <w:t>主要考核</w:t>
            </w:r>
            <w:r>
              <w:rPr>
                <w:rFonts w:ascii="Times New Roman" w:hAnsi="Times New Roman"/>
                <w:color w:val="000000"/>
                <w:szCs w:val="21"/>
              </w:rPr>
              <w:t>药物性质，构效关系特点等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noWrap w:val="0"/>
            <w:tcMar>
              <w:left w:w="57" w:type="dxa"/>
              <w:right w:w="57" w:type="dxa"/>
            </w:tcMar>
            <w:vAlign w:val="center"/>
          </w:tcPr>
          <w:p>
            <w:pPr>
              <w:pStyle w:val="14"/>
              <w:jc w:val="center"/>
              <w:rPr>
                <w:rFonts w:ascii="Times New Roman" w:hAnsi="Times New Roman" w:eastAsia="宋体"/>
              </w:rPr>
            </w:pPr>
          </w:p>
        </w:tc>
        <w:tc>
          <w:tcPr>
            <w:tcW w:w="715" w:type="dxa"/>
            <w:vMerge w:val="continue"/>
            <w:noWrap w:val="0"/>
            <w:vAlign w:val="center"/>
          </w:tcPr>
          <w:p>
            <w:pPr>
              <w:pStyle w:val="14"/>
              <w:jc w:val="center"/>
              <w:rPr>
                <w:rFonts w:ascii="Times New Roman" w:hAnsi="Times New Roman" w:eastAsia="宋体"/>
              </w:rPr>
            </w:pPr>
          </w:p>
        </w:tc>
        <w:tc>
          <w:tcPr>
            <w:tcW w:w="1560" w:type="dxa"/>
            <w:tcBorders>
              <w:left w:val="single" w:color="auto" w:sz="4" w:space="0"/>
            </w:tcBorders>
            <w:noWrap w:val="0"/>
            <w:vAlign w:val="center"/>
          </w:tcPr>
          <w:p>
            <w:pPr>
              <w:pStyle w:val="14"/>
              <w:jc w:val="center"/>
              <w:rPr>
                <w:rFonts w:ascii="Times New Roman" w:hAnsi="Times New Roman" w:eastAsia="宋体"/>
                <w:color w:val="000000"/>
                <w:szCs w:val="21"/>
              </w:rPr>
            </w:pPr>
            <w:r>
              <w:rPr>
                <w:rFonts w:ascii="Times New Roman" w:hAnsi="Times New Roman" w:eastAsia="宋体"/>
                <w:color w:val="000000"/>
                <w:szCs w:val="21"/>
              </w:rPr>
              <w:t>判断题</w:t>
            </w:r>
          </w:p>
        </w:tc>
        <w:tc>
          <w:tcPr>
            <w:tcW w:w="5446" w:type="dxa"/>
            <w:tcBorders>
              <w:left w:val="single" w:color="auto" w:sz="4" w:space="0"/>
            </w:tcBorders>
            <w:noWrap w:val="0"/>
            <w:vAlign w:val="center"/>
          </w:tcPr>
          <w:p>
            <w:pPr>
              <w:pStyle w:val="14"/>
              <w:rPr>
                <w:rFonts w:ascii="Times New Roman" w:hAnsi="Times New Roman" w:eastAsia="宋体"/>
                <w:color w:val="000000"/>
                <w:szCs w:val="21"/>
              </w:rPr>
            </w:pPr>
            <w:r>
              <w:rPr>
                <w:rFonts w:ascii="Times New Roman" w:hAnsi="Times New Roman" w:eastAsia="宋体"/>
                <w:color w:val="000000"/>
                <w:szCs w:val="21"/>
              </w:rPr>
              <w:t>主要考核药物作用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noWrap w:val="0"/>
            <w:tcMar>
              <w:left w:w="57" w:type="dxa"/>
              <w:right w:w="57" w:type="dxa"/>
            </w:tcMar>
            <w:vAlign w:val="center"/>
          </w:tcPr>
          <w:p>
            <w:pPr>
              <w:pStyle w:val="14"/>
              <w:jc w:val="center"/>
              <w:rPr>
                <w:rFonts w:ascii="Times New Roman" w:hAnsi="Times New Roman" w:eastAsia="宋体"/>
              </w:rPr>
            </w:pPr>
          </w:p>
        </w:tc>
        <w:tc>
          <w:tcPr>
            <w:tcW w:w="715" w:type="dxa"/>
            <w:vMerge w:val="continue"/>
            <w:noWrap w:val="0"/>
            <w:vAlign w:val="center"/>
          </w:tcPr>
          <w:p>
            <w:pPr>
              <w:pStyle w:val="14"/>
              <w:jc w:val="center"/>
              <w:rPr>
                <w:rFonts w:ascii="Times New Roman" w:hAnsi="Times New Roman" w:eastAsia="宋体"/>
              </w:rPr>
            </w:pPr>
          </w:p>
        </w:tc>
        <w:tc>
          <w:tcPr>
            <w:tcW w:w="1560" w:type="dxa"/>
            <w:tcBorders>
              <w:left w:val="single" w:color="auto" w:sz="4" w:space="0"/>
            </w:tcBorders>
            <w:noWrap w:val="0"/>
            <w:vAlign w:val="center"/>
          </w:tcPr>
          <w:p>
            <w:pPr>
              <w:pStyle w:val="14"/>
              <w:jc w:val="center"/>
              <w:rPr>
                <w:rFonts w:ascii="Times New Roman" w:hAnsi="Times New Roman" w:eastAsia="宋体"/>
                <w:color w:val="000000"/>
                <w:szCs w:val="21"/>
              </w:rPr>
            </w:pPr>
            <w:r>
              <w:rPr>
                <w:rFonts w:ascii="Times New Roman" w:hAnsi="Times New Roman" w:eastAsia="宋体"/>
                <w:color w:val="000000"/>
                <w:szCs w:val="21"/>
              </w:rPr>
              <w:t>简答题</w:t>
            </w:r>
          </w:p>
        </w:tc>
        <w:tc>
          <w:tcPr>
            <w:tcW w:w="5446" w:type="dxa"/>
            <w:tcBorders>
              <w:left w:val="single" w:color="auto" w:sz="4" w:space="0"/>
            </w:tcBorders>
            <w:noWrap w:val="0"/>
            <w:vAlign w:val="center"/>
          </w:tcPr>
          <w:p>
            <w:pPr>
              <w:pStyle w:val="14"/>
              <w:rPr>
                <w:rFonts w:ascii="Times New Roman" w:hAnsi="Times New Roman" w:eastAsia="宋体"/>
                <w:color w:val="000000"/>
                <w:szCs w:val="21"/>
              </w:rPr>
            </w:pPr>
            <w:r>
              <w:rPr>
                <w:rFonts w:ascii="Times New Roman" w:hAnsi="Times New Roman" w:eastAsia="宋体"/>
                <w:color w:val="000000"/>
                <w:szCs w:val="21"/>
              </w:rPr>
              <w:t>主要考核药物构效关系，使用特点等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noWrap w:val="0"/>
            <w:tcMar>
              <w:left w:w="57" w:type="dxa"/>
              <w:right w:w="57" w:type="dxa"/>
            </w:tcMar>
            <w:vAlign w:val="center"/>
          </w:tcPr>
          <w:p>
            <w:pPr>
              <w:pStyle w:val="14"/>
              <w:jc w:val="center"/>
              <w:rPr>
                <w:rFonts w:ascii="Times New Roman" w:hAnsi="Times New Roman" w:eastAsia="宋体"/>
              </w:rPr>
            </w:pPr>
          </w:p>
        </w:tc>
        <w:tc>
          <w:tcPr>
            <w:tcW w:w="715" w:type="dxa"/>
            <w:vMerge w:val="continue"/>
            <w:noWrap w:val="0"/>
            <w:vAlign w:val="center"/>
          </w:tcPr>
          <w:p>
            <w:pPr>
              <w:pStyle w:val="14"/>
              <w:jc w:val="center"/>
              <w:rPr>
                <w:rFonts w:ascii="Times New Roman" w:hAnsi="Times New Roman" w:eastAsia="宋体"/>
              </w:rPr>
            </w:pPr>
          </w:p>
        </w:tc>
        <w:tc>
          <w:tcPr>
            <w:tcW w:w="1560" w:type="dxa"/>
            <w:tcBorders>
              <w:left w:val="single" w:color="auto" w:sz="4" w:space="0"/>
            </w:tcBorders>
            <w:noWrap w:val="0"/>
            <w:vAlign w:val="center"/>
          </w:tcPr>
          <w:p>
            <w:pPr>
              <w:pStyle w:val="14"/>
              <w:jc w:val="center"/>
              <w:rPr>
                <w:rFonts w:ascii="Times New Roman" w:hAnsi="Times New Roman" w:eastAsia="宋体"/>
                <w:color w:val="000000"/>
                <w:szCs w:val="21"/>
              </w:rPr>
            </w:pPr>
            <w:r>
              <w:rPr>
                <w:rFonts w:ascii="Times New Roman" w:hAnsi="Times New Roman" w:eastAsia="宋体"/>
                <w:color w:val="000000"/>
                <w:szCs w:val="21"/>
              </w:rPr>
              <w:t>案例分析题</w:t>
            </w:r>
          </w:p>
        </w:tc>
        <w:tc>
          <w:tcPr>
            <w:tcW w:w="5446" w:type="dxa"/>
            <w:tcBorders>
              <w:left w:val="single" w:color="auto" w:sz="4" w:space="0"/>
            </w:tcBorders>
            <w:noWrap w:val="0"/>
            <w:vAlign w:val="center"/>
          </w:tcPr>
          <w:p>
            <w:pPr>
              <w:pStyle w:val="14"/>
              <w:rPr>
                <w:rFonts w:ascii="Times New Roman" w:hAnsi="Times New Roman" w:eastAsia="宋体"/>
                <w:color w:val="000000"/>
                <w:szCs w:val="21"/>
              </w:rPr>
            </w:pPr>
            <w:r>
              <w:rPr>
                <w:rFonts w:ascii="Times New Roman" w:hAnsi="Times New Roman" w:eastAsia="宋体"/>
                <w:color w:val="000000"/>
                <w:szCs w:val="21"/>
              </w:rPr>
              <w:t>主要考核用药方案等。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noWrap w:val="0"/>
            <w:tcMar>
              <w:left w:w="57" w:type="dxa"/>
              <w:right w:w="57" w:type="dxa"/>
            </w:tcMar>
            <w:vAlign w:val="center"/>
          </w:tcPr>
          <w:p>
            <w:pPr>
              <w:pStyle w:val="14"/>
              <w:jc w:val="center"/>
              <w:rPr>
                <w:rFonts w:ascii="Times New Roman" w:hAnsi="Times New Roman" w:eastAsia="宋体"/>
              </w:rPr>
            </w:pPr>
          </w:p>
        </w:tc>
        <w:tc>
          <w:tcPr>
            <w:tcW w:w="715" w:type="dxa"/>
            <w:vMerge w:val="continue"/>
            <w:noWrap w:val="0"/>
            <w:vAlign w:val="center"/>
          </w:tcPr>
          <w:p>
            <w:pPr>
              <w:pStyle w:val="14"/>
              <w:jc w:val="center"/>
              <w:rPr>
                <w:rFonts w:ascii="Times New Roman" w:hAnsi="Times New Roman" w:eastAsia="宋体"/>
              </w:rPr>
            </w:pPr>
          </w:p>
        </w:tc>
        <w:tc>
          <w:tcPr>
            <w:tcW w:w="1560" w:type="dxa"/>
            <w:tcBorders>
              <w:left w:val="single" w:color="auto" w:sz="4" w:space="0"/>
            </w:tcBorders>
            <w:noWrap w:val="0"/>
            <w:vAlign w:val="center"/>
          </w:tcPr>
          <w:p>
            <w:pPr>
              <w:pStyle w:val="14"/>
              <w:rPr>
                <w:rFonts w:ascii="Times New Roman" w:hAnsi="Times New Roman" w:eastAsia="宋体"/>
                <w:color w:val="000000"/>
                <w:szCs w:val="21"/>
              </w:rPr>
            </w:pPr>
          </w:p>
        </w:tc>
        <w:tc>
          <w:tcPr>
            <w:tcW w:w="5446" w:type="dxa"/>
            <w:tcBorders>
              <w:left w:val="single" w:color="auto" w:sz="4" w:space="0"/>
              <w:bottom w:val="single" w:color="auto" w:sz="4" w:space="0"/>
            </w:tcBorders>
            <w:noWrap w:val="0"/>
            <w:vAlign w:val="center"/>
          </w:tcPr>
          <w:p>
            <w:pPr>
              <w:pStyle w:val="14"/>
              <w:rPr>
                <w:rFonts w:ascii="Times New Roman" w:hAnsi="Times New Roman" w:eastAsia="宋体"/>
                <w:color w:val="000000"/>
                <w:szCs w:val="21"/>
              </w:rPr>
            </w:pPr>
            <w:r>
              <w:rPr>
                <w:rFonts w:ascii="Times New Roman" w:hAnsi="Times New Roman" w:eastAsia="宋体"/>
                <w:color w:val="000000"/>
                <w:szCs w:val="21"/>
              </w:rPr>
              <w:t>主要考核药物正确使用方式。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043" w:type="dxa"/>
            <w:noWrap w:val="0"/>
            <w:tcMar>
              <w:left w:w="57" w:type="dxa"/>
              <w:right w:w="57" w:type="dxa"/>
            </w:tcMar>
            <w:vAlign w:val="center"/>
          </w:tcPr>
          <w:p>
            <w:pPr>
              <w:pStyle w:val="14"/>
              <w:jc w:val="center"/>
              <w:rPr>
                <w:rFonts w:ascii="Times New Roman" w:hAnsi="Times New Roman" w:eastAsia="宋体"/>
              </w:rPr>
            </w:pPr>
            <w:r>
              <w:rPr>
                <w:rFonts w:ascii="Times New Roman" w:hAnsi="Times New Roman" w:eastAsia="宋体"/>
              </w:rPr>
              <w:t>合    计</w:t>
            </w:r>
          </w:p>
        </w:tc>
        <w:tc>
          <w:tcPr>
            <w:tcW w:w="715" w:type="dxa"/>
            <w:noWrap w:val="0"/>
            <w:vAlign w:val="center"/>
          </w:tcPr>
          <w:p>
            <w:pPr>
              <w:pStyle w:val="14"/>
              <w:jc w:val="center"/>
              <w:rPr>
                <w:rFonts w:ascii="Times New Roman" w:hAnsi="Times New Roman" w:eastAsia="宋体"/>
              </w:rPr>
            </w:pPr>
            <w:r>
              <w:rPr>
                <w:rFonts w:ascii="Times New Roman" w:hAnsi="Times New Roman" w:eastAsia="宋体"/>
              </w:rPr>
              <w:t>100%</w:t>
            </w:r>
          </w:p>
        </w:tc>
        <w:tc>
          <w:tcPr>
            <w:tcW w:w="7006" w:type="dxa"/>
            <w:gridSpan w:val="2"/>
            <w:tcBorders>
              <w:left w:val="single" w:color="auto" w:sz="4" w:space="0"/>
            </w:tcBorders>
            <w:noWrap w:val="0"/>
            <w:vAlign w:val="center"/>
          </w:tcPr>
          <w:p>
            <w:pPr>
              <w:pStyle w:val="14"/>
              <w:rPr>
                <w:rFonts w:ascii="Times New Roman" w:hAnsi="Times New Roman" w:eastAsia="宋体"/>
                <w:color w:val="000000"/>
                <w:szCs w:val="21"/>
              </w:rPr>
            </w:pPr>
          </w:p>
        </w:tc>
      </w:tr>
    </w:tbl>
    <w:p>
      <w:pPr>
        <w:spacing w:line="360" w:lineRule="auto"/>
        <w:rPr>
          <w:rFonts w:ascii="Times New Roman" w:hAnsi="Times New Roman"/>
          <w:b/>
          <w:sz w:val="28"/>
          <w:szCs w:val="28"/>
        </w:rPr>
      </w:pPr>
      <w:r>
        <w:rPr>
          <w:rFonts w:ascii="Times New Roman" w:hAnsi="Times New Roman"/>
          <w:b/>
          <w:sz w:val="28"/>
          <w:szCs w:val="28"/>
        </w:rPr>
        <w:t>六、有关说明</w:t>
      </w:r>
    </w:p>
    <w:p>
      <w:pPr>
        <w:spacing w:line="360" w:lineRule="auto"/>
        <w:ind w:firstLine="482" w:firstLineChars="200"/>
        <w:rPr>
          <w:rFonts w:ascii="Times New Roman" w:hAnsi="Times New Roman"/>
          <w:b/>
          <w:color w:val="000000"/>
          <w:sz w:val="24"/>
        </w:rPr>
      </w:pPr>
      <w:r>
        <w:rPr>
          <w:rFonts w:ascii="Times New Roman" w:hAnsi="Times New Roman"/>
          <w:b/>
          <w:color w:val="000000"/>
          <w:sz w:val="24"/>
        </w:rPr>
        <w:t>（一）持续改进</w:t>
      </w:r>
    </w:p>
    <w:p>
      <w:pPr>
        <w:spacing w:line="360" w:lineRule="auto"/>
        <w:ind w:firstLine="480" w:firstLineChars="200"/>
        <w:rPr>
          <w:rFonts w:ascii="Times New Roman" w:hAnsi="Times New Roman"/>
          <w:color w:val="000000"/>
          <w:sz w:val="24"/>
        </w:rPr>
      </w:pPr>
      <w:r>
        <w:rPr>
          <w:rFonts w:ascii="Times New Roman" w:hAnsi="Times New Roman"/>
          <w:sz w:val="24"/>
          <w:szCs w:val="22"/>
        </w:rPr>
        <w:t>本课程根据学生作业、课堂讨论、平时考核情况和学生、教学督导等的反馈，及时对教学中的不足之处进行改进，并在下一轮课程教学中整改完善，确保相应毕业要求指标点达成。</w:t>
      </w:r>
    </w:p>
    <w:p>
      <w:pPr>
        <w:numPr>
          <w:ilvl w:val="0"/>
          <w:numId w:val="8"/>
        </w:numPr>
        <w:spacing w:line="360" w:lineRule="auto"/>
        <w:ind w:firstLine="482" w:firstLineChars="200"/>
        <w:rPr>
          <w:rFonts w:ascii="Times New Roman" w:hAnsi="Times New Roman"/>
          <w:b/>
          <w:color w:val="000000"/>
          <w:sz w:val="24"/>
        </w:rPr>
      </w:pPr>
      <w:r>
        <w:rPr>
          <w:rFonts w:ascii="Times New Roman" w:hAnsi="Times New Roman"/>
          <w:b/>
          <w:color w:val="000000"/>
          <w:sz w:val="24"/>
        </w:rPr>
        <w:t>参考书目及学习资料</w:t>
      </w:r>
    </w:p>
    <w:p>
      <w:pPr>
        <w:spacing w:line="360" w:lineRule="auto"/>
        <w:ind w:firstLine="960" w:firstLineChars="400"/>
        <w:rPr>
          <w:rFonts w:ascii="Times New Roman" w:hAnsi="Times New Roman"/>
          <w:color w:val="000000"/>
          <w:sz w:val="24"/>
        </w:rPr>
      </w:pPr>
      <w:r>
        <w:rPr>
          <w:rFonts w:ascii="Times New Roman" w:hAnsi="Times New Roman"/>
          <w:color w:val="000000"/>
          <w:sz w:val="24"/>
        </w:rPr>
        <w:t>1. 郑虎主编 《药物化学》           人民卫生出版社</w:t>
      </w:r>
      <w:r>
        <w:rPr>
          <w:rFonts w:ascii="Times New Roman" w:hAnsi="Times New Roman"/>
          <w:color w:val="000000"/>
          <w:sz w:val="24"/>
        </w:rPr>
        <w:br w:type="textWrapping"/>
      </w:r>
      <w:r>
        <w:rPr>
          <w:rFonts w:ascii="Times New Roman" w:hAnsi="Times New Roman"/>
          <w:color w:val="000000"/>
          <w:sz w:val="24"/>
        </w:rPr>
        <w:t>          2. 仇缀主编 《药物设计学》          高等教育出版社     </w:t>
      </w:r>
    </w:p>
    <w:p>
      <w:pPr>
        <w:spacing w:line="360" w:lineRule="auto"/>
        <w:ind w:firstLine="960" w:firstLineChars="400"/>
        <w:rPr>
          <w:rFonts w:ascii="Times New Roman" w:hAnsi="Times New Roman"/>
          <w:color w:val="000000"/>
          <w:sz w:val="24"/>
        </w:rPr>
      </w:pPr>
      <w:r>
        <w:rPr>
          <w:rFonts w:ascii="Times New Roman" w:hAnsi="Times New Roman"/>
          <w:color w:val="000000"/>
          <w:sz w:val="24"/>
        </w:rPr>
        <w:t>3. 仉文升、李安良主编 《药物化学》  高等教育出版社 </w:t>
      </w:r>
      <w:r>
        <w:rPr>
          <w:rFonts w:ascii="Times New Roman" w:hAnsi="Times New Roman"/>
          <w:color w:val="000000"/>
          <w:sz w:val="24"/>
        </w:rPr>
        <w:br w:type="textWrapping"/>
      </w:r>
      <w:r>
        <w:rPr>
          <w:rFonts w:ascii="Times New Roman" w:hAnsi="Times New Roman"/>
          <w:color w:val="000000"/>
          <w:sz w:val="24"/>
        </w:rPr>
        <w:t xml:space="preserve">          4. 郭宗儒主编 《药物化学总论》      高等教育出版社   </w:t>
      </w:r>
    </w:p>
    <w:p>
      <w:pPr>
        <w:autoSpaceDE w:val="0"/>
        <w:autoSpaceDN w:val="0"/>
        <w:adjustRightInd w:val="0"/>
        <w:spacing w:line="360" w:lineRule="auto"/>
        <w:ind w:firstLine="480" w:firstLineChars="200"/>
        <w:jc w:val="left"/>
        <w:rPr>
          <w:rFonts w:ascii="Times New Roman" w:hAnsi="Times New Roman"/>
          <w:kern w:val="0"/>
          <w:sz w:val="24"/>
          <w:szCs w:val="21"/>
        </w:rPr>
      </w:pPr>
      <w:r>
        <w:rPr>
          <w:rFonts w:ascii="Times New Roman" w:hAnsi="Times New Roman"/>
          <w:sz w:val="24"/>
        </w:rPr>
        <w:t xml:space="preserve">                                                    </w:t>
      </w:r>
      <w:r>
        <w:rPr>
          <w:rFonts w:ascii="Times New Roman" w:hAnsi="Times New Roman"/>
          <w:kern w:val="0"/>
          <w:sz w:val="24"/>
          <w:szCs w:val="21"/>
        </w:rPr>
        <w:t>执笔人：王晋方</w:t>
      </w:r>
    </w:p>
    <w:p>
      <w:pPr>
        <w:autoSpaceDE w:val="0"/>
        <w:autoSpaceDN w:val="0"/>
        <w:adjustRightInd w:val="0"/>
        <w:spacing w:line="360" w:lineRule="auto"/>
        <w:ind w:firstLine="6720" w:firstLineChars="2800"/>
        <w:jc w:val="left"/>
        <w:rPr>
          <w:rFonts w:ascii="Times New Roman" w:hAnsi="Times New Roman"/>
          <w:kern w:val="0"/>
          <w:sz w:val="24"/>
          <w:szCs w:val="21"/>
        </w:rPr>
      </w:pPr>
      <w:r>
        <w:rPr>
          <w:rFonts w:ascii="Times New Roman" w:hAnsi="Times New Roman"/>
          <w:kern w:val="0"/>
          <w:sz w:val="24"/>
          <w:szCs w:val="21"/>
        </w:rPr>
        <w:t>审定人：</w:t>
      </w:r>
      <w:r>
        <w:rPr>
          <w:rFonts w:hint="eastAsia" w:ascii="Times New Roman" w:hAnsi="Times New Roman"/>
          <w:kern w:val="0"/>
          <w:sz w:val="24"/>
          <w:szCs w:val="21"/>
        </w:rPr>
        <w:t>魏雪娇</w:t>
      </w:r>
    </w:p>
    <w:p>
      <w:pPr>
        <w:autoSpaceDE w:val="0"/>
        <w:autoSpaceDN w:val="0"/>
        <w:adjustRightInd w:val="0"/>
        <w:spacing w:line="360" w:lineRule="auto"/>
        <w:ind w:firstLine="6480" w:firstLineChars="2700"/>
        <w:jc w:val="left"/>
        <w:rPr>
          <w:rFonts w:ascii="Times New Roman" w:hAnsi="Times New Roman"/>
          <w:kern w:val="0"/>
          <w:sz w:val="24"/>
          <w:szCs w:val="21"/>
        </w:rPr>
      </w:pPr>
      <w:r>
        <w:rPr>
          <w:rFonts w:ascii="Times New Roman" w:hAnsi="Times New Roman"/>
          <w:kern w:val="0"/>
          <w:sz w:val="24"/>
          <w:szCs w:val="21"/>
        </w:rPr>
        <w:t>审批人：吴泽颖</w:t>
      </w:r>
    </w:p>
    <w:p>
      <w:pPr>
        <w:autoSpaceDE w:val="0"/>
        <w:autoSpaceDN w:val="0"/>
        <w:adjustRightInd w:val="0"/>
        <w:spacing w:line="360" w:lineRule="auto"/>
        <w:ind w:firstLine="6240" w:firstLineChars="2600"/>
        <w:jc w:val="left"/>
        <w:rPr>
          <w:rFonts w:ascii="Times New Roman" w:hAnsi="Times New Roman"/>
          <w:kern w:val="0"/>
          <w:sz w:val="24"/>
          <w:szCs w:val="21"/>
        </w:rPr>
      </w:pPr>
      <w:r>
        <w:rPr>
          <w:rFonts w:ascii="Times New Roman" w:hAnsi="Times New Roman"/>
          <w:kern w:val="0"/>
          <w:sz w:val="24"/>
          <w:szCs w:val="21"/>
        </w:rPr>
        <w:t>批准时间：2021.9.1</w:t>
      </w:r>
    </w:p>
    <w:p>
      <w:pPr>
        <w:pStyle w:val="3"/>
        <w:bidi w:val="0"/>
        <w:jc w:val="center"/>
      </w:pPr>
      <w:bookmarkStart w:id="266" w:name="_Toc8282"/>
      <w:bookmarkStart w:id="267" w:name="_Toc20284"/>
      <w:r>
        <w:rPr>
          <w:rFonts w:hint="eastAsia"/>
        </w:rPr>
        <w:t>药物分析</w:t>
      </w:r>
      <w:r>
        <w:t>课程教学大纲</w:t>
      </w:r>
      <w:bookmarkEnd w:id="266"/>
      <w:bookmarkEnd w:id="267"/>
    </w:p>
    <w:p>
      <w:pPr>
        <w:jc w:val="center"/>
        <w:rPr>
          <w:rFonts w:hint="eastAsia"/>
        </w:rPr>
      </w:pPr>
      <w:r>
        <w:rPr>
          <w:rFonts w:hint="eastAsia"/>
          <w:b/>
          <w:bCs/>
          <w:sz w:val="30"/>
        </w:rPr>
        <w:t>（</w:t>
      </w:r>
      <w:r>
        <w:rPr>
          <w:rFonts w:hint="eastAsia" w:ascii="Times New Roman" w:hAnsi="Times New Roman" w:cs="Times New Roman"/>
          <w:b/>
          <w:bCs/>
          <w:sz w:val="30"/>
        </w:rPr>
        <w:t>Ph</w:t>
      </w:r>
      <w:r>
        <w:rPr>
          <w:rFonts w:ascii="Times New Roman" w:hAnsi="Times New Roman" w:cs="Times New Roman"/>
          <w:b/>
          <w:bCs/>
          <w:sz w:val="30"/>
        </w:rPr>
        <w:t>armaceutical</w:t>
      </w:r>
      <w:r>
        <w:rPr>
          <w:rFonts w:hint="eastAsia" w:ascii="Times New Roman" w:hAnsi="Times New Roman" w:cs="Times New Roman"/>
          <w:b/>
          <w:bCs/>
          <w:sz w:val="30"/>
        </w:rPr>
        <w:t xml:space="preserve"> A</w:t>
      </w:r>
      <w:r>
        <w:rPr>
          <w:rFonts w:ascii="Times New Roman" w:hAnsi="Times New Roman" w:cs="Times New Roman"/>
          <w:b/>
          <w:bCs/>
          <w:sz w:val="30"/>
        </w:rPr>
        <w:t>nalysis</w:t>
      </w:r>
      <w:r>
        <w:rPr>
          <w:rFonts w:hint="eastAsia"/>
          <w:b/>
          <w:bCs/>
          <w:sz w:val="30"/>
        </w:rPr>
        <w:t>）</w:t>
      </w:r>
    </w:p>
    <w:p>
      <w:pPr>
        <w:spacing w:line="312" w:lineRule="auto"/>
        <w:jc w:val="center"/>
        <w:rPr>
          <w:b/>
          <w:bCs/>
          <w:sz w:val="30"/>
        </w:rPr>
      </w:pPr>
    </w:p>
    <w:p>
      <w:pPr>
        <w:spacing w:line="360" w:lineRule="auto"/>
        <w:ind w:firstLine="551" w:firstLineChars="196"/>
        <w:rPr>
          <w:rFonts w:hint="eastAsia"/>
          <w:b/>
          <w:sz w:val="28"/>
          <w:szCs w:val="28"/>
        </w:rPr>
      </w:pPr>
      <w:r>
        <w:rPr>
          <w:b/>
          <w:sz w:val="28"/>
          <w:szCs w:val="28"/>
        </w:rPr>
        <w:t>一、课程概况</w:t>
      </w:r>
    </w:p>
    <w:p>
      <w:pPr>
        <w:spacing w:line="360" w:lineRule="auto"/>
        <w:ind w:firstLine="422" w:firstLineChars="200"/>
        <w:rPr>
          <w:b/>
          <w:sz w:val="28"/>
          <w:szCs w:val="28"/>
        </w:rPr>
      </w:pPr>
      <w:r>
        <w:rPr>
          <w:b/>
          <w:bCs/>
        </w:rPr>
        <w:t>课程代码</w:t>
      </w:r>
      <w:r>
        <w:rPr>
          <w:b/>
        </w:rPr>
        <w:t>：</w:t>
      </w:r>
      <w:r>
        <w:rPr>
          <w:rFonts w:ascii="Times New Roman" w:hAnsi="Times New Roman" w:cs="Times New Roman"/>
          <w:b/>
        </w:rPr>
        <w:t>2501025</w:t>
      </w:r>
    </w:p>
    <w:p>
      <w:pPr>
        <w:spacing w:line="360" w:lineRule="auto"/>
        <w:ind w:firstLine="422" w:firstLineChars="200"/>
        <w:rPr>
          <w:b/>
        </w:rPr>
      </w:pPr>
      <w:r>
        <w:rPr>
          <w:b/>
          <w:bCs/>
        </w:rPr>
        <w:t>学    分</w:t>
      </w:r>
      <w:r>
        <w:rPr>
          <w:b/>
        </w:rPr>
        <w:t>：</w:t>
      </w:r>
      <w:r>
        <w:rPr>
          <w:rFonts w:ascii="Times New Roman" w:hAnsi="Times New Roman" w:cs="Times New Roman"/>
          <w:b/>
        </w:rPr>
        <w:t>2</w:t>
      </w:r>
    </w:p>
    <w:p>
      <w:pPr>
        <w:spacing w:line="360" w:lineRule="auto"/>
        <w:ind w:firstLine="422" w:firstLineChars="200"/>
      </w:pPr>
      <w:r>
        <w:rPr>
          <w:b/>
          <w:bCs/>
        </w:rPr>
        <w:t>学    时</w:t>
      </w:r>
      <w:r>
        <w:rPr>
          <w:b/>
        </w:rPr>
        <w:t>：</w:t>
      </w:r>
      <w:r>
        <w:rPr>
          <w:rFonts w:ascii="Times New Roman" w:hAnsi="Times New Roman" w:cs="Times New Roman"/>
          <w:b/>
          <w:bCs/>
        </w:rPr>
        <w:t>32</w:t>
      </w:r>
    </w:p>
    <w:p>
      <w:pPr>
        <w:spacing w:line="360" w:lineRule="auto"/>
        <w:ind w:firstLine="422" w:firstLineChars="200"/>
        <w:rPr>
          <w:b/>
          <w:bCs/>
        </w:rPr>
      </w:pPr>
      <w:r>
        <w:rPr>
          <w:b/>
          <w:bCs/>
        </w:rPr>
        <w:t>先修课程</w:t>
      </w:r>
      <w:r>
        <w:rPr>
          <w:b/>
        </w:rPr>
        <w:t>：</w:t>
      </w:r>
      <w:r>
        <w:rPr>
          <w:rFonts w:hint="eastAsia"/>
          <w:b/>
        </w:rPr>
        <w:t>分析化学、分析化学实验、仪器分析与实验（双语）等</w:t>
      </w:r>
    </w:p>
    <w:p>
      <w:pPr>
        <w:spacing w:line="360" w:lineRule="auto"/>
        <w:ind w:firstLine="422" w:firstLineChars="200"/>
      </w:pPr>
      <w:r>
        <w:rPr>
          <w:b/>
          <w:bCs/>
        </w:rPr>
        <w:t>适用专业</w:t>
      </w:r>
      <w:r>
        <w:rPr>
          <w:b/>
        </w:rPr>
        <w:t>：</w:t>
      </w:r>
      <w:r>
        <w:t xml:space="preserve"> 化学工程与工艺</w:t>
      </w:r>
      <w:r>
        <w:rPr>
          <w:rFonts w:hint="eastAsia"/>
        </w:rPr>
        <w:t>、应用化学</w:t>
      </w:r>
    </w:p>
    <w:p>
      <w:pPr>
        <w:spacing w:line="360" w:lineRule="auto"/>
        <w:ind w:firstLine="422" w:firstLineChars="200"/>
      </w:pPr>
      <w:r>
        <w:rPr>
          <w:rFonts w:hint="eastAsia"/>
          <w:b/>
          <w:bCs/>
        </w:rPr>
        <w:t>建议</w:t>
      </w:r>
      <w:r>
        <w:rPr>
          <w:b/>
          <w:bCs/>
        </w:rPr>
        <w:t>教材</w:t>
      </w:r>
      <w:r>
        <w:rPr>
          <w:b/>
        </w:rPr>
        <w:t>：</w:t>
      </w:r>
      <w:r>
        <w:t>《</w:t>
      </w:r>
      <w:r>
        <w:rPr>
          <w:rFonts w:hint="eastAsia"/>
        </w:rPr>
        <w:t>药物分析</w:t>
      </w:r>
      <w:r>
        <w:t>》，</w:t>
      </w:r>
      <w:r>
        <w:rPr>
          <w:rFonts w:hint="eastAsia"/>
        </w:rPr>
        <w:t>于治国、宋粉云，中国医药科技</w:t>
      </w:r>
      <w:r>
        <w:t>出版社，</w:t>
      </w:r>
      <w:r>
        <w:rPr>
          <w:rFonts w:hint="eastAsia"/>
        </w:rPr>
        <w:t>20</w:t>
      </w:r>
      <w:r>
        <w:t>10</w:t>
      </w:r>
      <w:r>
        <w:rPr>
          <w:rFonts w:hint="eastAsia"/>
        </w:rPr>
        <w:t>年</w:t>
      </w:r>
    </w:p>
    <w:p>
      <w:pPr>
        <w:spacing w:line="360" w:lineRule="auto"/>
        <w:ind w:firstLine="422" w:firstLineChars="200"/>
      </w:pPr>
      <w:r>
        <w:rPr>
          <w:b/>
          <w:bCs/>
        </w:rPr>
        <w:t>课程归口：</w:t>
      </w:r>
      <w:r>
        <w:rPr>
          <w:rFonts w:hint="eastAsia"/>
          <w:bCs/>
        </w:rPr>
        <w:t>化工与材料</w:t>
      </w:r>
      <w:r>
        <w:t>学院</w:t>
      </w:r>
    </w:p>
    <w:p>
      <w:pPr>
        <w:spacing w:line="360" w:lineRule="auto"/>
        <w:ind w:firstLine="422" w:firstLineChars="200"/>
        <w:rPr>
          <w:rFonts w:hint="eastAsia"/>
          <w:b/>
          <w:bCs/>
        </w:rPr>
      </w:pPr>
      <w:r>
        <w:rPr>
          <w:rFonts w:hint="eastAsia"/>
          <w:b/>
          <w:bCs/>
        </w:rPr>
        <w:t>课程团队：</w:t>
      </w:r>
      <w:r>
        <w:rPr>
          <w:rFonts w:hint="eastAsia"/>
        </w:rPr>
        <w:t>壮亚峰、刘福燕、张微、吴泽颖、王文娟、丁琳琳、邓瑶瑶、</w:t>
      </w:r>
      <w:r>
        <w:t>陈建欣</w:t>
      </w:r>
      <w:r>
        <w:rPr>
          <w:rFonts w:hint="eastAsia"/>
        </w:rPr>
        <w:t>、</w:t>
      </w:r>
      <w:r>
        <w:t>向梅、张震威</w:t>
      </w:r>
      <w:r>
        <w:rPr>
          <w:rFonts w:hint="eastAsia"/>
        </w:rPr>
        <w:t>等</w:t>
      </w:r>
    </w:p>
    <w:p>
      <w:pPr>
        <w:pStyle w:val="5"/>
        <w:spacing w:line="360" w:lineRule="auto"/>
        <w:ind w:firstLine="482"/>
        <w:rPr>
          <w:rFonts w:ascii="Times New Roman" w:hAnsi="Times New Roman"/>
          <w:bCs/>
          <w:color w:val="000000"/>
        </w:rPr>
      </w:pPr>
      <w:r>
        <w:rPr>
          <w:rFonts w:hint="eastAsia"/>
          <w:b/>
          <w:bCs/>
        </w:rPr>
        <w:t>课程的性质与任务：</w:t>
      </w:r>
      <w:r>
        <w:rPr>
          <w:rFonts w:ascii="Times New Roman" w:hAnsi="Times New Roman"/>
          <w:bCs/>
        </w:rPr>
        <w:t>本课程</w:t>
      </w:r>
      <w:r>
        <w:rPr>
          <w:rFonts w:ascii="Times New Roman" w:hAnsi="Times New Roman"/>
        </w:rPr>
        <w:t>是</w:t>
      </w:r>
      <w:r>
        <w:rPr>
          <w:rFonts w:hint="eastAsia" w:ascii="Times New Roman" w:hAnsi="Times New Roman"/>
        </w:rPr>
        <w:t>化学工程与工艺、应用化学</w:t>
      </w:r>
      <w:r>
        <w:rPr>
          <w:rFonts w:ascii="Times New Roman" w:hAnsi="Times New Roman"/>
        </w:rPr>
        <w:t>专业的一门专业</w:t>
      </w:r>
      <w:r>
        <w:rPr>
          <w:rFonts w:hint="eastAsia" w:ascii="Times New Roman" w:hAnsi="Times New Roman"/>
        </w:rPr>
        <w:t>课程选修课</w:t>
      </w:r>
      <w:r>
        <w:rPr>
          <w:rFonts w:ascii="Times New Roman" w:hAnsi="Times New Roman"/>
        </w:rPr>
        <w:t>，</w:t>
      </w:r>
      <w:r>
        <w:rPr>
          <w:rFonts w:hint="eastAsia" w:ascii="Times New Roman" w:hAnsi="Times New Roman"/>
        </w:rPr>
        <w:t>是研究化学合成药物和化学结构已经明确的天然药物及其制剂的质量问题，同时涉及生化药物、中药制剂的质量控制</w:t>
      </w:r>
      <w:r>
        <w:rPr>
          <w:rFonts w:hint="eastAsia" w:ascii="Times New Roman" w:hAnsi="Times New Roman"/>
          <w:bCs/>
          <w:color w:val="000000"/>
        </w:rPr>
        <w:t>。为了全面控制药物的质量，保证用药的安全、合理、有效，在药品的生产、保管、供应、调配以及临床使用过程中都应该经过严格的分析检验。</w:t>
      </w:r>
    </w:p>
    <w:p>
      <w:pPr>
        <w:pStyle w:val="5"/>
        <w:spacing w:line="360" w:lineRule="auto"/>
        <w:ind w:firstLine="480"/>
        <w:rPr>
          <w:rFonts w:ascii="Times New Roman" w:hAnsi="Times New Roman"/>
          <w:bCs/>
          <w:color w:val="000000"/>
        </w:rPr>
      </w:pPr>
      <w:r>
        <w:rPr>
          <w:rFonts w:hint="eastAsia" w:ascii="Times New Roman" w:hAnsi="Times New Roman"/>
          <w:bCs/>
          <w:color w:val="000000"/>
        </w:rPr>
        <w:t>通过本课程的学习，能</w:t>
      </w:r>
      <w:r>
        <w:rPr>
          <w:rFonts w:hint="eastAsia"/>
          <w:color w:val="000000"/>
          <w:szCs w:val="21"/>
        </w:rPr>
        <w:t>树立全面控制药物质量的观念，掌握药物的化学结构与药物质量控制所用分析方法之间的关系，掌握所用方法的基本原理与方法</w:t>
      </w:r>
      <w:r>
        <w:rPr>
          <w:rFonts w:hint="eastAsia" w:ascii="Times New Roman" w:hAnsi="Times New Roman"/>
          <w:bCs/>
          <w:color w:val="000000"/>
        </w:rPr>
        <w:t>；树立牢固的专业思想，具有良好的思想品质、职业道德和为人类健康服务的奉献精神。</w:t>
      </w:r>
    </w:p>
    <w:p>
      <w:pPr>
        <w:spacing w:line="360" w:lineRule="auto"/>
        <w:rPr>
          <w:b/>
          <w:bCs/>
          <w:sz w:val="28"/>
          <w:szCs w:val="28"/>
        </w:rPr>
      </w:pPr>
      <w:r>
        <w:rPr>
          <w:rFonts w:hint="eastAsia"/>
          <w:b/>
          <w:bCs/>
          <w:sz w:val="28"/>
          <w:szCs w:val="28"/>
        </w:rPr>
        <w:t>二、课程目标对毕业要求观测点的支撑</w:t>
      </w:r>
    </w:p>
    <w:tbl>
      <w:tblPr>
        <w:tblStyle w:val="10"/>
        <w:tblW w:w="8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4296"/>
        <w:gridCol w:w="3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38" w:type="dxa"/>
            <w:noWrap/>
            <w:vAlign w:val="center"/>
          </w:tcPr>
          <w:p>
            <w:pPr>
              <w:jc w:val="center"/>
              <w:rPr>
                <w:b/>
                <w:bCs/>
              </w:rPr>
            </w:pPr>
            <w:r>
              <w:rPr>
                <w:b/>
                <w:bCs/>
              </w:rPr>
              <w:t>序号</w:t>
            </w:r>
          </w:p>
        </w:tc>
        <w:tc>
          <w:tcPr>
            <w:tcW w:w="4296" w:type="dxa"/>
            <w:noWrap/>
            <w:vAlign w:val="center"/>
          </w:tcPr>
          <w:p>
            <w:pPr>
              <w:jc w:val="center"/>
              <w:rPr>
                <w:rFonts w:hint="eastAsia"/>
                <w:b/>
                <w:bCs/>
              </w:rPr>
            </w:pPr>
            <w:r>
              <w:rPr>
                <w:b/>
                <w:bCs/>
              </w:rPr>
              <w:t>课程目标</w:t>
            </w:r>
          </w:p>
        </w:tc>
        <w:tc>
          <w:tcPr>
            <w:tcW w:w="3934" w:type="dxa"/>
            <w:noWrap/>
            <w:vAlign w:val="center"/>
          </w:tcPr>
          <w:p>
            <w:pPr>
              <w:jc w:val="center"/>
              <w:rPr>
                <w:rFonts w:hint="eastAsia"/>
                <w:b/>
                <w:bCs/>
              </w:rPr>
            </w:pPr>
            <w:r>
              <w:rPr>
                <w:b/>
                <w:bCs/>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38" w:type="dxa"/>
            <w:noWrap/>
            <w:vAlign w:val="center"/>
          </w:tcPr>
          <w:p>
            <w:pPr>
              <w:jc w:val="center"/>
              <w:rPr>
                <w:sz w:val="21"/>
                <w:szCs w:val="21"/>
              </w:rPr>
            </w:pPr>
            <w:r>
              <w:rPr>
                <w:rFonts w:hint="eastAsia"/>
                <w:sz w:val="21"/>
                <w:szCs w:val="21"/>
              </w:rPr>
              <w:t>1</w:t>
            </w:r>
          </w:p>
        </w:tc>
        <w:tc>
          <w:tcPr>
            <w:tcW w:w="4296" w:type="dxa"/>
            <w:noWrap/>
            <w:vAlign w:val="center"/>
          </w:tcPr>
          <w:p>
            <w:pPr>
              <w:rPr>
                <w:b/>
                <w:sz w:val="21"/>
                <w:szCs w:val="21"/>
              </w:rPr>
            </w:pPr>
            <w:r>
              <w:rPr>
                <w:rFonts w:hint="eastAsia"/>
                <w:b/>
                <w:sz w:val="21"/>
                <w:szCs w:val="21"/>
              </w:rPr>
              <w:t>目标1.</w:t>
            </w:r>
            <w:r>
              <w:rPr>
                <w:rFonts w:hint="eastAsia"/>
                <w:color w:val="000000"/>
                <w:sz w:val="21"/>
                <w:szCs w:val="21"/>
              </w:rPr>
              <w:t xml:space="preserve"> </w:t>
            </w:r>
            <w:r>
              <w:rPr>
                <w:rFonts w:hint="eastAsia" w:ascii="Times New Roman" w:hAnsi="Times New Roman"/>
                <w:bCs/>
                <w:color w:val="000000"/>
                <w:sz w:val="21"/>
                <w:szCs w:val="21"/>
              </w:rPr>
              <w:t>能树立比较完整的药品质量概念，能够掌握常用药物的鉴别、杂质检查与含量测定的原理与方法，能从药物的化学结构出发、结合理化特性，能综合运用所学知识，在制定药品质量标准以及分析方法之间的评价比较远与选取上具有一定的能力</w:t>
            </w:r>
            <w:r>
              <w:rPr>
                <w:rFonts w:hint="eastAsia"/>
                <w:sz w:val="21"/>
                <w:szCs w:val="21"/>
              </w:rPr>
              <w:t>。</w:t>
            </w:r>
          </w:p>
        </w:tc>
        <w:tc>
          <w:tcPr>
            <w:tcW w:w="3934" w:type="dxa"/>
            <w:noWrap/>
            <w:vAlign w:val="center"/>
          </w:tcPr>
          <w:p>
            <w:pPr>
              <w:rPr>
                <w:b/>
                <w:sz w:val="21"/>
                <w:szCs w:val="21"/>
              </w:rPr>
            </w:pPr>
            <w:r>
              <w:rPr>
                <w:rFonts w:ascii="Times New Roman" w:hAnsi="Times New Roman"/>
                <w:b/>
                <w:bCs/>
                <w:color w:val="000000"/>
                <w:sz w:val="21"/>
                <w:szCs w:val="22"/>
              </w:rPr>
              <w:t>毕业要求4：</w:t>
            </w:r>
            <w:r>
              <w:rPr>
                <w:rFonts w:ascii="Times New Roman" w:hAnsi="Times New Roman"/>
                <w:color w:val="000000"/>
                <w:sz w:val="21"/>
                <w:szCs w:val="22"/>
              </w:rPr>
              <w:t>研究：能够基于科学原理并采用科学方法对</w:t>
            </w:r>
            <w:r>
              <w:rPr>
                <w:rFonts w:ascii="Times New Roman" w:hAnsi="Times New Roman"/>
                <w:sz w:val="21"/>
                <w:szCs w:val="21"/>
              </w:rPr>
              <w:t>应用化学领域</w:t>
            </w:r>
            <w:r>
              <w:rPr>
                <w:rFonts w:ascii="Times New Roman" w:hAnsi="Times New Roman"/>
                <w:color w:val="000000"/>
                <w:sz w:val="21"/>
                <w:szCs w:val="21"/>
              </w:rPr>
              <w:t>复杂工</w:t>
            </w:r>
            <w:r>
              <w:rPr>
                <w:rFonts w:ascii="Times New Roman" w:hAnsi="Times New Roman"/>
                <w:color w:val="000000"/>
                <w:sz w:val="21"/>
                <w:szCs w:val="22"/>
              </w:rPr>
              <w:t>程问题进行研究，包括设计实验、分析与解释数据，并通过信息综合得到合理有效的结论。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38" w:type="dxa"/>
            <w:noWrap/>
            <w:vAlign w:val="center"/>
          </w:tcPr>
          <w:p>
            <w:pPr>
              <w:jc w:val="center"/>
              <w:rPr>
                <w:sz w:val="21"/>
                <w:szCs w:val="21"/>
              </w:rPr>
            </w:pPr>
            <w:r>
              <w:rPr>
                <w:rFonts w:hint="eastAsia"/>
                <w:sz w:val="21"/>
                <w:szCs w:val="21"/>
              </w:rPr>
              <w:t>2</w:t>
            </w:r>
          </w:p>
        </w:tc>
        <w:tc>
          <w:tcPr>
            <w:tcW w:w="4296" w:type="dxa"/>
            <w:noWrap/>
            <w:vAlign w:val="center"/>
          </w:tcPr>
          <w:p>
            <w:pPr>
              <w:rPr>
                <w:b/>
                <w:sz w:val="21"/>
                <w:szCs w:val="21"/>
              </w:rPr>
            </w:pPr>
            <w:r>
              <w:rPr>
                <w:rFonts w:hint="eastAsia"/>
                <w:b/>
                <w:sz w:val="21"/>
                <w:szCs w:val="21"/>
              </w:rPr>
              <w:t>目标2.</w:t>
            </w:r>
            <w:r>
              <w:rPr>
                <w:rFonts w:hint="eastAsia"/>
                <w:color w:val="000000"/>
                <w:sz w:val="21"/>
                <w:szCs w:val="21"/>
              </w:rPr>
              <w:t xml:space="preserve"> </w:t>
            </w:r>
            <w:r>
              <w:rPr>
                <w:rFonts w:hint="eastAsia"/>
                <w:sz w:val="21"/>
                <w:szCs w:val="21"/>
              </w:rPr>
              <w:t>以社会主义核心价值观为中心，深入理解专业特色，培养以严谨求实、精益求精为基石的科学精神。</w:t>
            </w:r>
          </w:p>
        </w:tc>
        <w:tc>
          <w:tcPr>
            <w:tcW w:w="3934" w:type="dxa"/>
            <w:noWrap/>
            <w:vAlign w:val="center"/>
          </w:tcPr>
          <w:p>
            <w:pPr>
              <w:rPr>
                <w:b/>
                <w:sz w:val="21"/>
                <w:szCs w:val="21"/>
              </w:rPr>
            </w:pPr>
            <w:r>
              <w:rPr>
                <w:rFonts w:ascii="Times New Roman" w:hAnsi="Times New Roman"/>
                <w:b/>
                <w:bCs/>
                <w:color w:val="000000"/>
                <w:sz w:val="21"/>
                <w:szCs w:val="21"/>
              </w:rPr>
              <w:t>毕业要求12：</w:t>
            </w:r>
            <w:r>
              <w:rPr>
                <w:rFonts w:ascii="Times New Roman" w:hAnsi="Times New Roman"/>
                <w:color w:val="000000"/>
                <w:sz w:val="21"/>
                <w:szCs w:val="21"/>
              </w:rPr>
              <w:t>终身学习：具有自主学习和终身学习的意识，能够追踪</w:t>
            </w:r>
            <w:r>
              <w:rPr>
                <w:rFonts w:ascii="Times New Roman" w:hAnsi="Times New Roman"/>
                <w:sz w:val="21"/>
                <w:szCs w:val="21"/>
              </w:rPr>
              <w:t>应用化学相关领域的发展动态，</w:t>
            </w:r>
            <w:r>
              <w:rPr>
                <w:rFonts w:ascii="Times New Roman" w:hAnsi="Times New Roman"/>
                <w:color w:val="000000"/>
                <w:sz w:val="21"/>
                <w:szCs w:val="21"/>
              </w:rPr>
              <w:t>有不断学习和适应发展的能力。</w:t>
            </w:r>
          </w:p>
        </w:tc>
      </w:tr>
    </w:tbl>
    <w:p>
      <w:pPr>
        <w:spacing w:line="360" w:lineRule="auto"/>
        <w:rPr>
          <w:b/>
          <w:bCs/>
          <w:sz w:val="28"/>
          <w:szCs w:val="28"/>
        </w:rPr>
      </w:pPr>
      <w:r>
        <w:rPr>
          <w:rFonts w:hint="eastAsia"/>
          <w:b/>
          <w:bCs/>
          <w:sz w:val="28"/>
          <w:szCs w:val="28"/>
        </w:rPr>
        <w:t>三、课程内容及要求</w:t>
      </w:r>
    </w:p>
    <w:tbl>
      <w:tblPr>
        <w:tblStyle w:val="10"/>
        <w:tblW w:w="9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2632"/>
        <w:gridCol w:w="1134"/>
        <w:gridCol w:w="2028"/>
        <w:gridCol w:w="699"/>
        <w:gridCol w:w="975"/>
        <w:gridCol w:w="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b/>
                <w:bCs/>
              </w:rPr>
            </w:pPr>
            <w:r>
              <w:rPr>
                <w:b/>
                <w:bCs/>
              </w:rPr>
              <w:t>序号</w:t>
            </w:r>
          </w:p>
        </w:tc>
        <w:tc>
          <w:tcPr>
            <w:tcW w:w="2632" w:type="dxa"/>
            <w:noWrap w:val="0"/>
            <w:vAlign w:val="center"/>
          </w:tcPr>
          <w:p>
            <w:pPr>
              <w:jc w:val="center"/>
              <w:rPr>
                <w:b/>
                <w:bCs/>
              </w:rPr>
            </w:pPr>
            <w:r>
              <w:rPr>
                <w:b/>
                <w:bCs/>
              </w:rPr>
              <w:t>教学内容</w:t>
            </w:r>
          </w:p>
        </w:tc>
        <w:tc>
          <w:tcPr>
            <w:tcW w:w="1134" w:type="dxa"/>
            <w:noWrap w:val="0"/>
            <w:vAlign w:val="center"/>
          </w:tcPr>
          <w:p>
            <w:pPr>
              <w:jc w:val="center"/>
              <w:rPr>
                <w:b/>
                <w:bCs/>
              </w:rPr>
            </w:pPr>
            <w:r>
              <w:rPr>
                <w:b/>
                <w:bCs/>
              </w:rPr>
              <w:t>思政元素</w:t>
            </w:r>
          </w:p>
        </w:tc>
        <w:tc>
          <w:tcPr>
            <w:tcW w:w="2028" w:type="dxa"/>
            <w:noWrap w:val="0"/>
            <w:vAlign w:val="center"/>
          </w:tcPr>
          <w:p>
            <w:pPr>
              <w:jc w:val="center"/>
              <w:rPr>
                <w:rFonts w:hint="eastAsia"/>
                <w:b/>
                <w:bCs/>
              </w:rPr>
            </w:pPr>
            <w:r>
              <w:rPr>
                <w:b/>
                <w:bCs/>
              </w:rPr>
              <w:t>预期学习成果</w:t>
            </w:r>
          </w:p>
        </w:tc>
        <w:tc>
          <w:tcPr>
            <w:tcW w:w="699" w:type="dxa"/>
            <w:noWrap w:val="0"/>
            <w:vAlign w:val="center"/>
          </w:tcPr>
          <w:p>
            <w:pPr>
              <w:jc w:val="center"/>
              <w:rPr>
                <w:b/>
                <w:bCs/>
              </w:rPr>
            </w:pPr>
            <w:r>
              <w:rPr>
                <w:b/>
                <w:bCs/>
              </w:rPr>
              <w:t>教学学时</w:t>
            </w:r>
          </w:p>
        </w:tc>
        <w:tc>
          <w:tcPr>
            <w:tcW w:w="975" w:type="dxa"/>
            <w:noWrap w:val="0"/>
            <w:vAlign w:val="center"/>
          </w:tcPr>
          <w:p>
            <w:pPr>
              <w:jc w:val="center"/>
              <w:rPr>
                <w:b/>
                <w:bCs/>
              </w:rPr>
            </w:pPr>
            <w:r>
              <w:rPr>
                <w:b/>
                <w:bCs/>
              </w:rPr>
              <w:t>教学方式</w:t>
            </w:r>
          </w:p>
        </w:tc>
        <w:tc>
          <w:tcPr>
            <w:tcW w:w="925" w:type="dxa"/>
            <w:noWrap w:val="0"/>
            <w:vAlign w:val="center"/>
          </w:tcPr>
          <w:p>
            <w:pPr>
              <w:jc w:val="center"/>
              <w:rPr>
                <w:b/>
                <w:bCs/>
              </w:rPr>
            </w:pPr>
            <w:r>
              <w:rPr>
                <w:b/>
                <w:bCs/>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sz w:val="21"/>
                <w:szCs w:val="21"/>
              </w:rPr>
            </w:pPr>
            <w:r>
              <w:rPr>
                <w:sz w:val="21"/>
                <w:szCs w:val="21"/>
              </w:rPr>
              <w:t>1</w:t>
            </w:r>
          </w:p>
        </w:tc>
        <w:tc>
          <w:tcPr>
            <w:tcW w:w="2632" w:type="dxa"/>
            <w:noWrap w:val="0"/>
            <w:vAlign w:val="center"/>
          </w:tcPr>
          <w:p>
            <w:pPr>
              <w:rPr>
                <w:b/>
                <w:sz w:val="21"/>
                <w:szCs w:val="21"/>
              </w:rPr>
            </w:pPr>
            <w:r>
              <w:rPr>
                <w:rFonts w:hint="eastAsia"/>
                <w:b/>
                <w:sz w:val="21"/>
                <w:szCs w:val="21"/>
              </w:rPr>
              <w:t>概论：</w:t>
            </w:r>
          </w:p>
          <w:p>
            <w:pPr>
              <w:rPr>
                <w:rFonts w:hint="eastAsia"/>
                <w:sz w:val="21"/>
                <w:szCs w:val="21"/>
              </w:rPr>
            </w:pPr>
            <w:r>
              <w:rPr>
                <w:sz w:val="21"/>
                <w:szCs w:val="21"/>
              </w:rPr>
              <w:t>（1）</w:t>
            </w:r>
            <w:r>
              <w:rPr>
                <w:rFonts w:hint="eastAsia"/>
                <w:color w:val="000000"/>
                <w:sz w:val="21"/>
                <w:szCs w:val="21"/>
              </w:rPr>
              <w:t>药物分析的性质和任务、中国药典的内容</w:t>
            </w:r>
          </w:p>
          <w:p>
            <w:pPr>
              <w:rPr>
                <w:color w:val="000000"/>
                <w:sz w:val="21"/>
                <w:szCs w:val="21"/>
              </w:rPr>
            </w:pPr>
            <w:r>
              <w:rPr>
                <w:sz w:val="21"/>
                <w:szCs w:val="21"/>
              </w:rPr>
              <w:t>（2）</w:t>
            </w:r>
            <w:r>
              <w:rPr>
                <w:rFonts w:hint="eastAsia"/>
                <w:color w:val="000000"/>
                <w:sz w:val="21"/>
                <w:szCs w:val="21"/>
              </w:rPr>
              <w:t>药品质量标准和药品检验工作的基本程序</w:t>
            </w:r>
          </w:p>
          <w:p>
            <w:pPr>
              <w:rPr>
                <w:rFonts w:hint="eastAsia"/>
                <w:sz w:val="21"/>
                <w:szCs w:val="21"/>
              </w:rPr>
            </w:pPr>
            <w:r>
              <w:rPr>
                <w:rFonts w:hint="eastAsia"/>
                <w:color w:val="000000"/>
                <w:sz w:val="21"/>
                <w:szCs w:val="21"/>
              </w:rPr>
              <w:t>（3）药物分析发展趋势</w:t>
            </w:r>
          </w:p>
        </w:tc>
        <w:tc>
          <w:tcPr>
            <w:tcW w:w="1134" w:type="dxa"/>
            <w:noWrap w:val="0"/>
            <w:vAlign w:val="center"/>
          </w:tcPr>
          <w:p>
            <w:pPr>
              <w:autoSpaceDE w:val="0"/>
              <w:autoSpaceDN w:val="0"/>
              <w:adjustRightInd w:val="0"/>
              <w:rPr>
                <w:sz w:val="21"/>
                <w:szCs w:val="21"/>
              </w:rPr>
            </w:pPr>
            <w:r>
              <w:rPr>
                <w:rFonts w:hint="eastAsia"/>
                <w:color w:val="000000"/>
                <w:sz w:val="21"/>
                <w:szCs w:val="21"/>
              </w:rPr>
              <w:t>形成良好的职业习惯和为医药事业而奋斗的使命感</w:t>
            </w:r>
          </w:p>
        </w:tc>
        <w:tc>
          <w:tcPr>
            <w:tcW w:w="2028" w:type="dxa"/>
            <w:noWrap w:val="0"/>
            <w:vAlign w:val="center"/>
          </w:tcPr>
          <w:p>
            <w:pPr>
              <w:rPr>
                <w:sz w:val="21"/>
                <w:szCs w:val="21"/>
              </w:rPr>
            </w:pPr>
            <w:r>
              <w:rPr>
                <w:sz w:val="21"/>
                <w:szCs w:val="21"/>
              </w:rPr>
              <w:t>（1）</w:t>
            </w:r>
            <w:r>
              <w:rPr>
                <w:rFonts w:hint="eastAsia"/>
                <w:sz w:val="21"/>
                <w:szCs w:val="21"/>
              </w:rPr>
              <w:t>了解</w:t>
            </w:r>
            <w:r>
              <w:rPr>
                <w:rFonts w:hint="eastAsia"/>
                <w:color w:val="000000"/>
                <w:sz w:val="21"/>
                <w:szCs w:val="21"/>
              </w:rPr>
              <w:t>药物分析的性质和任务</w:t>
            </w:r>
          </w:p>
          <w:p>
            <w:pPr>
              <w:rPr>
                <w:sz w:val="21"/>
                <w:szCs w:val="21"/>
              </w:rPr>
            </w:pPr>
            <w:r>
              <w:rPr>
                <w:rFonts w:hint="eastAsia"/>
                <w:sz w:val="21"/>
                <w:szCs w:val="21"/>
              </w:rPr>
              <w:t>（2）熟悉我国药品质量管理规范</w:t>
            </w:r>
          </w:p>
          <w:p>
            <w:pPr>
              <w:rPr>
                <w:rFonts w:hint="eastAsia"/>
                <w:sz w:val="21"/>
                <w:szCs w:val="21"/>
              </w:rPr>
            </w:pPr>
            <w:r>
              <w:rPr>
                <w:rFonts w:hint="eastAsia"/>
                <w:sz w:val="21"/>
                <w:szCs w:val="21"/>
              </w:rPr>
              <w:t>（3）了解药物分析的发展趋势</w:t>
            </w:r>
          </w:p>
        </w:tc>
        <w:tc>
          <w:tcPr>
            <w:tcW w:w="699" w:type="dxa"/>
            <w:noWrap w:val="0"/>
            <w:vAlign w:val="center"/>
          </w:tcPr>
          <w:p>
            <w:pPr>
              <w:jc w:val="center"/>
              <w:rPr>
                <w:sz w:val="21"/>
                <w:szCs w:val="21"/>
              </w:rPr>
            </w:pPr>
            <w:r>
              <w:rPr>
                <w:sz w:val="21"/>
                <w:szCs w:val="21"/>
              </w:rPr>
              <w:t>2</w:t>
            </w:r>
            <w:r>
              <w:rPr>
                <w:rFonts w:hint="eastAsia"/>
                <w:sz w:val="21"/>
                <w:szCs w:val="21"/>
              </w:rPr>
              <w:t>（讲授）</w:t>
            </w:r>
          </w:p>
        </w:tc>
        <w:tc>
          <w:tcPr>
            <w:tcW w:w="975" w:type="dxa"/>
            <w:noWrap w:val="0"/>
            <w:vAlign w:val="center"/>
          </w:tcPr>
          <w:p>
            <w:pPr>
              <w:rPr>
                <w:sz w:val="21"/>
                <w:szCs w:val="21"/>
              </w:rPr>
            </w:pPr>
            <w:r>
              <w:rPr>
                <w:sz w:val="21"/>
                <w:szCs w:val="21"/>
              </w:rPr>
              <w:t>讲授/讨论/实例教学等</w:t>
            </w:r>
          </w:p>
        </w:tc>
        <w:tc>
          <w:tcPr>
            <w:tcW w:w="925" w:type="dxa"/>
            <w:noWrap w:val="0"/>
            <w:vAlign w:val="center"/>
          </w:tcPr>
          <w:p>
            <w:pPr>
              <w:jc w:val="center"/>
              <w:rPr>
                <w:b/>
                <w:sz w:val="21"/>
                <w:szCs w:val="21"/>
              </w:rPr>
            </w:pPr>
            <w:r>
              <w:rPr>
                <w:b/>
                <w:sz w:val="21"/>
                <w:szCs w:val="21"/>
              </w:rPr>
              <w:t>目标</w:t>
            </w:r>
            <w:r>
              <w:rPr>
                <w:rFonts w:hint="eastAsia"/>
                <w:b/>
                <w:sz w:val="21"/>
                <w:szCs w:val="21"/>
              </w:rPr>
              <w:t>1</w:t>
            </w:r>
          </w:p>
          <w:p>
            <w:pPr>
              <w:jc w:val="center"/>
              <w:rPr>
                <w:sz w:val="21"/>
                <w:szCs w:val="21"/>
              </w:rPr>
            </w:pPr>
            <w:r>
              <w:rPr>
                <w:rFonts w:hint="eastAsia"/>
                <w:b/>
                <w:sz w:val="21"/>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sz w:val="21"/>
                <w:szCs w:val="21"/>
              </w:rPr>
            </w:pPr>
            <w:r>
              <w:rPr>
                <w:rFonts w:hint="eastAsia"/>
                <w:sz w:val="21"/>
                <w:szCs w:val="21"/>
              </w:rPr>
              <w:t>2</w:t>
            </w:r>
          </w:p>
        </w:tc>
        <w:tc>
          <w:tcPr>
            <w:tcW w:w="2632" w:type="dxa"/>
            <w:noWrap w:val="0"/>
            <w:vAlign w:val="center"/>
          </w:tcPr>
          <w:p>
            <w:pPr>
              <w:rPr>
                <w:b/>
                <w:sz w:val="21"/>
                <w:szCs w:val="21"/>
              </w:rPr>
            </w:pPr>
            <w:r>
              <w:rPr>
                <w:rFonts w:hint="eastAsia"/>
                <w:b/>
                <w:sz w:val="21"/>
                <w:szCs w:val="21"/>
              </w:rPr>
              <w:t>分析样品的制备：</w:t>
            </w:r>
          </w:p>
          <w:p>
            <w:pPr>
              <w:rPr>
                <w:color w:val="000000"/>
                <w:sz w:val="21"/>
                <w:szCs w:val="21"/>
              </w:rPr>
            </w:pPr>
            <w:r>
              <w:rPr>
                <w:color w:val="000000"/>
                <w:sz w:val="21"/>
                <w:szCs w:val="21"/>
              </w:rPr>
              <w:t>（1）</w:t>
            </w:r>
            <w:r>
              <w:rPr>
                <w:rFonts w:hint="eastAsia"/>
                <w:color w:val="000000"/>
                <w:sz w:val="21"/>
                <w:szCs w:val="21"/>
              </w:rPr>
              <w:t>化学原料药分析样品的制备方法</w:t>
            </w:r>
          </w:p>
          <w:p>
            <w:pPr>
              <w:rPr>
                <w:color w:val="000000"/>
                <w:sz w:val="21"/>
                <w:szCs w:val="21"/>
              </w:rPr>
            </w:pPr>
            <w:r>
              <w:rPr>
                <w:rFonts w:hint="eastAsia"/>
                <w:color w:val="000000"/>
                <w:sz w:val="21"/>
                <w:szCs w:val="21"/>
              </w:rPr>
              <w:t>（2）化学药物制剂分析样品的制备方法</w:t>
            </w:r>
          </w:p>
          <w:p>
            <w:pPr>
              <w:rPr>
                <w:color w:val="000000"/>
                <w:sz w:val="21"/>
                <w:szCs w:val="21"/>
              </w:rPr>
            </w:pPr>
            <w:r>
              <w:rPr>
                <w:rFonts w:hint="eastAsia"/>
                <w:color w:val="000000"/>
                <w:sz w:val="21"/>
                <w:szCs w:val="21"/>
              </w:rPr>
              <w:t>（3）中药及其制剂分析样品的制备方法</w:t>
            </w:r>
          </w:p>
          <w:p>
            <w:pPr>
              <w:rPr>
                <w:rFonts w:hint="eastAsia"/>
                <w:color w:val="000000"/>
                <w:sz w:val="21"/>
                <w:szCs w:val="21"/>
              </w:rPr>
            </w:pPr>
            <w:r>
              <w:rPr>
                <w:rFonts w:hint="eastAsia"/>
                <w:color w:val="000000"/>
                <w:sz w:val="21"/>
                <w:szCs w:val="21"/>
              </w:rPr>
              <w:t>（</w:t>
            </w:r>
            <w:r>
              <w:rPr>
                <w:color w:val="000000"/>
                <w:sz w:val="21"/>
                <w:szCs w:val="21"/>
              </w:rPr>
              <w:t>4</w:t>
            </w:r>
            <w:r>
              <w:rPr>
                <w:rFonts w:hint="eastAsia"/>
                <w:color w:val="000000"/>
                <w:sz w:val="21"/>
                <w:szCs w:val="21"/>
              </w:rPr>
              <w:t>）生物样品分析样品的制备方法</w:t>
            </w:r>
          </w:p>
        </w:tc>
        <w:tc>
          <w:tcPr>
            <w:tcW w:w="1134" w:type="dxa"/>
            <w:noWrap w:val="0"/>
            <w:vAlign w:val="center"/>
          </w:tcPr>
          <w:p>
            <w:pPr>
              <w:autoSpaceDE w:val="0"/>
              <w:autoSpaceDN w:val="0"/>
              <w:adjustRightInd w:val="0"/>
              <w:rPr>
                <w:rFonts w:hint="eastAsia"/>
                <w:color w:val="000000"/>
                <w:sz w:val="21"/>
                <w:szCs w:val="21"/>
              </w:rPr>
            </w:pPr>
          </w:p>
        </w:tc>
        <w:tc>
          <w:tcPr>
            <w:tcW w:w="2028" w:type="dxa"/>
            <w:noWrap w:val="0"/>
            <w:vAlign w:val="center"/>
          </w:tcPr>
          <w:p>
            <w:pPr>
              <w:rPr>
                <w:color w:val="000000"/>
                <w:sz w:val="21"/>
                <w:szCs w:val="21"/>
              </w:rPr>
            </w:pPr>
            <w:r>
              <w:rPr>
                <w:color w:val="000000"/>
                <w:sz w:val="21"/>
                <w:szCs w:val="21"/>
              </w:rPr>
              <w:t>（1）</w:t>
            </w:r>
            <w:r>
              <w:rPr>
                <w:rFonts w:hint="eastAsia"/>
                <w:color w:val="000000"/>
                <w:sz w:val="21"/>
                <w:szCs w:val="21"/>
              </w:rPr>
              <w:t>掌握化学原料药分析样品制备方法的原理和选择原则</w:t>
            </w:r>
          </w:p>
          <w:p>
            <w:pPr>
              <w:rPr>
                <w:color w:val="000000"/>
                <w:sz w:val="21"/>
                <w:szCs w:val="21"/>
              </w:rPr>
            </w:pPr>
            <w:r>
              <w:rPr>
                <w:rFonts w:hint="eastAsia"/>
                <w:color w:val="000000"/>
                <w:sz w:val="21"/>
                <w:szCs w:val="21"/>
              </w:rPr>
              <w:t>（2）掌握化学药物制剂分析样品制备方法原理和选择原则</w:t>
            </w:r>
          </w:p>
          <w:p>
            <w:pPr>
              <w:rPr>
                <w:rFonts w:hint="eastAsia"/>
                <w:color w:val="000000"/>
                <w:sz w:val="21"/>
                <w:szCs w:val="21"/>
              </w:rPr>
            </w:pPr>
            <w:r>
              <w:rPr>
                <w:rFonts w:hint="eastAsia"/>
                <w:color w:val="000000"/>
                <w:sz w:val="21"/>
                <w:szCs w:val="21"/>
              </w:rPr>
              <w:t>（3）了解中药及其制剂和生物样品分析样品的制备方法</w:t>
            </w:r>
          </w:p>
        </w:tc>
        <w:tc>
          <w:tcPr>
            <w:tcW w:w="699" w:type="dxa"/>
            <w:noWrap w:val="0"/>
            <w:vAlign w:val="center"/>
          </w:tcPr>
          <w:p>
            <w:pPr>
              <w:jc w:val="center"/>
              <w:rPr>
                <w:sz w:val="21"/>
                <w:szCs w:val="21"/>
              </w:rPr>
            </w:pPr>
            <w:r>
              <w:rPr>
                <w:sz w:val="21"/>
                <w:szCs w:val="21"/>
              </w:rPr>
              <w:t>6</w:t>
            </w:r>
            <w:r>
              <w:rPr>
                <w:rFonts w:hint="eastAsia"/>
                <w:sz w:val="21"/>
                <w:szCs w:val="21"/>
              </w:rPr>
              <w:t>（讲授）</w:t>
            </w:r>
          </w:p>
        </w:tc>
        <w:tc>
          <w:tcPr>
            <w:tcW w:w="975" w:type="dxa"/>
            <w:noWrap w:val="0"/>
            <w:vAlign w:val="center"/>
          </w:tcPr>
          <w:p>
            <w:pPr>
              <w:rPr>
                <w:sz w:val="21"/>
                <w:szCs w:val="21"/>
              </w:rPr>
            </w:pPr>
            <w:r>
              <w:rPr>
                <w:sz w:val="21"/>
                <w:szCs w:val="21"/>
              </w:rPr>
              <w:t>讲授/讨论/实例教学等</w:t>
            </w:r>
          </w:p>
        </w:tc>
        <w:tc>
          <w:tcPr>
            <w:tcW w:w="925" w:type="dxa"/>
            <w:noWrap w:val="0"/>
            <w:vAlign w:val="center"/>
          </w:tcPr>
          <w:p>
            <w:pPr>
              <w:jc w:val="center"/>
              <w:rPr>
                <w:b/>
                <w:sz w:val="21"/>
                <w:szCs w:val="21"/>
              </w:rPr>
            </w:pPr>
            <w:r>
              <w:rPr>
                <w:b/>
                <w:sz w:val="21"/>
                <w:szCs w:val="21"/>
              </w:rPr>
              <w:t>目标</w:t>
            </w:r>
            <w:r>
              <w:rPr>
                <w:rFonts w:hint="eastAsia"/>
                <w:b/>
                <w:sz w:val="21"/>
                <w:szCs w:val="21"/>
              </w:rPr>
              <w:t>1</w:t>
            </w:r>
          </w:p>
          <w:p>
            <w:pPr>
              <w:jc w:val="center"/>
              <w:rPr>
                <w:sz w:val="21"/>
                <w:szCs w:val="21"/>
              </w:rPr>
            </w:pPr>
            <w:r>
              <w:rPr>
                <w:rFonts w:hint="eastAsia"/>
                <w:b/>
                <w:sz w:val="21"/>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hint="eastAsia"/>
                <w:sz w:val="21"/>
                <w:szCs w:val="21"/>
              </w:rPr>
            </w:pPr>
            <w:r>
              <w:rPr>
                <w:rFonts w:hint="eastAsia"/>
                <w:sz w:val="21"/>
                <w:szCs w:val="21"/>
              </w:rPr>
              <w:t>3</w:t>
            </w:r>
          </w:p>
        </w:tc>
        <w:tc>
          <w:tcPr>
            <w:tcW w:w="2632" w:type="dxa"/>
            <w:noWrap w:val="0"/>
            <w:vAlign w:val="center"/>
          </w:tcPr>
          <w:p>
            <w:pPr>
              <w:rPr>
                <w:b/>
                <w:color w:val="000000"/>
                <w:sz w:val="21"/>
                <w:szCs w:val="21"/>
              </w:rPr>
            </w:pPr>
            <w:r>
              <w:rPr>
                <w:rFonts w:hint="eastAsia"/>
                <w:b/>
                <w:color w:val="000000"/>
                <w:sz w:val="21"/>
                <w:szCs w:val="21"/>
              </w:rPr>
              <w:t>药物的鉴别试验：</w:t>
            </w:r>
          </w:p>
          <w:p>
            <w:pPr>
              <w:rPr>
                <w:rFonts w:hint="eastAsia"/>
                <w:sz w:val="21"/>
                <w:szCs w:val="21"/>
              </w:rPr>
            </w:pPr>
            <w:r>
              <w:rPr>
                <w:sz w:val="21"/>
                <w:szCs w:val="21"/>
              </w:rPr>
              <w:t>（1）</w:t>
            </w:r>
            <w:r>
              <w:rPr>
                <w:rFonts w:hint="eastAsia"/>
                <w:color w:val="000000"/>
                <w:sz w:val="21"/>
                <w:szCs w:val="21"/>
              </w:rPr>
              <w:t>我国药典药物的一般鉴别方法</w:t>
            </w:r>
          </w:p>
          <w:p>
            <w:pPr>
              <w:rPr>
                <w:rFonts w:hint="eastAsia"/>
                <w:sz w:val="21"/>
                <w:szCs w:val="21"/>
              </w:rPr>
            </w:pPr>
            <w:r>
              <w:rPr>
                <w:sz w:val="21"/>
                <w:szCs w:val="21"/>
              </w:rPr>
              <w:t>（2）</w:t>
            </w:r>
            <w:r>
              <w:rPr>
                <w:rFonts w:hint="eastAsia"/>
                <w:color w:val="000000"/>
                <w:sz w:val="21"/>
                <w:szCs w:val="21"/>
              </w:rPr>
              <w:t>我国药典鉴别的项目、鉴别试验的条件及灵敏度的意义</w:t>
            </w:r>
          </w:p>
          <w:p>
            <w:pPr>
              <w:rPr>
                <w:sz w:val="21"/>
                <w:szCs w:val="21"/>
              </w:rPr>
            </w:pPr>
            <w:r>
              <w:rPr>
                <w:rFonts w:hint="eastAsia"/>
                <w:sz w:val="21"/>
                <w:szCs w:val="21"/>
              </w:rPr>
              <w:t>（3）</w:t>
            </w:r>
            <w:r>
              <w:rPr>
                <w:rFonts w:hint="eastAsia"/>
                <w:color w:val="000000"/>
                <w:sz w:val="21"/>
                <w:szCs w:val="21"/>
              </w:rPr>
              <w:t>各类有机物、无机物的鉴别试验方法及原理</w:t>
            </w:r>
          </w:p>
          <w:p>
            <w:pPr>
              <w:rPr>
                <w:b/>
                <w:bCs/>
                <w:color w:val="000000"/>
                <w:sz w:val="21"/>
                <w:szCs w:val="21"/>
              </w:rPr>
            </w:pPr>
            <w:r>
              <w:rPr>
                <w:b/>
                <w:bCs/>
                <w:color w:val="000000"/>
                <w:sz w:val="21"/>
                <w:szCs w:val="21"/>
              </w:rPr>
              <w:t>重</w:t>
            </w:r>
            <w:r>
              <w:rPr>
                <w:rFonts w:hint="eastAsia"/>
                <w:b/>
                <w:bCs/>
                <w:color w:val="000000"/>
                <w:sz w:val="21"/>
                <w:szCs w:val="21"/>
              </w:rPr>
              <w:t>点</w:t>
            </w:r>
            <w:r>
              <w:rPr>
                <w:b/>
                <w:bCs/>
                <w:color w:val="000000"/>
                <w:sz w:val="21"/>
                <w:szCs w:val="21"/>
              </w:rPr>
              <w:t>难点</w:t>
            </w:r>
            <w:r>
              <w:rPr>
                <w:rFonts w:hint="eastAsia"/>
                <w:b/>
                <w:bCs/>
                <w:color w:val="000000"/>
                <w:sz w:val="21"/>
                <w:szCs w:val="21"/>
              </w:rPr>
              <w:t>：</w:t>
            </w:r>
          </w:p>
          <w:p>
            <w:pPr>
              <w:rPr>
                <w:rFonts w:hint="eastAsia"/>
                <w:color w:val="000000"/>
                <w:sz w:val="21"/>
                <w:szCs w:val="21"/>
              </w:rPr>
            </w:pPr>
            <w:r>
              <w:rPr>
                <w:rFonts w:hint="eastAsia"/>
                <w:color w:val="000000"/>
                <w:sz w:val="21"/>
                <w:szCs w:val="21"/>
              </w:rPr>
              <w:t>（1）各类有机物、无机物的鉴别试验方法及原理</w:t>
            </w:r>
          </w:p>
        </w:tc>
        <w:tc>
          <w:tcPr>
            <w:tcW w:w="1134" w:type="dxa"/>
            <w:noWrap w:val="0"/>
            <w:vAlign w:val="center"/>
          </w:tcPr>
          <w:p>
            <w:pPr>
              <w:autoSpaceDE w:val="0"/>
              <w:autoSpaceDN w:val="0"/>
              <w:adjustRightInd w:val="0"/>
              <w:rPr>
                <w:rFonts w:hint="eastAsia"/>
                <w:color w:val="000000"/>
                <w:sz w:val="21"/>
                <w:szCs w:val="21"/>
              </w:rPr>
            </w:pPr>
          </w:p>
        </w:tc>
        <w:tc>
          <w:tcPr>
            <w:tcW w:w="2028" w:type="dxa"/>
            <w:noWrap w:val="0"/>
            <w:vAlign w:val="center"/>
          </w:tcPr>
          <w:p>
            <w:pPr>
              <w:rPr>
                <w:sz w:val="21"/>
                <w:szCs w:val="21"/>
              </w:rPr>
            </w:pPr>
            <w:r>
              <w:rPr>
                <w:sz w:val="21"/>
                <w:szCs w:val="21"/>
              </w:rPr>
              <w:t>（1）</w:t>
            </w:r>
            <w:r>
              <w:rPr>
                <w:rFonts w:hint="eastAsia"/>
                <w:sz w:val="21"/>
                <w:szCs w:val="21"/>
              </w:rPr>
              <w:t>熟悉鉴别试验的项目</w:t>
            </w:r>
          </w:p>
          <w:p>
            <w:pPr>
              <w:rPr>
                <w:sz w:val="21"/>
                <w:szCs w:val="21"/>
              </w:rPr>
            </w:pPr>
            <w:r>
              <w:rPr>
                <w:rFonts w:hint="eastAsia"/>
                <w:sz w:val="21"/>
                <w:szCs w:val="21"/>
              </w:rPr>
              <w:t>（2）掌握鉴别方法</w:t>
            </w:r>
          </w:p>
          <w:p>
            <w:pPr>
              <w:rPr>
                <w:rFonts w:hint="eastAsia"/>
                <w:sz w:val="21"/>
                <w:szCs w:val="21"/>
              </w:rPr>
            </w:pPr>
            <w:r>
              <w:rPr>
                <w:rFonts w:hint="eastAsia"/>
                <w:sz w:val="21"/>
                <w:szCs w:val="21"/>
              </w:rPr>
              <w:t>（3）了解鉴别试验的条件</w:t>
            </w:r>
          </w:p>
        </w:tc>
        <w:tc>
          <w:tcPr>
            <w:tcW w:w="699" w:type="dxa"/>
            <w:noWrap w:val="0"/>
            <w:vAlign w:val="center"/>
          </w:tcPr>
          <w:p>
            <w:pPr>
              <w:jc w:val="center"/>
              <w:rPr>
                <w:sz w:val="21"/>
                <w:szCs w:val="21"/>
              </w:rPr>
            </w:pPr>
            <w:r>
              <w:rPr>
                <w:sz w:val="21"/>
                <w:szCs w:val="21"/>
              </w:rPr>
              <w:t>4</w:t>
            </w:r>
            <w:r>
              <w:rPr>
                <w:rFonts w:hint="eastAsia"/>
                <w:sz w:val="21"/>
                <w:szCs w:val="21"/>
              </w:rPr>
              <w:t>（讲授）</w:t>
            </w:r>
          </w:p>
        </w:tc>
        <w:tc>
          <w:tcPr>
            <w:tcW w:w="975" w:type="dxa"/>
            <w:noWrap w:val="0"/>
            <w:vAlign w:val="center"/>
          </w:tcPr>
          <w:p>
            <w:pPr>
              <w:rPr>
                <w:sz w:val="21"/>
                <w:szCs w:val="21"/>
              </w:rPr>
            </w:pPr>
            <w:r>
              <w:rPr>
                <w:sz w:val="21"/>
                <w:szCs w:val="21"/>
              </w:rPr>
              <w:t>讲授/讨论/实例教学等</w:t>
            </w:r>
          </w:p>
        </w:tc>
        <w:tc>
          <w:tcPr>
            <w:tcW w:w="925" w:type="dxa"/>
            <w:noWrap w:val="0"/>
            <w:vAlign w:val="center"/>
          </w:tcPr>
          <w:p>
            <w:pPr>
              <w:jc w:val="center"/>
              <w:rPr>
                <w:b/>
                <w:sz w:val="21"/>
                <w:szCs w:val="21"/>
              </w:rPr>
            </w:pPr>
            <w:r>
              <w:rPr>
                <w:b/>
                <w:sz w:val="21"/>
                <w:szCs w:val="21"/>
              </w:rPr>
              <w:t>目标</w:t>
            </w:r>
            <w:r>
              <w:rPr>
                <w:rFonts w:hint="eastAsia"/>
                <w:b/>
                <w:sz w:val="21"/>
                <w:szCs w:val="21"/>
              </w:rPr>
              <w:t>1</w:t>
            </w:r>
          </w:p>
          <w:p>
            <w:pPr>
              <w:jc w:val="center"/>
              <w:rPr>
                <w:sz w:val="21"/>
                <w:szCs w:val="21"/>
              </w:rPr>
            </w:pPr>
            <w:r>
              <w:rPr>
                <w:rFonts w:hint="eastAsia"/>
                <w:b/>
                <w:sz w:val="21"/>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hint="eastAsia"/>
                <w:sz w:val="21"/>
                <w:szCs w:val="21"/>
              </w:rPr>
            </w:pPr>
            <w:r>
              <w:rPr>
                <w:rFonts w:hint="eastAsia"/>
                <w:sz w:val="21"/>
                <w:szCs w:val="21"/>
              </w:rPr>
              <w:t>4</w:t>
            </w:r>
          </w:p>
        </w:tc>
        <w:tc>
          <w:tcPr>
            <w:tcW w:w="2632" w:type="dxa"/>
            <w:noWrap w:val="0"/>
            <w:vAlign w:val="center"/>
          </w:tcPr>
          <w:p>
            <w:pPr>
              <w:rPr>
                <w:b/>
                <w:color w:val="000000"/>
                <w:sz w:val="21"/>
                <w:szCs w:val="21"/>
              </w:rPr>
            </w:pPr>
            <w:r>
              <w:rPr>
                <w:rFonts w:hint="eastAsia"/>
                <w:b/>
                <w:color w:val="000000"/>
                <w:sz w:val="21"/>
                <w:szCs w:val="21"/>
              </w:rPr>
              <w:t>药物的杂质检查：</w:t>
            </w:r>
          </w:p>
          <w:p>
            <w:pPr>
              <w:rPr>
                <w:rFonts w:hint="eastAsia"/>
                <w:sz w:val="21"/>
                <w:szCs w:val="21"/>
              </w:rPr>
            </w:pPr>
            <w:r>
              <w:rPr>
                <w:sz w:val="21"/>
                <w:szCs w:val="21"/>
              </w:rPr>
              <w:t>（1）</w:t>
            </w:r>
            <w:r>
              <w:rPr>
                <w:rFonts w:hint="eastAsia"/>
                <w:color w:val="000000"/>
                <w:sz w:val="21"/>
                <w:szCs w:val="21"/>
              </w:rPr>
              <w:t>药物中一般杂质检查的主要项目及检查方法</w:t>
            </w:r>
          </w:p>
          <w:p>
            <w:pPr>
              <w:rPr>
                <w:rFonts w:hint="eastAsia"/>
                <w:sz w:val="21"/>
                <w:szCs w:val="21"/>
              </w:rPr>
            </w:pPr>
            <w:r>
              <w:rPr>
                <w:sz w:val="21"/>
                <w:szCs w:val="21"/>
              </w:rPr>
              <w:t>（2）</w:t>
            </w:r>
            <w:r>
              <w:rPr>
                <w:rFonts w:hint="eastAsia"/>
                <w:color w:val="000000"/>
                <w:sz w:val="21"/>
                <w:szCs w:val="21"/>
              </w:rPr>
              <w:t>药物中杂质限量的计算方法</w:t>
            </w:r>
          </w:p>
          <w:p>
            <w:pPr>
              <w:rPr>
                <w:color w:val="000000"/>
                <w:sz w:val="21"/>
                <w:szCs w:val="21"/>
              </w:rPr>
            </w:pPr>
            <w:r>
              <w:rPr>
                <w:rFonts w:hint="eastAsia"/>
                <w:sz w:val="21"/>
                <w:szCs w:val="21"/>
              </w:rPr>
              <w:t>（3）</w:t>
            </w:r>
            <w:r>
              <w:rPr>
                <w:rFonts w:hint="eastAsia"/>
                <w:color w:val="000000"/>
                <w:sz w:val="21"/>
                <w:szCs w:val="21"/>
              </w:rPr>
              <w:t>药物特殊杂质的概念及其检查方法</w:t>
            </w:r>
          </w:p>
          <w:p>
            <w:pPr>
              <w:rPr>
                <w:b/>
                <w:bCs/>
                <w:color w:val="000000"/>
                <w:sz w:val="21"/>
                <w:szCs w:val="21"/>
              </w:rPr>
            </w:pPr>
            <w:r>
              <w:rPr>
                <w:b/>
                <w:bCs/>
                <w:color w:val="000000"/>
                <w:sz w:val="21"/>
                <w:szCs w:val="21"/>
              </w:rPr>
              <w:t>重</w:t>
            </w:r>
            <w:r>
              <w:rPr>
                <w:rFonts w:hint="eastAsia"/>
                <w:b/>
                <w:bCs/>
                <w:color w:val="000000"/>
                <w:sz w:val="21"/>
                <w:szCs w:val="21"/>
              </w:rPr>
              <w:t>点</w:t>
            </w:r>
            <w:r>
              <w:rPr>
                <w:b/>
                <w:bCs/>
                <w:color w:val="000000"/>
                <w:sz w:val="21"/>
                <w:szCs w:val="21"/>
              </w:rPr>
              <w:t>难点</w:t>
            </w:r>
            <w:r>
              <w:rPr>
                <w:rFonts w:hint="eastAsia"/>
                <w:b/>
                <w:bCs/>
                <w:color w:val="000000"/>
                <w:sz w:val="21"/>
                <w:szCs w:val="21"/>
              </w:rPr>
              <w:t>：</w:t>
            </w:r>
          </w:p>
          <w:p>
            <w:pPr>
              <w:rPr>
                <w:rFonts w:hint="eastAsia"/>
                <w:b/>
                <w:color w:val="000000"/>
                <w:sz w:val="21"/>
                <w:szCs w:val="21"/>
              </w:rPr>
            </w:pPr>
            <w:r>
              <w:rPr>
                <w:rFonts w:hint="eastAsia"/>
                <w:color w:val="000000"/>
                <w:sz w:val="21"/>
                <w:szCs w:val="21"/>
              </w:rPr>
              <w:t>药物中杂质限量的计算方法、特殊杂质的概念及其检查方法</w:t>
            </w:r>
          </w:p>
        </w:tc>
        <w:tc>
          <w:tcPr>
            <w:tcW w:w="1134" w:type="dxa"/>
            <w:noWrap w:val="0"/>
            <w:vAlign w:val="center"/>
          </w:tcPr>
          <w:p>
            <w:pPr>
              <w:autoSpaceDE w:val="0"/>
              <w:autoSpaceDN w:val="0"/>
              <w:adjustRightInd w:val="0"/>
              <w:rPr>
                <w:rFonts w:hint="eastAsia"/>
                <w:color w:val="000000"/>
                <w:sz w:val="21"/>
                <w:szCs w:val="21"/>
              </w:rPr>
            </w:pPr>
          </w:p>
        </w:tc>
        <w:tc>
          <w:tcPr>
            <w:tcW w:w="2028" w:type="dxa"/>
            <w:noWrap w:val="0"/>
            <w:vAlign w:val="center"/>
          </w:tcPr>
          <w:p>
            <w:pPr>
              <w:rPr>
                <w:sz w:val="21"/>
                <w:szCs w:val="21"/>
              </w:rPr>
            </w:pPr>
            <w:r>
              <w:rPr>
                <w:sz w:val="21"/>
                <w:szCs w:val="21"/>
              </w:rPr>
              <w:t>（1）</w:t>
            </w:r>
            <w:r>
              <w:rPr>
                <w:rFonts w:hint="eastAsia"/>
                <w:sz w:val="21"/>
                <w:szCs w:val="21"/>
              </w:rPr>
              <w:t>掌握药物纯度概念，杂质检查的意义及方法</w:t>
            </w:r>
          </w:p>
          <w:p>
            <w:pPr>
              <w:rPr>
                <w:rFonts w:hint="eastAsia"/>
                <w:sz w:val="21"/>
                <w:szCs w:val="21"/>
              </w:rPr>
            </w:pPr>
            <w:r>
              <w:rPr>
                <w:rFonts w:hint="eastAsia"/>
                <w:sz w:val="21"/>
                <w:szCs w:val="21"/>
              </w:rPr>
              <w:t>（2）掌握杂质的来源，一般杂质与特殊杂质的概念、特点及其相应检查方法的原理和特点。</w:t>
            </w:r>
          </w:p>
          <w:p>
            <w:pPr>
              <w:rPr>
                <w:sz w:val="21"/>
                <w:szCs w:val="21"/>
              </w:rPr>
            </w:pPr>
          </w:p>
        </w:tc>
        <w:tc>
          <w:tcPr>
            <w:tcW w:w="699" w:type="dxa"/>
            <w:noWrap w:val="0"/>
            <w:vAlign w:val="center"/>
          </w:tcPr>
          <w:p>
            <w:pPr>
              <w:jc w:val="center"/>
              <w:rPr>
                <w:sz w:val="21"/>
                <w:szCs w:val="21"/>
              </w:rPr>
            </w:pPr>
            <w:r>
              <w:rPr>
                <w:sz w:val="21"/>
                <w:szCs w:val="21"/>
              </w:rPr>
              <w:t>4</w:t>
            </w:r>
            <w:r>
              <w:rPr>
                <w:rFonts w:hint="eastAsia"/>
                <w:sz w:val="21"/>
                <w:szCs w:val="21"/>
              </w:rPr>
              <w:t>（讲授）</w:t>
            </w:r>
          </w:p>
        </w:tc>
        <w:tc>
          <w:tcPr>
            <w:tcW w:w="975" w:type="dxa"/>
            <w:noWrap w:val="0"/>
            <w:vAlign w:val="center"/>
          </w:tcPr>
          <w:p>
            <w:pPr>
              <w:rPr>
                <w:sz w:val="21"/>
                <w:szCs w:val="21"/>
              </w:rPr>
            </w:pPr>
            <w:r>
              <w:rPr>
                <w:sz w:val="21"/>
                <w:szCs w:val="21"/>
              </w:rPr>
              <w:t>讲授/讨论/实例教学等</w:t>
            </w:r>
          </w:p>
        </w:tc>
        <w:tc>
          <w:tcPr>
            <w:tcW w:w="925" w:type="dxa"/>
            <w:noWrap w:val="0"/>
            <w:vAlign w:val="center"/>
          </w:tcPr>
          <w:p>
            <w:pPr>
              <w:jc w:val="center"/>
              <w:rPr>
                <w:b/>
                <w:sz w:val="21"/>
                <w:szCs w:val="21"/>
              </w:rPr>
            </w:pPr>
            <w:r>
              <w:rPr>
                <w:b/>
                <w:sz w:val="21"/>
                <w:szCs w:val="21"/>
              </w:rPr>
              <w:t>目标</w:t>
            </w:r>
            <w:r>
              <w:rPr>
                <w:rFonts w:hint="eastAsia"/>
                <w:b/>
                <w:sz w:val="21"/>
                <w:szCs w:val="21"/>
              </w:rPr>
              <w:t>1</w:t>
            </w:r>
          </w:p>
          <w:p>
            <w:pPr>
              <w:jc w:val="center"/>
              <w:rPr>
                <w:sz w:val="21"/>
                <w:szCs w:val="21"/>
              </w:rPr>
            </w:pPr>
            <w:r>
              <w:rPr>
                <w:rFonts w:hint="eastAsia"/>
                <w:b/>
                <w:sz w:val="21"/>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hint="eastAsia"/>
                <w:sz w:val="21"/>
                <w:szCs w:val="21"/>
              </w:rPr>
            </w:pPr>
            <w:r>
              <w:rPr>
                <w:rFonts w:hint="eastAsia"/>
                <w:sz w:val="21"/>
                <w:szCs w:val="21"/>
              </w:rPr>
              <w:t>5</w:t>
            </w:r>
          </w:p>
        </w:tc>
        <w:tc>
          <w:tcPr>
            <w:tcW w:w="2632" w:type="dxa"/>
            <w:noWrap w:val="0"/>
            <w:vAlign w:val="center"/>
          </w:tcPr>
          <w:p>
            <w:pPr>
              <w:rPr>
                <w:b/>
                <w:color w:val="000000"/>
                <w:sz w:val="21"/>
                <w:szCs w:val="21"/>
              </w:rPr>
            </w:pPr>
            <w:r>
              <w:rPr>
                <w:rFonts w:hint="eastAsia"/>
                <w:b/>
                <w:color w:val="000000"/>
                <w:sz w:val="21"/>
                <w:szCs w:val="21"/>
              </w:rPr>
              <w:t>药物定量分析与分析方法验证：</w:t>
            </w:r>
          </w:p>
          <w:p>
            <w:pPr>
              <w:rPr>
                <w:rFonts w:hint="eastAsia"/>
                <w:sz w:val="21"/>
                <w:szCs w:val="21"/>
              </w:rPr>
            </w:pPr>
            <w:r>
              <w:rPr>
                <w:sz w:val="21"/>
                <w:szCs w:val="21"/>
              </w:rPr>
              <w:t>（1）</w:t>
            </w:r>
            <w:r>
              <w:rPr>
                <w:rFonts w:hint="eastAsia"/>
                <w:color w:val="000000"/>
                <w:sz w:val="21"/>
                <w:szCs w:val="21"/>
              </w:rPr>
              <w:t>药物分析中常见定量分析方法及测定方法的效能指标</w:t>
            </w:r>
          </w:p>
          <w:p>
            <w:pPr>
              <w:rPr>
                <w:rFonts w:hint="eastAsia"/>
                <w:sz w:val="21"/>
                <w:szCs w:val="21"/>
              </w:rPr>
            </w:pPr>
            <w:r>
              <w:rPr>
                <w:sz w:val="21"/>
                <w:szCs w:val="21"/>
              </w:rPr>
              <w:t>（2）</w:t>
            </w:r>
            <w:r>
              <w:rPr>
                <w:rFonts w:hint="eastAsia"/>
                <w:color w:val="000000"/>
                <w:sz w:val="21"/>
                <w:szCs w:val="21"/>
              </w:rPr>
              <w:t>样品的前处理方法</w:t>
            </w:r>
          </w:p>
        </w:tc>
        <w:tc>
          <w:tcPr>
            <w:tcW w:w="1134" w:type="dxa"/>
            <w:noWrap w:val="0"/>
            <w:vAlign w:val="center"/>
          </w:tcPr>
          <w:p>
            <w:pPr>
              <w:autoSpaceDE w:val="0"/>
              <w:autoSpaceDN w:val="0"/>
              <w:adjustRightInd w:val="0"/>
              <w:rPr>
                <w:rFonts w:hint="eastAsia"/>
                <w:color w:val="000000"/>
                <w:sz w:val="21"/>
                <w:szCs w:val="21"/>
              </w:rPr>
            </w:pPr>
          </w:p>
        </w:tc>
        <w:tc>
          <w:tcPr>
            <w:tcW w:w="2028" w:type="dxa"/>
            <w:noWrap w:val="0"/>
            <w:vAlign w:val="center"/>
          </w:tcPr>
          <w:p>
            <w:pPr>
              <w:rPr>
                <w:sz w:val="21"/>
                <w:szCs w:val="21"/>
              </w:rPr>
            </w:pPr>
            <w:r>
              <w:rPr>
                <w:sz w:val="21"/>
                <w:szCs w:val="21"/>
              </w:rPr>
              <w:t>（1）</w:t>
            </w:r>
            <w:r>
              <w:rPr>
                <w:rFonts w:hint="eastAsia"/>
                <w:sz w:val="21"/>
                <w:szCs w:val="21"/>
              </w:rPr>
              <w:t>掌握氧瓶燃烧法</w:t>
            </w:r>
          </w:p>
          <w:p>
            <w:pPr>
              <w:rPr>
                <w:rFonts w:hint="eastAsia"/>
                <w:sz w:val="21"/>
                <w:szCs w:val="21"/>
              </w:rPr>
            </w:pPr>
            <w:r>
              <w:rPr>
                <w:rFonts w:hint="eastAsia"/>
                <w:sz w:val="21"/>
                <w:szCs w:val="21"/>
              </w:rPr>
              <w:t>（2）熟悉不经有机破坏的分析方法</w:t>
            </w:r>
          </w:p>
        </w:tc>
        <w:tc>
          <w:tcPr>
            <w:tcW w:w="699" w:type="dxa"/>
            <w:noWrap w:val="0"/>
            <w:vAlign w:val="center"/>
          </w:tcPr>
          <w:p>
            <w:pPr>
              <w:jc w:val="center"/>
              <w:rPr>
                <w:sz w:val="21"/>
                <w:szCs w:val="21"/>
              </w:rPr>
            </w:pPr>
            <w:r>
              <w:rPr>
                <w:sz w:val="21"/>
                <w:szCs w:val="21"/>
              </w:rPr>
              <w:t>4</w:t>
            </w:r>
            <w:r>
              <w:rPr>
                <w:rFonts w:hint="eastAsia"/>
                <w:sz w:val="21"/>
                <w:szCs w:val="21"/>
              </w:rPr>
              <w:t>（讲授）</w:t>
            </w:r>
          </w:p>
        </w:tc>
        <w:tc>
          <w:tcPr>
            <w:tcW w:w="975" w:type="dxa"/>
            <w:noWrap w:val="0"/>
            <w:vAlign w:val="center"/>
          </w:tcPr>
          <w:p>
            <w:pPr>
              <w:rPr>
                <w:sz w:val="21"/>
                <w:szCs w:val="21"/>
              </w:rPr>
            </w:pPr>
            <w:r>
              <w:rPr>
                <w:sz w:val="21"/>
                <w:szCs w:val="21"/>
              </w:rPr>
              <w:t>讲授/讨论/实例教学等</w:t>
            </w:r>
          </w:p>
        </w:tc>
        <w:tc>
          <w:tcPr>
            <w:tcW w:w="925" w:type="dxa"/>
            <w:noWrap w:val="0"/>
            <w:vAlign w:val="center"/>
          </w:tcPr>
          <w:p>
            <w:pPr>
              <w:jc w:val="center"/>
              <w:rPr>
                <w:b/>
                <w:sz w:val="21"/>
                <w:szCs w:val="21"/>
              </w:rPr>
            </w:pPr>
            <w:r>
              <w:rPr>
                <w:b/>
                <w:sz w:val="21"/>
                <w:szCs w:val="21"/>
              </w:rPr>
              <w:t>目标</w:t>
            </w:r>
            <w:r>
              <w:rPr>
                <w:rFonts w:hint="eastAsia"/>
                <w:b/>
                <w:sz w:val="21"/>
                <w:szCs w:val="21"/>
              </w:rPr>
              <w:t>1</w:t>
            </w:r>
          </w:p>
          <w:p>
            <w:pPr>
              <w:jc w:val="center"/>
              <w:rPr>
                <w:sz w:val="21"/>
                <w:szCs w:val="21"/>
              </w:rPr>
            </w:pPr>
            <w:r>
              <w:rPr>
                <w:rFonts w:hint="eastAsia"/>
                <w:b/>
                <w:sz w:val="21"/>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hint="eastAsia"/>
                <w:sz w:val="21"/>
                <w:szCs w:val="21"/>
              </w:rPr>
            </w:pPr>
            <w:r>
              <w:rPr>
                <w:rFonts w:hint="eastAsia"/>
                <w:sz w:val="21"/>
                <w:szCs w:val="21"/>
              </w:rPr>
              <w:t>6</w:t>
            </w:r>
          </w:p>
        </w:tc>
        <w:tc>
          <w:tcPr>
            <w:tcW w:w="2632" w:type="dxa"/>
            <w:noWrap w:val="0"/>
            <w:vAlign w:val="center"/>
          </w:tcPr>
          <w:p>
            <w:pPr>
              <w:rPr>
                <w:b/>
                <w:bCs/>
                <w:sz w:val="21"/>
                <w:szCs w:val="21"/>
              </w:rPr>
            </w:pPr>
            <w:r>
              <w:rPr>
                <w:rFonts w:hint="eastAsia"/>
                <w:b/>
                <w:bCs/>
                <w:sz w:val="21"/>
                <w:szCs w:val="21"/>
              </w:rPr>
              <w:t>芳酸类药物的分析：</w:t>
            </w:r>
          </w:p>
          <w:p>
            <w:pPr>
              <w:rPr>
                <w:rFonts w:hint="eastAsia"/>
                <w:sz w:val="21"/>
                <w:szCs w:val="21"/>
              </w:rPr>
            </w:pPr>
            <w:r>
              <w:rPr>
                <w:sz w:val="21"/>
                <w:szCs w:val="21"/>
              </w:rPr>
              <w:t>（1）</w:t>
            </w:r>
            <w:r>
              <w:rPr>
                <w:rFonts w:hint="eastAsia"/>
                <w:color w:val="000000"/>
                <w:sz w:val="21"/>
                <w:szCs w:val="21"/>
              </w:rPr>
              <w:t>芳香胺类药物的结构、理化性质，鉴别、检查、含量测定的原理及方法</w:t>
            </w:r>
          </w:p>
          <w:p>
            <w:pPr>
              <w:rPr>
                <w:color w:val="000000"/>
                <w:sz w:val="21"/>
                <w:szCs w:val="21"/>
              </w:rPr>
            </w:pPr>
            <w:r>
              <w:rPr>
                <w:sz w:val="21"/>
                <w:szCs w:val="21"/>
              </w:rPr>
              <w:t>（2）</w:t>
            </w:r>
            <w:r>
              <w:rPr>
                <w:rFonts w:hint="eastAsia"/>
                <w:color w:val="000000"/>
                <w:sz w:val="21"/>
                <w:szCs w:val="21"/>
              </w:rPr>
              <w:t>芳氧丙醇胺类药物分析</w:t>
            </w:r>
          </w:p>
          <w:p>
            <w:pPr>
              <w:rPr>
                <w:b/>
                <w:bCs/>
                <w:color w:val="000000"/>
                <w:sz w:val="21"/>
                <w:szCs w:val="21"/>
              </w:rPr>
            </w:pPr>
            <w:r>
              <w:rPr>
                <w:b/>
                <w:bCs/>
                <w:color w:val="000000"/>
                <w:sz w:val="21"/>
                <w:szCs w:val="21"/>
              </w:rPr>
              <w:t>重</w:t>
            </w:r>
            <w:r>
              <w:rPr>
                <w:rFonts w:hint="eastAsia"/>
                <w:b/>
                <w:bCs/>
                <w:color w:val="000000"/>
                <w:sz w:val="21"/>
                <w:szCs w:val="21"/>
              </w:rPr>
              <w:t>点</w:t>
            </w:r>
            <w:r>
              <w:rPr>
                <w:b/>
                <w:bCs/>
                <w:color w:val="000000"/>
                <w:sz w:val="21"/>
                <w:szCs w:val="21"/>
              </w:rPr>
              <w:t>难点</w:t>
            </w:r>
            <w:r>
              <w:rPr>
                <w:rFonts w:hint="eastAsia"/>
                <w:b/>
                <w:bCs/>
                <w:color w:val="000000"/>
                <w:sz w:val="21"/>
                <w:szCs w:val="21"/>
              </w:rPr>
              <w:t>：</w:t>
            </w:r>
          </w:p>
          <w:p>
            <w:pPr>
              <w:rPr>
                <w:rFonts w:hint="eastAsia"/>
                <w:b/>
                <w:color w:val="000000"/>
                <w:sz w:val="21"/>
                <w:szCs w:val="21"/>
              </w:rPr>
            </w:pPr>
            <w:r>
              <w:rPr>
                <w:rFonts w:hint="eastAsia"/>
                <w:color w:val="000000"/>
                <w:sz w:val="21"/>
                <w:szCs w:val="21"/>
              </w:rPr>
              <w:t>芳酸类药物的结构特点及其对应的分析方法</w:t>
            </w:r>
          </w:p>
        </w:tc>
        <w:tc>
          <w:tcPr>
            <w:tcW w:w="1134" w:type="dxa"/>
            <w:noWrap w:val="0"/>
            <w:vAlign w:val="center"/>
          </w:tcPr>
          <w:p>
            <w:pPr>
              <w:autoSpaceDE w:val="0"/>
              <w:autoSpaceDN w:val="0"/>
              <w:adjustRightInd w:val="0"/>
              <w:rPr>
                <w:rFonts w:hint="eastAsia"/>
                <w:color w:val="000000"/>
                <w:sz w:val="21"/>
                <w:szCs w:val="21"/>
              </w:rPr>
            </w:pPr>
          </w:p>
        </w:tc>
        <w:tc>
          <w:tcPr>
            <w:tcW w:w="2028" w:type="dxa"/>
            <w:noWrap w:val="0"/>
            <w:vAlign w:val="center"/>
          </w:tcPr>
          <w:p>
            <w:pPr>
              <w:rPr>
                <w:sz w:val="21"/>
                <w:szCs w:val="21"/>
              </w:rPr>
            </w:pPr>
            <w:r>
              <w:rPr>
                <w:sz w:val="21"/>
                <w:szCs w:val="21"/>
              </w:rPr>
              <w:t>（1）</w:t>
            </w:r>
            <w:r>
              <w:rPr>
                <w:rFonts w:hint="eastAsia"/>
                <w:sz w:val="21"/>
                <w:szCs w:val="21"/>
              </w:rPr>
              <w:t>了解本类药物的结构特点和性质</w:t>
            </w:r>
          </w:p>
          <w:p>
            <w:pPr>
              <w:rPr>
                <w:sz w:val="21"/>
                <w:szCs w:val="21"/>
              </w:rPr>
            </w:pPr>
            <w:r>
              <w:rPr>
                <w:rFonts w:hint="eastAsia"/>
                <w:sz w:val="21"/>
                <w:szCs w:val="21"/>
              </w:rPr>
              <w:t>（2）熟悉本类药物的鉴别方法</w:t>
            </w:r>
          </w:p>
          <w:p>
            <w:pPr>
              <w:rPr>
                <w:sz w:val="21"/>
                <w:szCs w:val="21"/>
              </w:rPr>
            </w:pPr>
            <w:r>
              <w:rPr>
                <w:rFonts w:hint="eastAsia"/>
                <w:sz w:val="21"/>
                <w:szCs w:val="21"/>
              </w:rPr>
              <w:t>（3）掌握阿司匹林、对乙酰氨基酸等药物中特殊杂质的检查方法</w:t>
            </w:r>
          </w:p>
          <w:p>
            <w:pPr>
              <w:rPr>
                <w:rFonts w:hint="eastAsia"/>
                <w:sz w:val="21"/>
                <w:szCs w:val="21"/>
              </w:rPr>
            </w:pPr>
            <w:r>
              <w:rPr>
                <w:rFonts w:hint="eastAsia"/>
                <w:sz w:val="21"/>
                <w:szCs w:val="21"/>
              </w:rPr>
              <w:t>（</w:t>
            </w:r>
            <w:r>
              <w:rPr>
                <w:sz w:val="21"/>
                <w:szCs w:val="21"/>
              </w:rPr>
              <w:t>4</w:t>
            </w:r>
            <w:r>
              <w:rPr>
                <w:rFonts w:hint="eastAsia"/>
                <w:sz w:val="21"/>
                <w:szCs w:val="21"/>
              </w:rPr>
              <w:t>）掌握本类药物含量测定的酸碱滴定法、紫外分光光度法和高效液相色谱法</w:t>
            </w:r>
          </w:p>
        </w:tc>
        <w:tc>
          <w:tcPr>
            <w:tcW w:w="699" w:type="dxa"/>
            <w:noWrap w:val="0"/>
            <w:vAlign w:val="center"/>
          </w:tcPr>
          <w:p>
            <w:pPr>
              <w:jc w:val="center"/>
              <w:rPr>
                <w:sz w:val="21"/>
                <w:szCs w:val="21"/>
              </w:rPr>
            </w:pPr>
            <w:r>
              <w:rPr>
                <w:sz w:val="21"/>
                <w:szCs w:val="21"/>
              </w:rPr>
              <w:t>2</w:t>
            </w:r>
            <w:r>
              <w:rPr>
                <w:rFonts w:hint="eastAsia"/>
                <w:sz w:val="21"/>
                <w:szCs w:val="21"/>
              </w:rPr>
              <w:t>（讲授）</w:t>
            </w:r>
          </w:p>
        </w:tc>
        <w:tc>
          <w:tcPr>
            <w:tcW w:w="975" w:type="dxa"/>
            <w:noWrap w:val="0"/>
            <w:vAlign w:val="center"/>
          </w:tcPr>
          <w:p>
            <w:pPr>
              <w:rPr>
                <w:sz w:val="21"/>
                <w:szCs w:val="21"/>
              </w:rPr>
            </w:pPr>
            <w:r>
              <w:rPr>
                <w:sz w:val="21"/>
                <w:szCs w:val="21"/>
              </w:rPr>
              <w:t>讲授/讨论/实例教学等</w:t>
            </w:r>
          </w:p>
        </w:tc>
        <w:tc>
          <w:tcPr>
            <w:tcW w:w="925" w:type="dxa"/>
            <w:noWrap w:val="0"/>
            <w:vAlign w:val="center"/>
          </w:tcPr>
          <w:p>
            <w:pPr>
              <w:jc w:val="center"/>
              <w:rPr>
                <w:b/>
                <w:sz w:val="21"/>
                <w:szCs w:val="21"/>
              </w:rPr>
            </w:pPr>
            <w:r>
              <w:rPr>
                <w:b/>
                <w:sz w:val="21"/>
                <w:szCs w:val="21"/>
              </w:rPr>
              <w:t>目标</w:t>
            </w:r>
            <w:r>
              <w:rPr>
                <w:rFonts w:hint="eastAsia"/>
                <w:b/>
                <w:sz w:val="21"/>
                <w:szCs w:val="21"/>
              </w:rPr>
              <w:t>1</w:t>
            </w:r>
          </w:p>
          <w:p>
            <w:pPr>
              <w:jc w:val="center"/>
              <w:rPr>
                <w:sz w:val="21"/>
                <w:szCs w:val="21"/>
              </w:rPr>
            </w:pPr>
            <w:r>
              <w:rPr>
                <w:rFonts w:hint="eastAsia"/>
                <w:b/>
                <w:sz w:val="21"/>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hint="eastAsia"/>
                <w:sz w:val="21"/>
                <w:szCs w:val="21"/>
              </w:rPr>
            </w:pPr>
            <w:r>
              <w:rPr>
                <w:rFonts w:hint="eastAsia"/>
                <w:sz w:val="21"/>
                <w:szCs w:val="21"/>
              </w:rPr>
              <w:t>7</w:t>
            </w:r>
          </w:p>
        </w:tc>
        <w:tc>
          <w:tcPr>
            <w:tcW w:w="2632" w:type="dxa"/>
            <w:noWrap w:val="0"/>
            <w:vAlign w:val="center"/>
          </w:tcPr>
          <w:p>
            <w:pPr>
              <w:rPr>
                <w:b/>
                <w:bCs/>
                <w:color w:val="000000"/>
                <w:sz w:val="21"/>
                <w:szCs w:val="21"/>
              </w:rPr>
            </w:pPr>
            <w:r>
              <w:rPr>
                <w:rFonts w:hint="eastAsia"/>
                <w:b/>
                <w:bCs/>
                <w:color w:val="000000"/>
                <w:sz w:val="21"/>
                <w:szCs w:val="21"/>
              </w:rPr>
              <w:t>胺类药物的分析：</w:t>
            </w:r>
          </w:p>
          <w:p>
            <w:pPr>
              <w:rPr>
                <w:rFonts w:hint="eastAsia"/>
                <w:sz w:val="21"/>
                <w:szCs w:val="21"/>
              </w:rPr>
            </w:pPr>
            <w:r>
              <w:rPr>
                <w:sz w:val="21"/>
                <w:szCs w:val="21"/>
              </w:rPr>
              <w:t>（1）</w:t>
            </w:r>
            <w:r>
              <w:rPr>
                <w:rFonts w:hint="eastAsia"/>
                <w:sz w:val="21"/>
                <w:szCs w:val="21"/>
              </w:rPr>
              <w:t>芳胺与芳酰胺类药物的分析</w:t>
            </w:r>
          </w:p>
          <w:p>
            <w:pPr>
              <w:rPr>
                <w:sz w:val="21"/>
                <w:szCs w:val="21"/>
              </w:rPr>
            </w:pPr>
            <w:r>
              <w:rPr>
                <w:sz w:val="21"/>
                <w:szCs w:val="21"/>
              </w:rPr>
              <w:t>（2）</w:t>
            </w:r>
            <w:r>
              <w:rPr>
                <w:rFonts w:hint="eastAsia"/>
                <w:sz w:val="21"/>
                <w:szCs w:val="21"/>
              </w:rPr>
              <w:t>苯乙胺类药物的分析</w:t>
            </w:r>
          </w:p>
          <w:p>
            <w:pPr>
              <w:rPr>
                <w:rFonts w:hint="eastAsia"/>
                <w:sz w:val="21"/>
                <w:szCs w:val="21"/>
              </w:rPr>
            </w:pPr>
            <w:r>
              <w:rPr>
                <w:rFonts w:hint="eastAsia"/>
                <w:sz w:val="21"/>
                <w:szCs w:val="21"/>
              </w:rPr>
              <w:t>（3）巴比妥类药物的分析</w:t>
            </w:r>
          </w:p>
          <w:p>
            <w:pPr>
              <w:rPr>
                <w:b/>
                <w:bCs/>
                <w:color w:val="000000"/>
                <w:sz w:val="21"/>
                <w:szCs w:val="21"/>
              </w:rPr>
            </w:pPr>
            <w:r>
              <w:rPr>
                <w:b/>
                <w:bCs/>
                <w:color w:val="000000"/>
                <w:sz w:val="21"/>
                <w:szCs w:val="21"/>
              </w:rPr>
              <w:t>重</w:t>
            </w:r>
            <w:r>
              <w:rPr>
                <w:rFonts w:hint="eastAsia"/>
                <w:b/>
                <w:bCs/>
                <w:color w:val="000000"/>
                <w:sz w:val="21"/>
                <w:szCs w:val="21"/>
              </w:rPr>
              <w:t>点</w:t>
            </w:r>
            <w:r>
              <w:rPr>
                <w:b/>
                <w:bCs/>
                <w:color w:val="000000"/>
                <w:sz w:val="21"/>
                <w:szCs w:val="21"/>
              </w:rPr>
              <w:t>难点</w:t>
            </w:r>
            <w:r>
              <w:rPr>
                <w:rFonts w:hint="eastAsia"/>
                <w:b/>
                <w:bCs/>
                <w:color w:val="000000"/>
                <w:sz w:val="21"/>
                <w:szCs w:val="21"/>
              </w:rPr>
              <w:t>：</w:t>
            </w:r>
          </w:p>
          <w:p>
            <w:pPr>
              <w:rPr>
                <w:rFonts w:hint="eastAsia"/>
                <w:b/>
                <w:bCs/>
                <w:sz w:val="21"/>
                <w:szCs w:val="21"/>
              </w:rPr>
            </w:pPr>
            <w:r>
              <w:rPr>
                <w:rFonts w:hint="eastAsia"/>
                <w:color w:val="000000"/>
                <w:sz w:val="21"/>
                <w:szCs w:val="21"/>
              </w:rPr>
              <w:t>本类药物的结构特点及其对应的分析方法</w:t>
            </w:r>
          </w:p>
        </w:tc>
        <w:tc>
          <w:tcPr>
            <w:tcW w:w="1134" w:type="dxa"/>
            <w:noWrap w:val="0"/>
            <w:vAlign w:val="center"/>
          </w:tcPr>
          <w:p>
            <w:pPr>
              <w:autoSpaceDE w:val="0"/>
              <w:autoSpaceDN w:val="0"/>
              <w:adjustRightInd w:val="0"/>
              <w:rPr>
                <w:rFonts w:hint="eastAsia"/>
                <w:color w:val="000000"/>
                <w:sz w:val="21"/>
                <w:szCs w:val="21"/>
              </w:rPr>
            </w:pPr>
          </w:p>
        </w:tc>
        <w:tc>
          <w:tcPr>
            <w:tcW w:w="2028" w:type="dxa"/>
            <w:noWrap w:val="0"/>
            <w:vAlign w:val="center"/>
          </w:tcPr>
          <w:p>
            <w:pPr>
              <w:rPr>
                <w:sz w:val="21"/>
                <w:szCs w:val="21"/>
              </w:rPr>
            </w:pPr>
            <w:r>
              <w:rPr>
                <w:sz w:val="21"/>
                <w:szCs w:val="21"/>
              </w:rPr>
              <w:t>（1）</w:t>
            </w:r>
            <w:r>
              <w:rPr>
                <w:rFonts w:hint="eastAsia"/>
                <w:sz w:val="21"/>
                <w:szCs w:val="21"/>
              </w:rPr>
              <w:t>了解本类药物的结构特点和性质</w:t>
            </w:r>
          </w:p>
          <w:p>
            <w:pPr>
              <w:rPr>
                <w:sz w:val="21"/>
                <w:szCs w:val="21"/>
              </w:rPr>
            </w:pPr>
            <w:r>
              <w:rPr>
                <w:rFonts w:hint="eastAsia"/>
                <w:sz w:val="21"/>
                <w:szCs w:val="21"/>
              </w:rPr>
              <w:t>（2）熟悉本类药物的鉴别方法</w:t>
            </w:r>
          </w:p>
          <w:p>
            <w:pPr>
              <w:rPr>
                <w:sz w:val="21"/>
                <w:szCs w:val="21"/>
              </w:rPr>
            </w:pPr>
            <w:r>
              <w:rPr>
                <w:rFonts w:hint="eastAsia"/>
                <w:sz w:val="21"/>
                <w:szCs w:val="21"/>
              </w:rPr>
              <w:t>（3）掌握本类药物中酮体和有关物质的检查方法</w:t>
            </w:r>
          </w:p>
          <w:p>
            <w:pPr>
              <w:rPr>
                <w:rFonts w:hint="eastAsia"/>
                <w:sz w:val="21"/>
                <w:szCs w:val="21"/>
              </w:rPr>
            </w:pPr>
            <w:r>
              <w:rPr>
                <w:rFonts w:hint="eastAsia"/>
                <w:sz w:val="21"/>
                <w:szCs w:val="21"/>
              </w:rPr>
              <w:t>（</w:t>
            </w:r>
            <w:r>
              <w:rPr>
                <w:sz w:val="21"/>
                <w:szCs w:val="21"/>
              </w:rPr>
              <w:t>4</w:t>
            </w:r>
            <w:r>
              <w:rPr>
                <w:rFonts w:hint="eastAsia"/>
                <w:sz w:val="21"/>
                <w:szCs w:val="21"/>
              </w:rPr>
              <w:t>）掌握本类药物含量测定的非水溶液滴定法、溴量法、紫外分光光度法和高效液相色谱法</w:t>
            </w:r>
          </w:p>
        </w:tc>
        <w:tc>
          <w:tcPr>
            <w:tcW w:w="699" w:type="dxa"/>
            <w:noWrap w:val="0"/>
            <w:vAlign w:val="center"/>
          </w:tcPr>
          <w:p>
            <w:pPr>
              <w:jc w:val="center"/>
              <w:rPr>
                <w:sz w:val="21"/>
                <w:szCs w:val="21"/>
              </w:rPr>
            </w:pPr>
            <w:r>
              <w:rPr>
                <w:sz w:val="21"/>
                <w:szCs w:val="21"/>
              </w:rPr>
              <w:t>2</w:t>
            </w:r>
            <w:r>
              <w:rPr>
                <w:rFonts w:hint="eastAsia"/>
                <w:sz w:val="21"/>
                <w:szCs w:val="21"/>
              </w:rPr>
              <w:t>（讲授）</w:t>
            </w:r>
          </w:p>
        </w:tc>
        <w:tc>
          <w:tcPr>
            <w:tcW w:w="975" w:type="dxa"/>
            <w:noWrap w:val="0"/>
            <w:vAlign w:val="center"/>
          </w:tcPr>
          <w:p>
            <w:pPr>
              <w:rPr>
                <w:sz w:val="21"/>
                <w:szCs w:val="21"/>
              </w:rPr>
            </w:pPr>
            <w:r>
              <w:rPr>
                <w:sz w:val="21"/>
                <w:szCs w:val="21"/>
              </w:rPr>
              <w:t>讲授/讨论/实例教学等</w:t>
            </w:r>
          </w:p>
        </w:tc>
        <w:tc>
          <w:tcPr>
            <w:tcW w:w="925" w:type="dxa"/>
            <w:noWrap w:val="0"/>
            <w:vAlign w:val="center"/>
          </w:tcPr>
          <w:p>
            <w:pPr>
              <w:jc w:val="center"/>
              <w:rPr>
                <w:b/>
                <w:sz w:val="21"/>
                <w:szCs w:val="21"/>
              </w:rPr>
            </w:pPr>
            <w:r>
              <w:rPr>
                <w:b/>
                <w:sz w:val="21"/>
                <w:szCs w:val="21"/>
              </w:rPr>
              <w:t>目标</w:t>
            </w:r>
            <w:r>
              <w:rPr>
                <w:rFonts w:hint="eastAsia"/>
                <w:b/>
                <w:sz w:val="21"/>
                <w:szCs w:val="21"/>
              </w:rPr>
              <w:t>1</w:t>
            </w:r>
          </w:p>
          <w:p>
            <w:pPr>
              <w:jc w:val="center"/>
              <w:rPr>
                <w:sz w:val="21"/>
                <w:szCs w:val="21"/>
              </w:rPr>
            </w:pPr>
            <w:r>
              <w:rPr>
                <w:rFonts w:hint="eastAsia"/>
                <w:b/>
                <w:sz w:val="21"/>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hint="eastAsia"/>
                <w:sz w:val="21"/>
                <w:szCs w:val="21"/>
              </w:rPr>
            </w:pPr>
            <w:r>
              <w:rPr>
                <w:rFonts w:hint="eastAsia"/>
                <w:sz w:val="21"/>
                <w:szCs w:val="21"/>
              </w:rPr>
              <w:t>8</w:t>
            </w:r>
          </w:p>
        </w:tc>
        <w:tc>
          <w:tcPr>
            <w:tcW w:w="2632" w:type="dxa"/>
            <w:noWrap w:val="0"/>
            <w:vAlign w:val="center"/>
          </w:tcPr>
          <w:p>
            <w:pPr>
              <w:rPr>
                <w:b/>
                <w:bCs/>
                <w:color w:val="000000"/>
                <w:sz w:val="21"/>
                <w:szCs w:val="21"/>
              </w:rPr>
            </w:pPr>
            <w:r>
              <w:rPr>
                <w:rFonts w:hint="eastAsia"/>
                <w:b/>
                <w:bCs/>
                <w:color w:val="000000"/>
                <w:sz w:val="21"/>
                <w:szCs w:val="21"/>
              </w:rPr>
              <w:t>杂环类药物的分析：</w:t>
            </w:r>
          </w:p>
          <w:p>
            <w:pPr>
              <w:rPr>
                <w:rFonts w:hint="eastAsia"/>
                <w:sz w:val="21"/>
                <w:szCs w:val="21"/>
              </w:rPr>
            </w:pPr>
            <w:r>
              <w:rPr>
                <w:sz w:val="21"/>
                <w:szCs w:val="21"/>
              </w:rPr>
              <w:t>（1）</w:t>
            </w:r>
            <w:r>
              <w:rPr>
                <w:rFonts w:hint="eastAsia"/>
                <w:color w:val="000000"/>
                <w:sz w:val="21"/>
                <w:szCs w:val="21"/>
              </w:rPr>
              <w:t>常见杂环类药物的分析方法</w:t>
            </w:r>
          </w:p>
          <w:p>
            <w:pPr>
              <w:rPr>
                <w:color w:val="000000"/>
                <w:sz w:val="21"/>
                <w:szCs w:val="21"/>
              </w:rPr>
            </w:pPr>
            <w:r>
              <w:rPr>
                <w:sz w:val="21"/>
                <w:szCs w:val="21"/>
              </w:rPr>
              <w:t>（2）</w:t>
            </w:r>
            <w:r>
              <w:rPr>
                <w:rFonts w:hint="eastAsia"/>
                <w:color w:val="000000"/>
                <w:sz w:val="21"/>
                <w:szCs w:val="21"/>
              </w:rPr>
              <w:t>典型杂环类药物的结构及性质</w:t>
            </w:r>
          </w:p>
          <w:p>
            <w:pPr>
              <w:rPr>
                <w:rFonts w:hint="eastAsia"/>
                <w:sz w:val="21"/>
                <w:szCs w:val="21"/>
              </w:rPr>
            </w:pPr>
            <w:r>
              <w:rPr>
                <w:rFonts w:hint="eastAsia"/>
                <w:color w:val="000000"/>
                <w:sz w:val="21"/>
                <w:szCs w:val="21"/>
              </w:rPr>
              <w:t>（3）苯并二氮杂卓类药物的分析</w:t>
            </w:r>
          </w:p>
          <w:p>
            <w:pPr>
              <w:rPr>
                <w:b/>
                <w:bCs/>
                <w:color w:val="000000"/>
                <w:sz w:val="21"/>
                <w:szCs w:val="21"/>
              </w:rPr>
            </w:pPr>
            <w:r>
              <w:rPr>
                <w:b/>
                <w:bCs/>
                <w:color w:val="000000"/>
                <w:sz w:val="21"/>
                <w:szCs w:val="21"/>
              </w:rPr>
              <w:t>重</w:t>
            </w:r>
            <w:r>
              <w:rPr>
                <w:rFonts w:hint="eastAsia"/>
                <w:b/>
                <w:bCs/>
                <w:color w:val="000000"/>
                <w:sz w:val="21"/>
                <w:szCs w:val="21"/>
              </w:rPr>
              <w:t>点</w:t>
            </w:r>
            <w:r>
              <w:rPr>
                <w:b/>
                <w:bCs/>
                <w:color w:val="000000"/>
                <w:sz w:val="21"/>
                <w:szCs w:val="21"/>
              </w:rPr>
              <w:t>难点</w:t>
            </w:r>
            <w:r>
              <w:rPr>
                <w:rFonts w:hint="eastAsia"/>
                <w:b/>
                <w:bCs/>
                <w:color w:val="000000"/>
                <w:sz w:val="21"/>
                <w:szCs w:val="21"/>
              </w:rPr>
              <w:t>：</w:t>
            </w:r>
          </w:p>
          <w:p>
            <w:pPr>
              <w:rPr>
                <w:rFonts w:hint="eastAsia"/>
                <w:b/>
                <w:bCs/>
                <w:color w:val="000000"/>
                <w:sz w:val="21"/>
                <w:szCs w:val="21"/>
              </w:rPr>
            </w:pPr>
            <w:r>
              <w:rPr>
                <w:rFonts w:hint="eastAsia"/>
                <w:color w:val="000000"/>
                <w:sz w:val="21"/>
                <w:szCs w:val="21"/>
              </w:rPr>
              <w:t>典型杂环类药物的结构及性质</w:t>
            </w:r>
          </w:p>
        </w:tc>
        <w:tc>
          <w:tcPr>
            <w:tcW w:w="1134" w:type="dxa"/>
            <w:noWrap w:val="0"/>
            <w:vAlign w:val="center"/>
          </w:tcPr>
          <w:p>
            <w:pPr>
              <w:autoSpaceDE w:val="0"/>
              <w:autoSpaceDN w:val="0"/>
              <w:adjustRightInd w:val="0"/>
              <w:rPr>
                <w:rFonts w:hint="eastAsia"/>
                <w:color w:val="000000"/>
                <w:sz w:val="21"/>
                <w:szCs w:val="21"/>
              </w:rPr>
            </w:pPr>
          </w:p>
        </w:tc>
        <w:tc>
          <w:tcPr>
            <w:tcW w:w="2028" w:type="dxa"/>
            <w:noWrap w:val="0"/>
            <w:vAlign w:val="center"/>
          </w:tcPr>
          <w:p>
            <w:pPr>
              <w:rPr>
                <w:sz w:val="21"/>
                <w:szCs w:val="21"/>
              </w:rPr>
            </w:pPr>
            <w:r>
              <w:rPr>
                <w:sz w:val="21"/>
                <w:szCs w:val="21"/>
              </w:rPr>
              <w:t>（1）</w:t>
            </w:r>
            <w:r>
              <w:rPr>
                <w:rFonts w:hint="eastAsia"/>
                <w:sz w:val="21"/>
                <w:szCs w:val="21"/>
              </w:rPr>
              <w:t>了解本类药物的结构特点和性质</w:t>
            </w:r>
          </w:p>
          <w:p>
            <w:pPr>
              <w:rPr>
                <w:sz w:val="21"/>
                <w:szCs w:val="21"/>
              </w:rPr>
            </w:pPr>
            <w:r>
              <w:rPr>
                <w:rFonts w:hint="eastAsia"/>
                <w:sz w:val="21"/>
                <w:szCs w:val="21"/>
              </w:rPr>
              <w:t>（2）熟悉本类药物的鉴别方法</w:t>
            </w:r>
          </w:p>
          <w:p>
            <w:pPr>
              <w:rPr>
                <w:sz w:val="21"/>
                <w:szCs w:val="21"/>
              </w:rPr>
            </w:pPr>
            <w:r>
              <w:rPr>
                <w:rFonts w:hint="eastAsia"/>
                <w:sz w:val="21"/>
                <w:szCs w:val="21"/>
              </w:rPr>
              <w:t>（3）掌握本类药物有关物质的检查方法</w:t>
            </w:r>
          </w:p>
          <w:p>
            <w:pPr>
              <w:rPr>
                <w:rFonts w:hint="eastAsia"/>
                <w:sz w:val="21"/>
                <w:szCs w:val="21"/>
              </w:rPr>
            </w:pPr>
            <w:r>
              <w:rPr>
                <w:rFonts w:hint="eastAsia"/>
                <w:sz w:val="21"/>
                <w:szCs w:val="21"/>
              </w:rPr>
              <w:t>（</w:t>
            </w:r>
            <w:r>
              <w:rPr>
                <w:sz w:val="21"/>
                <w:szCs w:val="21"/>
              </w:rPr>
              <w:t>4</w:t>
            </w:r>
            <w:r>
              <w:rPr>
                <w:rFonts w:hint="eastAsia"/>
                <w:sz w:val="21"/>
                <w:szCs w:val="21"/>
              </w:rPr>
              <w:t>）掌握本类药物含量测定的非水溶液滴定法、比色法、铈量法、紫外分光光度法、气相色谱法和高效液相色谱法</w:t>
            </w:r>
          </w:p>
        </w:tc>
        <w:tc>
          <w:tcPr>
            <w:tcW w:w="699" w:type="dxa"/>
            <w:noWrap w:val="0"/>
            <w:vAlign w:val="center"/>
          </w:tcPr>
          <w:p>
            <w:pPr>
              <w:jc w:val="center"/>
              <w:rPr>
                <w:sz w:val="21"/>
                <w:szCs w:val="21"/>
              </w:rPr>
            </w:pPr>
            <w:r>
              <w:rPr>
                <w:sz w:val="21"/>
                <w:szCs w:val="21"/>
              </w:rPr>
              <w:t>2</w:t>
            </w:r>
            <w:r>
              <w:rPr>
                <w:rFonts w:hint="eastAsia"/>
                <w:sz w:val="21"/>
                <w:szCs w:val="21"/>
              </w:rPr>
              <w:t>（讲授）</w:t>
            </w:r>
          </w:p>
        </w:tc>
        <w:tc>
          <w:tcPr>
            <w:tcW w:w="975" w:type="dxa"/>
            <w:noWrap w:val="0"/>
            <w:vAlign w:val="center"/>
          </w:tcPr>
          <w:p>
            <w:pPr>
              <w:rPr>
                <w:sz w:val="21"/>
                <w:szCs w:val="21"/>
              </w:rPr>
            </w:pPr>
            <w:r>
              <w:rPr>
                <w:sz w:val="21"/>
                <w:szCs w:val="21"/>
              </w:rPr>
              <w:t>讲授/讨论/实例教学等</w:t>
            </w:r>
          </w:p>
        </w:tc>
        <w:tc>
          <w:tcPr>
            <w:tcW w:w="925" w:type="dxa"/>
            <w:noWrap w:val="0"/>
            <w:vAlign w:val="center"/>
          </w:tcPr>
          <w:p>
            <w:pPr>
              <w:jc w:val="center"/>
              <w:rPr>
                <w:b/>
                <w:sz w:val="21"/>
                <w:szCs w:val="21"/>
              </w:rPr>
            </w:pPr>
            <w:r>
              <w:rPr>
                <w:b/>
                <w:sz w:val="21"/>
                <w:szCs w:val="21"/>
              </w:rPr>
              <w:t>目标</w:t>
            </w:r>
            <w:r>
              <w:rPr>
                <w:rFonts w:hint="eastAsia"/>
                <w:b/>
                <w:sz w:val="21"/>
                <w:szCs w:val="21"/>
              </w:rPr>
              <w:t>1</w:t>
            </w:r>
          </w:p>
          <w:p>
            <w:pPr>
              <w:jc w:val="center"/>
              <w:rPr>
                <w:sz w:val="21"/>
                <w:szCs w:val="21"/>
              </w:rPr>
            </w:pPr>
            <w:r>
              <w:rPr>
                <w:rFonts w:hint="eastAsia"/>
                <w:b/>
                <w:sz w:val="21"/>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hint="eastAsia"/>
                <w:sz w:val="21"/>
                <w:szCs w:val="21"/>
              </w:rPr>
            </w:pPr>
            <w:r>
              <w:rPr>
                <w:rFonts w:hint="eastAsia"/>
                <w:sz w:val="21"/>
                <w:szCs w:val="21"/>
              </w:rPr>
              <w:t>9</w:t>
            </w:r>
          </w:p>
        </w:tc>
        <w:tc>
          <w:tcPr>
            <w:tcW w:w="2632" w:type="dxa"/>
            <w:noWrap w:val="0"/>
            <w:vAlign w:val="center"/>
          </w:tcPr>
          <w:p>
            <w:pPr>
              <w:rPr>
                <w:b/>
                <w:bCs/>
                <w:color w:val="000000"/>
                <w:sz w:val="21"/>
                <w:szCs w:val="21"/>
              </w:rPr>
            </w:pPr>
            <w:r>
              <w:rPr>
                <w:rFonts w:hint="eastAsia"/>
                <w:b/>
                <w:bCs/>
                <w:color w:val="000000"/>
                <w:sz w:val="21"/>
                <w:szCs w:val="21"/>
              </w:rPr>
              <w:t>维生素类药物的分析：</w:t>
            </w:r>
          </w:p>
          <w:p>
            <w:pPr>
              <w:rPr>
                <w:rFonts w:hint="eastAsia"/>
                <w:sz w:val="21"/>
                <w:szCs w:val="21"/>
              </w:rPr>
            </w:pPr>
            <w:r>
              <w:rPr>
                <w:sz w:val="21"/>
                <w:szCs w:val="21"/>
              </w:rPr>
              <w:t>（1）</w:t>
            </w:r>
            <w:r>
              <w:rPr>
                <w:rFonts w:hint="eastAsia"/>
                <w:color w:val="000000"/>
                <w:sz w:val="21"/>
                <w:szCs w:val="21"/>
              </w:rPr>
              <w:t>维生素A、D、E的结构及鉴别、检查、含量测定的原理及方法</w:t>
            </w:r>
          </w:p>
          <w:p>
            <w:pPr>
              <w:rPr>
                <w:sz w:val="21"/>
                <w:szCs w:val="21"/>
              </w:rPr>
            </w:pPr>
            <w:r>
              <w:rPr>
                <w:sz w:val="21"/>
                <w:szCs w:val="21"/>
              </w:rPr>
              <w:t>（2）</w:t>
            </w:r>
            <w:r>
              <w:rPr>
                <w:rFonts w:hint="eastAsia"/>
                <w:color w:val="000000"/>
                <w:sz w:val="21"/>
                <w:szCs w:val="21"/>
              </w:rPr>
              <w:t>维生素B及C的结构及鉴别、检查、含量测定的原理及方法</w:t>
            </w:r>
          </w:p>
          <w:p>
            <w:pPr>
              <w:rPr>
                <w:b/>
                <w:bCs/>
                <w:sz w:val="21"/>
                <w:szCs w:val="21"/>
              </w:rPr>
            </w:pPr>
            <w:r>
              <w:rPr>
                <w:b/>
                <w:bCs/>
                <w:color w:val="000000"/>
                <w:sz w:val="21"/>
                <w:szCs w:val="21"/>
              </w:rPr>
              <w:t>重</w:t>
            </w:r>
            <w:r>
              <w:rPr>
                <w:rFonts w:hint="eastAsia"/>
                <w:b/>
                <w:bCs/>
                <w:color w:val="000000"/>
                <w:sz w:val="21"/>
                <w:szCs w:val="21"/>
              </w:rPr>
              <w:t>点</w:t>
            </w:r>
            <w:r>
              <w:rPr>
                <w:b/>
                <w:bCs/>
                <w:color w:val="000000"/>
                <w:sz w:val="21"/>
                <w:szCs w:val="21"/>
              </w:rPr>
              <w:t>难点</w:t>
            </w:r>
            <w:r>
              <w:rPr>
                <w:rFonts w:hint="eastAsia"/>
                <w:b/>
                <w:bCs/>
                <w:sz w:val="21"/>
                <w:szCs w:val="21"/>
              </w:rPr>
              <w:t>：</w:t>
            </w:r>
          </w:p>
          <w:p>
            <w:pPr>
              <w:rPr>
                <w:rFonts w:hint="eastAsia"/>
                <w:b/>
                <w:bCs/>
                <w:color w:val="000000"/>
                <w:sz w:val="21"/>
                <w:szCs w:val="21"/>
              </w:rPr>
            </w:pPr>
            <w:r>
              <w:rPr>
                <w:rFonts w:hint="eastAsia"/>
                <w:color w:val="000000"/>
                <w:sz w:val="21"/>
                <w:szCs w:val="21"/>
              </w:rPr>
              <w:t>维生素A、E的结构及鉴别、检查、含量测定的原理及方法</w:t>
            </w:r>
          </w:p>
        </w:tc>
        <w:tc>
          <w:tcPr>
            <w:tcW w:w="1134" w:type="dxa"/>
            <w:noWrap w:val="0"/>
            <w:vAlign w:val="center"/>
          </w:tcPr>
          <w:p>
            <w:pPr>
              <w:autoSpaceDE w:val="0"/>
              <w:autoSpaceDN w:val="0"/>
              <w:adjustRightInd w:val="0"/>
              <w:rPr>
                <w:rFonts w:hint="eastAsia"/>
                <w:color w:val="000000"/>
                <w:sz w:val="21"/>
                <w:szCs w:val="21"/>
              </w:rPr>
            </w:pPr>
          </w:p>
        </w:tc>
        <w:tc>
          <w:tcPr>
            <w:tcW w:w="2028" w:type="dxa"/>
            <w:noWrap w:val="0"/>
            <w:vAlign w:val="center"/>
          </w:tcPr>
          <w:p>
            <w:pPr>
              <w:rPr>
                <w:sz w:val="21"/>
                <w:szCs w:val="21"/>
              </w:rPr>
            </w:pPr>
            <w:r>
              <w:rPr>
                <w:sz w:val="21"/>
                <w:szCs w:val="21"/>
              </w:rPr>
              <w:t>（1）</w:t>
            </w:r>
            <w:r>
              <w:rPr>
                <w:rFonts w:hint="eastAsia"/>
                <w:sz w:val="21"/>
                <w:szCs w:val="21"/>
              </w:rPr>
              <w:t>掌握维生素A、B、C、D、E的结构性质与分析方法的关系</w:t>
            </w:r>
          </w:p>
          <w:p>
            <w:pPr>
              <w:rPr>
                <w:rFonts w:hint="eastAsia"/>
                <w:sz w:val="21"/>
                <w:szCs w:val="21"/>
              </w:rPr>
            </w:pPr>
            <w:r>
              <w:rPr>
                <w:rFonts w:hint="eastAsia"/>
                <w:sz w:val="21"/>
                <w:szCs w:val="21"/>
              </w:rPr>
              <w:t>（2）掌握含量测定原理和方法</w:t>
            </w:r>
          </w:p>
        </w:tc>
        <w:tc>
          <w:tcPr>
            <w:tcW w:w="699" w:type="dxa"/>
            <w:noWrap w:val="0"/>
            <w:vAlign w:val="center"/>
          </w:tcPr>
          <w:p>
            <w:pPr>
              <w:jc w:val="center"/>
              <w:rPr>
                <w:sz w:val="21"/>
                <w:szCs w:val="21"/>
              </w:rPr>
            </w:pPr>
            <w:r>
              <w:rPr>
                <w:sz w:val="21"/>
                <w:szCs w:val="21"/>
              </w:rPr>
              <w:t>2</w:t>
            </w:r>
            <w:r>
              <w:rPr>
                <w:rFonts w:hint="eastAsia"/>
                <w:sz w:val="21"/>
                <w:szCs w:val="21"/>
              </w:rPr>
              <w:t>（讲授）</w:t>
            </w:r>
          </w:p>
        </w:tc>
        <w:tc>
          <w:tcPr>
            <w:tcW w:w="975" w:type="dxa"/>
            <w:noWrap w:val="0"/>
            <w:vAlign w:val="center"/>
          </w:tcPr>
          <w:p>
            <w:pPr>
              <w:rPr>
                <w:sz w:val="21"/>
                <w:szCs w:val="21"/>
              </w:rPr>
            </w:pPr>
            <w:r>
              <w:rPr>
                <w:sz w:val="21"/>
                <w:szCs w:val="21"/>
              </w:rPr>
              <w:t>讲授/讨论/实例教学等</w:t>
            </w:r>
          </w:p>
        </w:tc>
        <w:tc>
          <w:tcPr>
            <w:tcW w:w="925" w:type="dxa"/>
            <w:noWrap w:val="0"/>
            <w:vAlign w:val="center"/>
          </w:tcPr>
          <w:p>
            <w:pPr>
              <w:jc w:val="center"/>
              <w:rPr>
                <w:b/>
                <w:sz w:val="21"/>
                <w:szCs w:val="21"/>
              </w:rPr>
            </w:pPr>
            <w:r>
              <w:rPr>
                <w:b/>
                <w:sz w:val="21"/>
                <w:szCs w:val="21"/>
              </w:rPr>
              <w:t>目标</w:t>
            </w:r>
            <w:r>
              <w:rPr>
                <w:rFonts w:hint="eastAsia"/>
                <w:b/>
                <w:sz w:val="21"/>
                <w:szCs w:val="21"/>
              </w:rPr>
              <w:t>1</w:t>
            </w:r>
          </w:p>
          <w:p>
            <w:pPr>
              <w:jc w:val="center"/>
              <w:rPr>
                <w:sz w:val="21"/>
                <w:szCs w:val="21"/>
              </w:rPr>
            </w:pPr>
            <w:r>
              <w:rPr>
                <w:rFonts w:hint="eastAsia"/>
                <w:b/>
                <w:sz w:val="21"/>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hint="eastAsia"/>
                <w:sz w:val="21"/>
                <w:szCs w:val="21"/>
              </w:rPr>
            </w:pPr>
            <w:r>
              <w:rPr>
                <w:rFonts w:hint="eastAsia"/>
                <w:sz w:val="21"/>
                <w:szCs w:val="21"/>
              </w:rPr>
              <w:t>1</w:t>
            </w:r>
            <w:r>
              <w:rPr>
                <w:sz w:val="21"/>
                <w:szCs w:val="21"/>
              </w:rPr>
              <w:t>0</w:t>
            </w:r>
          </w:p>
        </w:tc>
        <w:tc>
          <w:tcPr>
            <w:tcW w:w="2632" w:type="dxa"/>
            <w:noWrap w:val="0"/>
            <w:vAlign w:val="center"/>
          </w:tcPr>
          <w:p>
            <w:pPr>
              <w:rPr>
                <w:b/>
                <w:bCs/>
                <w:color w:val="000000"/>
                <w:szCs w:val="21"/>
              </w:rPr>
            </w:pPr>
            <w:r>
              <w:rPr>
                <w:rFonts w:hint="eastAsia"/>
                <w:b/>
                <w:bCs/>
                <w:color w:val="000000"/>
                <w:szCs w:val="21"/>
              </w:rPr>
              <w:t>中药及其制剂分析概论：</w:t>
            </w:r>
          </w:p>
          <w:p>
            <w:pPr>
              <w:pStyle w:val="5"/>
              <w:spacing w:line="360" w:lineRule="auto"/>
              <w:ind w:firstLine="0" w:firstLineChars="0"/>
              <w:rPr>
                <w:rFonts w:hint="eastAsia" w:ascii="Times New Roman" w:hAnsi="Times New Roman"/>
              </w:rPr>
            </w:pPr>
            <w:r>
              <w:t>（1）</w:t>
            </w:r>
            <w:r>
              <w:rPr>
                <w:rFonts w:hint="eastAsia"/>
                <w:color w:val="000000"/>
                <w:szCs w:val="21"/>
              </w:rPr>
              <w:t>中药材分析、中药制剂分析的特点、基本程序和方法</w:t>
            </w:r>
          </w:p>
          <w:p>
            <w:pPr>
              <w:pStyle w:val="5"/>
              <w:spacing w:line="360" w:lineRule="auto"/>
              <w:ind w:firstLine="0" w:firstLineChars="0"/>
              <w:rPr>
                <w:rFonts w:hint="eastAsia"/>
              </w:rPr>
            </w:pPr>
            <w:r>
              <w:t>（2）</w:t>
            </w:r>
            <w:r>
              <w:rPr>
                <w:rFonts w:hint="eastAsia"/>
                <w:color w:val="000000"/>
                <w:szCs w:val="21"/>
              </w:rPr>
              <w:t>中药及其制剂的研究现状、存在问题和发展趋势</w:t>
            </w:r>
          </w:p>
          <w:p>
            <w:pPr>
              <w:rPr>
                <w:b/>
                <w:bCs/>
                <w:color w:val="000000"/>
              </w:rPr>
            </w:pPr>
            <w:r>
              <w:rPr>
                <w:b/>
                <w:bCs/>
                <w:color w:val="000000"/>
              </w:rPr>
              <w:t>重</w:t>
            </w:r>
            <w:r>
              <w:rPr>
                <w:rFonts w:hint="eastAsia"/>
                <w:b/>
                <w:bCs/>
                <w:color w:val="000000"/>
              </w:rPr>
              <w:t>点</w:t>
            </w:r>
            <w:r>
              <w:rPr>
                <w:b/>
                <w:bCs/>
                <w:color w:val="000000"/>
              </w:rPr>
              <w:t>难点</w:t>
            </w:r>
            <w:r>
              <w:rPr>
                <w:rFonts w:hint="eastAsia"/>
                <w:b/>
                <w:bCs/>
                <w:color w:val="000000"/>
              </w:rPr>
              <w:t>：</w:t>
            </w:r>
          </w:p>
          <w:p>
            <w:pPr>
              <w:rPr>
                <w:rFonts w:hint="eastAsia"/>
                <w:b/>
                <w:bCs/>
                <w:color w:val="000000"/>
                <w:sz w:val="21"/>
                <w:szCs w:val="21"/>
              </w:rPr>
            </w:pPr>
            <w:r>
              <w:rPr>
                <w:rFonts w:hint="eastAsia"/>
                <w:color w:val="000000"/>
                <w:szCs w:val="21"/>
              </w:rPr>
              <w:t>中药材分析、中药制剂分析的特点、基本程序和方法</w:t>
            </w:r>
          </w:p>
        </w:tc>
        <w:tc>
          <w:tcPr>
            <w:tcW w:w="1134" w:type="dxa"/>
            <w:noWrap w:val="0"/>
            <w:vAlign w:val="center"/>
          </w:tcPr>
          <w:p>
            <w:pPr>
              <w:autoSpaceDE w:val="0"/>
              <w:autoSpaceDN w:val="0"/>
              <w:adjustRightInd w:val="0"/>
              <w:rPr>
                <w:rFonts w:hint="eastAsia"/>
                <w:color w:val="000000"/>
                <w:sz w:val="21"/>
                <w:szCs w:val="21"/>
              </w:rPr>
            </w:pPr>
          </w:p>
        </w:tc>
        <w:tc>
          <w:tcPr>
            <w:tcW w:w="2028" w:type="dxa"/>
            <w:noWrap w:val="0"/>
            <w:vAlign w:val="center"/>
          </w:tcPr>
          <w:p>
            <w:pPr>
              <w:spacing w:line="360" w:lineRule="auto"/>
            </w:pPr>
            <w:r>
              <w:t>（1）</w:t>
            </w:r>
            <w:r>
              <w:rPr>
                <w:rFonts w:hint="eastAsia"/>
              </w:rPr>
              <w:t>熟悉中药制剂分析的特点</w:t>
            </w:r>
          </w:p>
          <w:p>
            <w:pPr>
              <w:spacing w:line="360" w:lineRule="auto"/>
            </w:pPr>
            <w:r>
              <w:rPr>
                <w:rFonts w:hint="eastAsia"/>
              </w:rPr>
              <w:t>（2）熟悉中药及其制剂的鉴别方法</w:t>
            </w:r>
          </w:p>
          <w:p>
            <w:pPr>
              <w:spacing w:line="360" w:lineRule="auto"/>
              <w:rPr>
                <w:rFonts w:hint="eastAsia"/>
              </w:rPr>
            </w:pPr>
            <w:r>
              <w:rPr>
                <w:rFonts w:hint="eastAsia"/>
              </w:rPr>
              <w:t>（3）熟悉中药及其制剂的检查项目和方法</w:t>
            </w:r>
          </w:p>
          <w:p>
            <w:pPr>
              <w:spacing w:line="360" w:lineRule="auto"/>
              <w:rPr>
                <w:rFonts w:hint="eastAsia"/>
                <w:color w:val="000000"/>
              </w:rPr>
            </w:pPr>
            <w:r>
              <w:rPr>
                <w:rFonts w:hint="eastAsia"/>
                <w:color w:val="000000"/>
              </w:rPr>
              <w:t>（4）</w:t>
            </w:r>
            <w:r>
              <w:rPr>
                <w:rFonts w:hint="eastAsia"/>
              </w:rPr>
              <w:t>熟悉中药及其制剂中待测成分的含量测定方法</w:t>
            </w:r>
          </w:p>
        </w:tc>
        <w:tc>
          <w:tcPr>
            <w:tcW w:w="699" w:type="dxa"/>
            <w:noWrap w:val="0"/>
            <w:vAlign w:val="center"/>
          </w:tcPr>
          <w:p>
            <w:pPr>
              <w:jc w:val="center"/>
              <w:rPr>
                <w:sz w:val="21"/>
                <w:szCs w:val="21"/>
              </w:rPr>
            </w:pPr>
            <w:r>
              <w:rPr>
                <w:sz w:val="21"/>
                <w:szCs w:val="21"/>
              </w:rPr>
              <w:t>2</w:t>
            </w:r>
            <w:r>
              <w:rPr>
                <w:rFonts w:hint="eastAsia"/>
                <w:sz w:val="21"/>
                <w:szCs w:val="21"/>
              </w:rPr>
              <w:t>（讲授）</w:t>
            </w:r>
          </w:p>
        </w:tc>
        <w:tc>
          <w:tcPr>
            <w:tcW w:w="975" w:type="dxa"/>
            <w:noWrap w:val="0"/>
            <w:vAlign w:val="center"/>
          </w:tcPr>
          <w:p>
            <w:pPr>
              <w:rPr>
                <w:sz w:val="21"/>
                <w:szCs w:val="21"/>
              </w:rPr>
            </w:pPr>
            <w:r>
              <w:rPr>
                <w:sz w:val="21"/>
                <w:szCs w:val="21"/>
              </w:rPr>
              <w:t>讲授/讨论/实例教学等</w:t>
            </w:r>
          </w:p>
        </w:tc>
        <w:tc>
          <w:tcPr>
            <w:tcW w:w="925" w:type="dxa"/>
            <w:noWrap w:val="0"/>
            <w:vAlign w:val="center"/>
          </w:tcPr>
          <w:p>
            <w:pPr>
              <w:jc w:val="center"/>
              <w:rPr>
                <w:b/>
                <w:sz w:val="21"/>
                <w:szCs w:val="21"/>
              </w:rPr>
            </w:pPr>
            <w:r>
              <w:rPr>
                <w:b/>
                <w:sz w:val="21"/>
                <w:szCs w:val="21"/>
              </w:rPr>
              <w:t>目标</w:t>
            </w:r>
            <w:r>
              <w:rPr>
                <w:rFonts w:hint="eastAsia"/>
                <w:b/>
                <w:sz w:val="21"/>
                <w:szCs w:val="21"/>
              </w:rPr>
              <w:t>1</w:t>
            </w:r>
          </w:p>
          <w:p>
            <w:pPr>
              <w:jc w:val="center"/>
              <w:rPr>
                <w:sz w:val="21"/>
                <w:szCs w:val="21"/>
              </w:rPr>
            </w:pPr>
            <w:r>
              <w:rPr>
                <w:rFonts w:hint="eastAsia"/>
                <w:b/>
                <w:sz w:val="21"/>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rFonts w:hint="eastAsia"/>
                <w:sz w:val="21"/>
                <w:szCs w:val="21"/>
              </w:rPr>
            </w:pPr>
            <w:r>
              <w:rPr>
                <w:rFonts w:hint="eastAsia"/>
                <w:sz w:val="21"/>
                <w:szCs w:val="21"/>
              </w:rPr>
              <w:t>1</w:t>
            </w:r>
            <w:r>
              <w:rPr>
                <w:sz w:val="21"/>
                <w:szCs w:val="21"/>
              </w:rPr>
              <w:t>1</w:t>
            </w:r>
          </w:p>
        </w:tc>
        <w:tc>
          <w:tcPr>
            <w:tcW w:w="2632" w:type="dxa"/>
            <w:noWrap w:val="0"/>
            <w:vAlign w:val="center"/>
          </w:tcPr>
          <w:p>
            <w:pPr>
              <w:rPr>
                <w:b/>
                <w:bCs/>
              </w:rPr>
            </w:pPr>
            <w:r>
              <w:rPr>
                <w:rFonts w:hint="eastAsia"/>
                <w:b/>
                <w:bCs/>
              </w:rPr>
              <w:t>现代色谱技术的新进展及其应用：</w:t>
            </w:r>
          </w:p>
          <w:p>
            <w:pPr>
              <w:spacing w:line="360" w:lineRule="auto"/>
              <w:rPr>
                <w:rFonts w:hint="eastAsia"/>
              </w:rPr>
            </w:pPr>
            <w:r>
              <w:t>（1）</w:t>
            </w:r>
            <w:r>
              <w:rPr>
                <w:rFonts w:hint="eastAsia"/>
              </w:rPr>
              <w:t>毛细管电色谱法</w:t>
            </w:r>
          </w:p>
          <w:p>
            <w:pPr>
              <w:spacing w:line="360" w:lineRule="auto"/>
            </w:pPr>
            <w:r>
              <w:t>（2）</w:t>
            </w:r>
            <w:r>
              <w:rPr>
                <w:rFonts w:hint="eastAsia"/>
              </w:rPr>
              <w:t>手性药物色谱分析</w:t>
            </w:r>
          </w:p>
          <w:p>
            <w:pPr>
              <w:spacing w:line="360" w:lineRule="auto"/>
              <w:rPr>
                <w:rFonts w:hint="eastAsia"/>
              </w:rPr>
            </w:pPr>
            <w:r>
              <w:rPr>
                <w:rFonts w:hint="eastAsia"/>
              </w:rPr>
              <w:t>（3）超高效液相色谱分析技术</w:t>
            </w:r>
          </w:p>
        </w:tc>
        <w:tc>
          <w:tcPr>
            <w:tcW w:w="1134" w:type="dxa"/>
            <w:noWrap w:val="0"/>
            <w:vAlign w:val="center"/>
          </w:tcPr>
          <w:p>
            <w:pPr>
              <w:autoSpaceDE w:val="0"/>
              <w:autoSpaceDN w:val="0"/>
              <w:adjustRightInd w:val="0"/>
              <w:rPr>
                <w:rFonts w:hint="eastAsia"/>
                <w:color w:val="000000"/>
                <w:sz w:val="21"/>
                <w:szCs w:val="21"/>
              </w:rPr>
            </w:pPr>
          </w:p>
        </w:tc>
        <w:tc>
          <w:tcPr>
            <w:tcW w:w="2028" w:type="dxa"/>
            <w:noWrap w:val="0"/>
            <w:vAlign w:val="center"/>
          </w:tcPr>
          <w:p>
            <w:pPr>
              <w:spacing w:line="360" w:lineRule="auto"/>
              <w:rPr>
                <w:rFonts w:hint="eastAsia"/>
                <w:color w:val="000000"/>
              </w:rPr>
            </w:pPr>
            <w:r>
              <w:rPr>
                <w:color w:val="000000"/>
              </w:rPr>
              <w:t>（1）</w:t>
            </w:r>
            <w:r>
              <w:rPr>
                <w:rFonts w:hint="eastAsia"/>
                <w:color w:val="000000"/>
              </w:rPr>
              <w:t>了解药物分析领域中的新技术和新方法。</w:t>
            </w:r>
          </w:p>
        </w:tc>
        <w:tc>
          <w:tcPr>
            <w:tcW w:w="699" w:type="dxa"/>
            <w:noWrap w:val="0"/>
            <w:vAlign w:val="center"/>
          </w:tcPr>
          <w:p>
            <w:pPr>
              <w:jc w:val="center"/>
              <w:rPr>
                <w:sz w:val="21"/>
                <w:szCs w:val="21"/>
              </w:rPr>
            </w:pPr>
            <w:r>
              <w:rPr>
                <w:sz w:val="21"/>
                <w:szCs w:val="21"/>
              </w:rPr>
              <w:t>2</w:t>
            </w:r>
            <w:r>
              <w:rPr>
                <w:rFonts w:hint="eastAsia"/>
                <w:sz w:val="21"/>
                <w:szCs w:val="21"/>
              </w:rPr>
              <w:t>（讲授）</w:t>
            </w:r>
          </w:p>
        </w:tc>
        <w:tc>
          <w:tcPr>
            <w:tcW w:w="975" w:type="dxa"/>
            <w:noWrap w:val="0"/>
            <w:vAlign w:val="center"/>
          </w:tcPr>
          <w:p>
            <w:pPr>
              <w:rPr>
                <w:sz w:val="21"/>
                <w:szCs w:val="21"/>
              </w:rPr>
            </w:pPr>
            <w:r>
              <w:rPr>
                <w:sz w:val="21"/>
                <w:szCs w:val="21"/>
              </w:rPr>
              <w:t>讲授/讨论/实例教学等</w:t>
            </w:r>
          </w:p>
        </w:tc>
        <w:tc>
          <w:tcPr>
            <w:tcW w:w="925" w:type="dxa"/>
            <w:noWrap w:val="0"/>
            <w:vAlign w:val="center"/>
          </w:tcPr>
          <w:p>
            <w:pPr>
              <w:jc w:val="center"/>
              <w:rPr>
                <w:b/>
                <w:sz w:val="21"/>
                <w:szCs w:val="21"/>
              </w:rPr>
            </w:pPr>
            <w:r>
              <w:rPr>
                <w:b/>
                <w:sz w:val="21"/>
                <w:szCs w:val="21"/>
              </w:rPr>
              <w:t>目标</w:t>
            </w:r>
            <w:r>
              <w:rPr>
                <w:rFonts w:hint="eastAsia"/>
                <w:b/>
                <w:sz w:val="21"/>
                <w:szCs w:val="21"/>
              </w:rPr>
              <w:t>1</w:t>
            </w:r>
          </w:p>
          <w:p>
            <w:pPr>
              <w:jc w:val="center"/>
              <w:rPr>
                <w:sz w:val="21"/>
                <w:szCs w:val="21"/>
              </w:rPr>
            </w:pPr>
            <w:r>
              <w:rPr>
                <w:rFonts w:hint="eastAsia"/>
                <w:b/>
                <w:sz w:val="21"/>
                <w:szCs w:val="21"/>
              </w:rPr>
              <w:t>目标2</w:t>
            </w:r>
          </w:p>
        </w:tc>
      </w:tr>
    </w:tbl>
    <w:p>
      <w:pPr>
        <w:spacing w:line="360" w:lineRule="auto"/>
        <w:ind w:firstLine="562" w:firstLineChars="200"/>
        <w:rPr>
          <w:rFonts w:hint="eastAsia"/>
          <w:b/>
          <w:sz w:val="28"/>
          <w:szCs w:val="28"/>
        </w:rPr>
      </w:pPr>
      <w:r>
        <w:rPr>
          <w:rFonts w:hint="eastAsia"/>
          <w:b/>
          <w:sz w:val="28"/>
          <w:szCs w:val="28"/>
        </w:rPr>
        <w:t>四、课程实施</w:t>
      </w:r>
    </w:p>
    <w:p>
      <w:pPr>
        <w:spacing w:line="360" w:lineRule="auto"/>
        <w:ind w:firstLine="422" w:firstLineChars="200"/>
        <w:rPr>
          <w:rFonts w:hint="eastAsia"/>
          <w:b/>
        </w:rPr>
      </w:pPr>
      <w:r>
        <w:rPr>
          <w:rFonts w:hint="eastAsia"/>
          <w:b/>
        </w:rPr>
        <w:t>（一）教学方法与教学手段</w:t>
      </w:r>
    </w:p>
    <w:p>
      <w:pPr>
        <w:spacing w:line="360" w:lineRule="auto"/>
        <w:ind w:firstLine="420" w:firstLineChars="200"/>
      </w:pPr>
      <w:r>
        <w:rPr>
          <w:rFonts w:hint="eastAsia"/>
        </w:rPr>
        <w:t>（</w:t>
      </w:r>
      <w:r>
        <w:t>1</w:t>
      </w:r>
      <w:r>
        <w:rPr>
          <w:rFonts w:hint="eastAsia"/>
        </w:rPr>
        <w:t>）课堂讲授突出重点和难点，采用讲授、提问、答疑等多种教学方法。</w:t>
      </w:r>
      <w:r>
        <w:t> </w:t>
      </w:r>
    </w:p>
    <w:p>
      <w:pPr>
        <w:spacing w:line="360" w:lineRule="auto"/>
        <w:ind w:firstLine="420" w:firstLineChars="200"/>
      </w:pPr>
      <w:r>
        <w:rPr>
          <w:rFonts w:hint="eastAsia"/>
        </w:rPr>
        <w:t>（2）引导学生自主性、研究性地学习，进行启发式教学，促进学生独立思考，鼓励学生创新性地学习和思维，积极参与课堂研讨；</w:t>
      </w:r>
      <w:r>
        <w:t> </w:t>
      </w:r>
    </w:p>
    <w:p>
      <w:pPr>
        <w:spacing w:line="360" w:lineRule="auto"/>
        <w:ind w:firstLine="420" w:firstLineChars="200"/>
        <w:rPr>
          <w:rFonts w:hint="eastAsia"/>
        </w:rPr>
      </w:pPr>
      <w:r>
        <w:rPr>
          <w:rFonts w:hint="eastAsia"/>
        </w:rPr>
        <w:t>（3）有适当的课后思考题，引导学生逐步接触本课程学科的发展实际和动向；</w:t>
      </w:r>
    </w:p>
    <w:p>
      <w:pPr>
        <w:spacing w:line="360" w:lineRule="auto"/>
        <w:ind w:firstLine="420" w:firstLineChars="200"/>
      </w:pPr>
      <w:r>
        <w:rPr>
          <w:rFonts w:hint="eastAsia"/>
        </w:rPr>
        <w:t>（4）针对制剂学课程的特点，在教学中按授课知识点制作课件，开展多媒体教学，针对国际国内制剂学发展的新形势、新案例，及时补充相关知识，争取同步传递学科的发展成果和动向；</w:t>
      </w:r>
    </w:p>
    <w:p>
      <w:pPr>
        <w:bidi w:val="0"/>
        <w:rPr>
          <w:rFonts w:hint="eastAsia"/>
          <w:b/>
          <w:bCs/>
          <w:sz w:val="24"/>
          <w:szCs w:val="24"/>
        </w:rPr>
      </w:pPr>
      <w:bookmarkStart w:id="268" w:name="_Toc23078"/>
      <w:r>
        <w:rPr>
          <w:rFonts w:hint="eastAsia"/>
          <w:b/>
          <w:bCs/>
          <w:sz w:val="24"/>
          <w:szCs w:val="24"/>
        </w:rPr>
        <w:t>（二）课程实施与保障</w:t>
      </w:r>
      <w:bookmarkEnd w:id="268"/>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691"/>
        <w:gridCol w:w="6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7" w:type="dxa"/>
            <w:gridSpan w:val="2"/>
            <w:tcBorders>
              <w:top w:val="single" w:color="auto" w:sz="8" w:space="0"/>
              <w:left w:val="single" w:color="auto" w:sz="8" w:space="0"/>
              <w:right w:val="single" w:color="auto" w:sz="8" w:space="0"/>
            </w:tcBorders>
            <w:noWrap w:val="0"/>
            <w:tcMar>
              <w:left w:w="28" w:type="dxa"/>
              <w:right w:w="28" w:type="dxa"/>
            </w:tcMar>
            <w:vAlign w:val="center"/>
          </w:tcPr>
          <w:p>
            <w:pPr>
              <w:jc w:val="center"/>
              <w:rPr>
                <w:szCs w:val="21"/>
              </w:rPr>
            </w:pPr>
            <w:r>
              <w:rPr>
                <w:bCs/>
                <w:szCs w:val="21"/>
              </w:rPr>
              <w:t>主要教学环节</w:t>
            </w:r>
          </w:p>
        </w:tc>
        <w:tc>
          <w:tcPr>
            <w:tcW w:w="6773" w:type="dxa"/>
            <w:tcBorders>
              <w:top w:val="single" w:color="auto" w:sz="8" w:space="0"/>
              <w:left w:val="single" w:color="auto" w:sz="8" w:space="0"/>
              <w:right w:val="single" w:color="auto" w:sz="8" w:space="0"/>
            </w:tcBorders>
            <w:noWrap w:val="0"/>
            <w:vAlign w:val="center"/>
          </w:tcPr>
          <w:p>
            <w:pPr>
              <w:jc w:val="center"/>
              <w:rPr>
                <w:szCs w:val="21"/>
              </w:rPr>
            </w:pPr>
            <w:r>
              <w:rPr>
                <w:bCs/>
                <w:szCs w:val="21"/>
              </w:rPr>
              <w:t>质量</w:t>
            </w:r>
            <w:r>
              <w:rPr>
                <w:rFonts w:hint="eastAsia"/>
                <w:bCs/>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left w:val="single" w:color="auto" w:sz="8" w:space="0"/>
            </w:tcBorders>
            <w:noWrap w:val="0"/>
            <w:vAlign w:val="center"/>
          </w:tcPr>
          <w:p>
            <w:pPr>
              <w:jc w:val="center"/>
              <w:rPr>
                <w:szCs w:val="21"/>
              </w:rPr>
            </w:pPr>
            <w:r>
              <w:rPr>
                <w:szCs w:val="21"/>
              </w:rPr>
              <w:t>1</w:t>
            </w:r>
          </w:p>
        </w:tc>
        <w:tc>
          <w:tcPr>
            <w:tcW w:w="1691" w:type="dxa"/>
            <w:noWrap w:val="0"/>
            <w:tcMar>
              <w:left w:w="28" w:type="dxa"/>
              <w:right w:w="28" w:type="dxa"/>
            </w:tcMar>
            <w:vAlign w:val="center"/>
          </w:tcPr>
          <w:p>
            <w:pPr>
              <w:jc w:val="center"/>
              <w:rPr>
                <w:szCs w:val="21"/>
              </w:rPr>
            </w:pPr>
            <w:r>
              <w:rPr>
                <w:szCs w:val="21"/>
              </w:rPr>
              <w:t>备课</w:t>
            </w:r>
          </w:p>
        </w:tc>
        <w:tc>
          <w:tcPr>
            <w:tcW w:w="6773" w:type="dxa"/>
            <w:tcBorders>
              <w:right w:val="single" w:color="auto" w:sz="8" w:space="0"/>
            </w:tcBorders>
            <w:noWrap w:val="0"/>
            <w:vAlign w:val="center"/>
          </w:tcPr>
          <w:p>
            <w:pPr>
              <w:rPr>
                <w:szCs w:val="21"/>
              </w:rPr>
            </w:pPr>
            <w:r>
              <w:rPr>
                <w:rFonts w:hint="eastAsia"/>
                <w:szCs w:val="21"/>
              </w:rPr>
              <w:t>（</w:t>
            </w:r>
            <w:r>
              <w:rPr>
                <w:szCs w:val="21"/>
              </w:rPr>
              <w:t>1</w:t>
            </w:r>
            <w:r>
              <w:rPr>
                <w:rFonts w:hint="eastAsia"/>
                <w:szCs w:val="21"/>
              </w:rPr>
              <w:t>）掌握所授课程在本专业人才培养过程中的地位和作用，钻研吃透教学大纲精神，明确本课程的教学目的、任务和要求，掌握本课程内容的深度、广度、重点和难点。</w:t>
            </w:r>
          </w:p>
          <w:p>
            <w:pPr>
              <w:rPr>
                <w:szCs w:val="21"/>
              </w:rPr>
            </w:pPr>
            <w:r>
              <w:rPr>
                <w:rFonts w:hint="eastAsia"/>
                <w:szCs w:val="21"/>
              </w:rPr>
              <w:t>（</w:t>
            </w:r>
            <w:r>
              <w:rPr>
                <w:szCs w:val="21"/>
              </w:rPr>
              <w:t>2</w:t>
            </w:r>
            <w:r>
              <w:rPr>
                <w:rFonts w:hint="eastAsia"/>
                <w:szCs w:val="21"/>
              </w:rPr>
              <w:t>）</w:t>
            </w:r>
            <w:r>
              <w:rPr>
                <w:szCs w:val="21"/>
              </w:rPr>
              <w:t>对学生在学习过程中易混淆</w:t>
            </w:r>
            <w:r>
              <w:rPr>
                <w:rFonts w:hint="eastAsia"/>
                <w:szCs w:val="21"/>
              </w:rPr>
              <w:t>、</w:t>
            </w:r>
            <w:r>
              <w:rPr>
                <w:szCs w:val="21"/>
              </w:rPr>
              <w:t>易出错或易疏忽的问题</w:t>
            </w:r>
            <w:r>
              <w:rPr>
                <w:rFonts w:hint="eastAsia"/>
                <w:szCs w:val="21"/>
              </w:rPr>
              <w:t>，</w:t>
            </w:r>
            <w:r>
              <w:rPr>
                <w:szCs w:val="21"/>
              </w:rPr>
              <w:t>能采取设问</w:t>
            </w:r>
            <w:r>
              <w:rPr>
                <w:rFonts w:hint="eastAsia"/>
                <w:szCs w:val="21"/>
              </w:rPr>
              <w:t>、</w:t>
            </w:r>
            <w:r>
              <w:rPr>
                <w:szCs w:val="21"/>
              </w:rPr>
              <w:t>质疑</w:t>
            </w:r>
            <w:r>
              <w:rPr>
                <w:rFonts w:hint="eastAsia"/>
                <w:szCs w:val="21"/>
              </w:rPr>
              <w:t>、</w:t>
            </w:r>
            <w:r>
              <w:rPr>
                <w:szCs w:val="21"/>
              </w:rPr>
              <w:t>比较</w:t>
            </w:r>
            <w:r>
              <w:rPr>
                <w:rFonts w:hint="eastAsia"/>
                <w:szCs w:val="21"/>
              </w:rPr>
              <w:t>、</w:t>
            </w:r>
            <w:r>
              <w:rPr>
                <w:szCs w:val="21"/>
              </w:rPr>
              <w:t>讨论等方法搞清楚</w:t>
            </w:r>
            <w:r>
              <w:rPr>
                <w:rFonts w:hint="eastAsia"/>
                <w:szCs w:val="21"/>
              </w:rPr>
              <w:t>；</w:t>
            </w:r>
            <w:r>
              <w:rPr>
                <w:szCs w:val="21"/>
              </w:rPr>
              <w:t>能采用讲授与自学</w:t>
            </w:r>
            <w:r>
              <w:rPr>
                <w:rFonts w:hint="eastAsia"/>
                <w:szCs w:val="21"/>
              </w:rPr>
              <w:t>、</w:t>
            </w:r>
            <w:r>
              <w:rPr>
                <w:szCs w:val="21"/>
              </w:rPr>
              <w:t>讨论与交流</w:t>
            </w:r>
            <w:r>
              <w:rPr>
                <w:rFonts w:hint="eastAsia"/>
                <w:szCs w:val="21"/>
              </w:rPr>
              <w:t>、</w:t>
            </w:r>
            <w:r>
              <w:rPr>
                <w:szCs w:val="21"/>
              </w:rPr>
              <w:t>理论学习与案例分析</w:t>
            </w:r>
            <w:r>
              <w:rPr>
                <w:rFonts w:hint="eastAsia"/>
                <w:szCs w:val="21"/>
              </w:rPr>
              <w:t>相结合的教学方法，注意因材施教和个体化教学。</w:t>
            </w:r>
          </w:p>
          <w:p>
            <w:pPr>
              <w:rPr>
                <w:szCs w:val="21"/>
              </w:rPr>
            </w:pPr>
            <w:r>
              <w:rPr>
                <w:rFonts w:hint="eastAsia"/>
                <w:szCs w:val="21"/>
              </w:rPr>
              <w:t>（3）根据学科专业特点积极采用现代化教学手段进行教学，并不断更新教学手段。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left w:val="single" w:color="auto" w:sz="8" w:space="0"/>
            </w:tcBorders>
            <w:noWrap w:val="0"/>
            <w:vAlign w:val="center"/>
          </w:tcPr>
          <w:p>
            <w:pPr>
              <w:jc w:val="center"/>
              <w:rPr>
                <w:szCs w:val="21"/>
              </w:rPr>
            </w:pPr>
            <w:r>
              <w:rPr>
                <w:szCs w:val="21"/>
              </w:rPr>
              <w:t>2</w:t>
            </w:r>
          </w:p>
        </w:tc>
        <w:tc>
          <w:tcPr>
            <w:tcW w:w="1691" w:type="dxa"/>
            <w:noWrap w:val="0"/>
            <w:tcMar>
              <w:left w:w="28" w:type="dxa"/>
              <w:right w:w="28" w:type="dxa"/>
            </w:tcMar>
            <w:vAlign w:val="center"/>
          </w:tcPr>
          <w:p>
            <w:pPr>
              <w:jc w:val="center"/>
              <w:rPr>
                <w:szCs w:val="21"/>
              </w:rPr>
            </w:pPr>
            <w:r>
              <w:rPr>
                <w:szCs w:val="21"/>
              </w:rPr>
              <w:t>讲授</w:t>
            </w:r>
          </w:p>
        </w:tc>
        <w:tc>
          <w:tcPr>
            <w:tcW w:w="6773" w:type="dxa"/>
            <w:tcBorders>
              <w:right w:val="single" w:color="auto" w:sz="8" w:space="0"/>
            </w:tcBorders>
            <w:noWrap w:val="0"/>
            <w:vAlign w:val="center"/>
          </w:tcPr>
          <w:p>
            <w:pPr>
              <w:rPr>
                <w:szCs w:val="21"/>
              </w:rPr>
            </w:pPr>
            <w:r>
              <w:rPr>
                <w:rFonts w:hint="eastAsia"/>
                <w:szCs w:val="21"/>
              </w:rPr>
              <w:t>（</w:t>
            </w:r>
            <w:r>
              <w:rPr>
                <w:szCs w:val="21"/>
              </w:rPr>
              <w:t>1</w:t>
            </w:r>
            <w:r>
              <w:rPr>
                <w:rFonts w:hint="eastAsia"/>
                <w:szCs w:val="21"/>
              </w:rPr>
              <w:t>）认真授课，严格按照授课计划开展教学活动。</w:t>
            </w:r>
          </w:p>
          <w:p>
            <w:pPr>
              <w:rPr>
                <w:rFonts w:hint="eastAsia"/>
                <w:szCs w:val="21"/>
              </w:rPr>
            </w:pPr>
            <w:r>
              <w:rPr>
                <w:rFonts w:hint="eastAsia"/>
                <w:szCs w:val="21"/>
              </w:rPr>
              <w:t>（2）教学内容正确，深度适宜，符合教学大纲要求，并重视联系生产、社会和生活实际。</w:t>
            </w:r>
          </w:p>
          <w:p>
            <w:pPr>
              <w:rPr>
                <w:rFonts w:hint="eastAsia"/>
                <w:szCs w:val="21"/>
              </w:rPr>
            </w:pPr>
            <w:r>
              <w:rPr>
                <w:rFonts w:hint="eastAsia"/>
                <w:szCs w:val="21"/>
              </w:rPr>
              <w:t>（3）教学方法灵活多样，启发性强，能激发学生的求知欲，活跃课堂气氛。</w:t>
            </w:r>
          </w:p>
          <w:p>
            <w:pPr>
              <w:rPr>
                <w:szCs w:val="21"/>
              </w:rPr>
            </w:pPr>
            <w:r>
              <w:rPr>
                <w:rFonts w:hint="eastAsia"/>
                <w:szCs w:val="21"/>
              </w:rPr>
              <w:t>（4）突出重点，根据教材内容体系与其他课程间的联系及实际需要，找准课程重点和课堂重点，在讲解时分清主次，有详有略。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left w:val="single" w:color="auto" w:sz="8" w:space="0"/>
            </w:tcBorders>
            <w:noWrap w:val="0"/>
            <w:vAlign w:val="center"/>
          </w:tcPr>
          <w:p>
            <w:pPr>
              <w:jc w:val="center"/>
              <w:rPr>
                <w:szCs w:val="21"/>
              </w:rPr>
            </w:pPr>
            <w:r>
              <w:rPr>
                <w:szCs w:val="21"/>
              </w:rPr>
              <w:t>3</w:t>
            </w:r>
          </w:p>
        </w:tc>
        <w:tc>
          <w:tcPr>
            <w:tcW w:w="1691" w:type="dxa"/>
            <w:noWrap w:val="0"/>
            <w:tcMar>
              <w:left w:w="28" w:type="dxa"/>
              <w:right w:w="28" w:type="dxa"/>
            </w:tcMar>
            <w:vAlign w:val="center"/>
          </w:tcPr>
          <w:p>
            <w:pPr>
              <w:jc w:val="center"/>
              <w:rPr>
                <w:szCs w:val="21"/>
              </w:rPr>
            </w:pPr>
            <w:r>
              <w:rPr>
                <w:szCs w:val="21"/>
              </w:rPr>
              <w:t>作业布置与批改</w:t>
            </w:r>
          </w:p>
        </w:tc>
        <w:tc>
          <w:tcPr>
            <w:tcW w:w="6773" w:type="dxa"/>
            <w:tcBorders>
              <w:right w:val="single" w:color="auto" w:sz="8" w:space="0"/>
            </w:tcBorders>
            <w:noWrap w:val="0"/>
            <w:vAlign w:val="center"/>
          </w:tcPr>
          <w:p>
            <w:pPr>
              <w:rPr>
                <w:rFonts w:hint="eastAsia"/>
                <w:szCs w:val="21"/>
              </w:rPr>
            </w:pPr>
            <w:r>
              <w:rPr>
                <w:rFonts w:hint="eastAsia"/>
                <w:szCs w:val="21"/>
              </w:rPr>
              <w:t>（1）布置作业应目的明确、循序渐进、难易适度、数量适中，符合教学大纲要求。</w:t>
            </w:r>
          </w:p>
          <w:p>
            <w:pPr>
              <w:rPr>
                <w:szCs w:val="21"/>
              </w:rPr>
            </w:pPr>
            <w:r>
              <w:rPr>
                <w:rFonts w:hint="eastAsia"/>
                <w:szCs w:val="21"/>
              </w:rPr>
              <w:t>（2）对学生完成的作业及时认真批改，作业的成绩应作为平时成绩的重要方面，以一定权重计入学生课程终评成绩。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left w:val="single" w:color="auto" w:sz="8" w:space="0"/>
            </w:tcBorders>
            <w:noWrap w:val="0"/>
            <w:vAlign w:val="center"/>
          </w:tcPr>
          <w:p>
            <w:pPr>
              <w:jc w:val="center"/>
              <w:rPr>
                <w:szCs w:val="21"/>
              </w:rPr>
            </w:pPr>
            <w:r>
              <w:rPr>
                <w:rFonts w:hint="eastAsia"/>
                <w:szCs w:val="21"/>
              </w:rPr>
              <w:t>4</w:t>
            </w:r>
          </w:p>
        </w:tc>
        <w:tc>
          <w:tcPr>
            <w:tcW w:w="1691" w:type="dxa"/>
            <w:noWrap w:val="0"/>
            <w:tcMar>
              <w:left w:w="28" w:type="dxa"/>
              <w:right w:w="28" w:type="dxa"/>
            </w:tcMar>
            <w:vAlign w:val="center"/>
          </w:tcPr>
          <w:p>
            <w:pPr>
              <w:jc w:val="center"/>
              <w:rPr>
                <w:szCs w:val="21"/>
              </w:rPr>
            </w:pPr>
            <w:r>
              <w:rPr>
                <w:szCs w:val="21"/>
              </w:rPr>
              <w:t>课外答疑</w:t>
            </w:r>
          </w:p>
        </w:tc>
        <w:tc>
          <w:tcPr>
            <w:tcW w:w="6773" w:type="dxa"/>
            <w:tcBorders>
              <w:right w:val="single" w:color="auto" w:sz="8" w:space="0"/>
            </w:tcBorders>
            <w:noWrap w:val="0"/>
            <w:vAlign w:val="center"/>
          </w:tcPr>
          <w:p>
            <w:pPr>
              <w:rPr>
                <w:rFonts w:hint="eastAsia"/>
                <w:szCs w:val="21"/>
              </w:rPr>
            </w:pPr>
            <w:r>
              <w:rPr>
                <w:rFonts w:hint="eastAsia"/>
                <w:szCs w:val="21"/>
              </w:rPr>
              <w:t>（1）认真做好辅导前的准备工作，对学生的学习情况进行了解和分析。</w:t>
            </w:r>
          </w:p>
          <w:p>
            <w:pPr>
              <w:rPr>
                <w:rFonts w:hint="eastAsia"/>
                <w:szCs w:val="21"/>
              </w:rPr>
            </w:pPr>
            <w:r>
              <w:rPr>
                <w:rFonts w:hint="eastAsia"/>
                <w:szCs w:val="21"/>
              </w:rPr>
              <w:t>（2）辅导时因材施教，辅导中注意对学生课外自学及学习方法的指导。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left w:val="single" w:color="auto" w:sz="8" w:space="0"/>
            </w:tcBorders>
            <w:noWrap w:val="0"/>
            <w:vAlign w:val="center"/>
          </w:tcPr>
          <w:p>
            <w:pPr>
              <w:jc w:val="center"/>
              <w:rPr>
                <w:szCs w:val="21"/>
              </w:rPr>
            </w:pPr>
            <w:r>
              <w:rPr>
                <w:rFonts w:hint="eastAsia"/>
                <w:szCs w:val="21"/>
              </w:rPr>
              <w:t>5</w:t>
            </w:r>
          </w:p>
        </w:tc>
        <w:tc>
          <w:tcPr>
            <w:tcW w:w="1691" w:type="dxa"/>
            <w:noWrap w:val="0"/>
            <w:tcMar>
              <w:left w:w="28" w:type="dxa"/>
              <w:right w:w="28" w:type="dxa"/>
            </w:tcMar>
            <w:vAlign w:val="center"/>
          </w:tcPr>
          <w:p>
            <w:pPr>
              <w:jc w:val="center"/>
              <w:rPr>
                <w:szCs w:val="21"/>
              </w:rPr>
            </w:pPr>
            <w:r>
              <w:rPr>
                <w:szCs w:val="21"/>
              </w:rPr>
              <w:t>成绩考核</w:t>
            </w:r>
          </w:p>
        </w:tc>
        <w:tc>
          <w:tcPr>
            <w:tcW w:w="6773" w:type="dxa"/>
            <w:tcBorders>
              <w:right w:val="single" w:color="auto" w:sz="8" w:space="0"/>
            </w:tcBorders>
            <w:noWrap w:val="0"/>
            <w:vAlign w:val="center"/>
          </w:tcPr>
          <w:p>
            <w:pPr>
              <w:rPr>
                <w:rFonts w:hint="eastAsia"/>
                <w:szCs w:val="21"/>
              </w:rPr>
            </w:pPr>
            <w:r>
              <w:rPr>
                <w:rFonts w:hint="eastAsia"/>
                <w:szCs w:val="21"/>
              </w:rPr>
              <w:t>（1）能促进和巩固教学效果，保证和提高教学质量。</w:t>
            </w:r>
          </w:p>
          <w:p>
            <w:pPr>
              <w:rPr>
                <w:rFonts w:hint="eastAsia"/>
                <w:szCs w:val="21"/>
              </w:rPr>
            </w:pPr>
            <w:r>
              <w:rPr>
                <w:rFonts w:hint="eastAsia"/>
                <w:szCs w:val="21"/>
              </w:rPr>
              <w:t>（2）对教学过程进行调控和平衡。</w:t>
            </w:r>
          </w:p>
          <w:p>
            <w:pPr>
              <w:rPr>
                <w:rFonts w:hint="eastAsia"/>
                <w:szCs w:val="21"/>
              </w:rPr>
            </w:pPr>
            <w:r>
              <w:rPr>
                <w:rFonts w:hint="eastAsia"/>
                <w:szCs w:val="21"/>
              </w:rPr>
              <w:t>（3）通过对考试质量的定性或定量分析，改进以后的考核，使之科学化、合理化。</w:t>
            </w:r>
          </w:p>
        </w:tc>
      </w:tr>
    </w:tbl>
    <w:p>
      <w:pPr>
        <w:spacing w:line="360" w:lineRule="auto"/>
        <w:ind w:firstLine="562" w:firstLineChars="200"/>
        <w:rPr>
          <w:b/>
          <w:sz w:val="28"/>
          <w:szCs w:val="28"/>
        </w:rPr>
      </w:pPr>
      <w:r>
        <w:rPr>
          <w:rFonts w:hint="eastAsia"/>
          <w:b/>
          <w:sz w:val="28"/>
          <w:szCs w:val="28"/>
        </w:rPr>
        <w:t>五、课程</w:t>
      </w:r>
      <w:r>
        <w:rPr>
          <w:b/>
          <w:sz w:val="28"/>
          <w:szCs w:val="28"/>
        </w:rPr>
        <w:t>考核</w:t>
      </w:r>
    </w:p>
    <w:p>
      <w:pPr>
        <w:spacing w:line="360" w:lineRule="auto"/>
        <w:ind w:firstLine="420" w:firstLineChars="200"/>
      </w:pPr>
      <w:r>
        <w:rPr>
          <w:rFonts w:hint="eastAsia"/>
        </w:rPr>
        <w:t>（一）</w:t>
      </w:r>
      <w:r>
        <w:t>课程考核包括期末考试、平时作业和</w:t>
      </w:r>
      <w:r>
        <w:rPr>
          <w:rFonts w:hint="eastAsia"/>
        </w:rPr>
        <w:t>考勤及课堂练习等</w:t>
      </w:r>
      <w:r>
        <w:t>，期</w:t>
      </w:r>
      <w:r>
        <w:rPr>
          <w:rFonts w:hint="eastAsia"/>
        </w:rPr>
        <w:t>末</w:t>
      </w:r>
      <w:r>
        <w:t>考试采用</w:t>
      </w:r>
      <w:r>
        <w:rPr>
          <w:rFonts w:hint="eastAsia"/>
        </w:rPr>
        <w:t>开卷方式</w:t>
      </w:r>
      <w:r>
        <w:t>。</w:t>
      </w:r>
    </w:p>
    <w:p>
      <w:pPr>
        <w:spacing w:line="360" w:lineRule="auto"/>
        <w:ind w:firstLine="420" w:firstLineChars="200"/>
        <w:rPr>
          <w:rFonts w:hint="eastAsia"/>
        </w:rPr>
      </w:pPr>
      <w:r>
        <w:rPr>
          <w:rFonts w:hint="eastAsia"/>
        </w:rPr>
        <w:t>（二）</w:t>
      </w:r>
      <w:r>
        <w:t>课程</w:t>
      </w:r>
      <w:r>
        <w:rPr>
          <w:rFonts w:hint="eastAsia"/>
        </w:rPr>
        <w:t>总评</w:t>
      </w:r>
      <w:r>
        <w:t>成绩=平时成绩</w:t>
      </w:r>
      <w:r>
        <w:rPr>
          <w:rFonts w:ascii="Times New Roman" w:hAnsi="Times New Roman" w:cs="Times New Roman"/>
        </w:rPr>
        <w:t>×60% +期末考试成绩×40%</w:t>
      </w:r>
      <w:r>
        <w:t>。具体内容和比例</w:t>
      </w:r>
      <w:r>
        <w:rPr>
          <w:rFonts w:hint="eastAsia"/>
        </w:rPr>
        <w:t>如表所示。</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7"/>
        <w:gridCol w:w="1162"/>
        <w:gridCol w:w="671"/>
        <w:gridCol w:w="5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 w:type="pct"/>
            <w:shd w:val="clear" w:color="auto" w:fill="FFFFFF"/>
            <w:noWrap w:val="0"/>
            <w:tcMar>
              <w:left w:w="57" w:type="dxa"/>
              <w:right w:w="57" w:type="dxa"/>
            </w:tcMar>
            <w:vAlign w:val="center"/>
          </w:tcPr>
          <w:p>
            <w:pPr>
              <w:pStyle w:val="14"/>
              <w:widowControl w:val="0"/>
              <w:jc w:val="center"/>
              <w:rPr>
                <w:rFonts w:ascii="Times New Roman" w:hAnsi="Times New Roman" w:eastAsia="宋体" w:cs="Times New Roman"/>
                <w:kern w:val="2"/>
                <w:sz w:val="21"/>
              </w:rPr>
            </w:pPr>
            <w:r>
              <w:rPr>
                <w:rFonts w:ascii="Times New Roman" w:hAnsi="Times New Roman" w:eastAsia="宋体" w:cs="Times New Roman"/>
                <w:kern w:val="2"/>
                <w:sz w:val="21"/>
              </w:rPr>
              <w:t>成绩组成</w:t>
            </w:r>
          </w:p>
        </w:tc>
        <w:tc>
          <w:tcPr>
            <w:tcW w:w="686" w:type="pct"/>
            <w:shd w:val="clear" w:color="auto" w:fill="FFFFFF"/>
            <w:noWrap w:val="0"/>
            <w:vAlign w:val="center"/>
          </w:tcPr>
          <w:p>
            <w:pPr>
              <w:pStyle w:val="14"/>
              <w:widowControl w:val="0"/>
              <w:jc w:val="center"/>
              <w:rPr>
                <w:rFonts w:ascii="Times New Roman" w:hAnsi="Times New Roman" w:eastAsia="宋体" w:cs="Times New Roman"/>
                <w:kern w:val="2"/>
                <w:sz w:val="21"/>
              </w:rPr>
            </w:pPr>
            <w:r>
              <w:rPr>
                <w:rFonts w:ascii="Times New Roman" w:hAnsi="Times New Roman" w:eastAsia="宋体" w:cs="Times New Roman"/>
                <w:kern w:val="2"/>
                <w:sz w:val="21"/>
              </w:rPr>
              <w:t>考核/评价环节</w:t>
            </w:r>
          </w:p>
        </w:tc>
        <w:tc>
          <w:tcPr>
            <w:tcW w:w="396" w:type="pct"/>
            <w:shd w:val="clear" w:color="auto" w:fill="FFFFFF"/>
            <w:noWrap w:val="0"/>
            <w:vAlign w:val="center"/>
          </w:tcPr>
          <w:p>
            <w:pPr>
              <w:pStyle w:val="14"/>
              <w:widowControl w:val="0"/>
              <w:jc w:val="center"/>
              <w:rPr>
                <w:rFonts w:ascii="Times New Roman" w:hAnsi="Times New Roman" w:eastAsia="宋体" w:cs="Times New Roman"/>
                <w:kern w:val="2"/>
                <w:sz w:val="21"/>
              </w:rPr>
            </w:pPr>
            <w:r>
              <w:rPr>
                <w:rFonts w:hint="eastAsia" w:ascii="Times New Roman" w:hAnsi="Times New Roman" w:eastAsia="宋体" w:cs="Times New Roman"/>
                <w:kern w:val="2"/>
                <w:sz w:val="21"/>
              </w:rPr>
              <w:t>权重</w:t>
            </w:r>
          </w:p>
        </w:tc>
        <w:tc>
          <w:tcPr>
            <w:tcW w:w="3465" w:type="pct"/>
            <w:shd w:val="clear" w:color="auto" w:fill="FFFFFF"/>
            <w:noWrap w:val="0"/>
            <w:vAlign w:val="center"/>
          </w:tcPr>
          <w:p>
            <w:pPr>
              <w:pStyle w:val="14"/>
              <w:widowControl w:val="0"/>
              <w:jc w:val="center"/>
              <w:rPr>
                <w:rFonts w:ascii="Times New Roman" w:hAnsi="Times New Roman" w:eastAsia="宋体" w:cs="Times New Roman"/>
                <w:kern w:val="2"/>
                <w:sz w:val="21"/>
              </w:rPr>
            </w:pPr>
            <w:r>
              <w:rPr>
                <w:rFonts w:ascii="Times New Roman" w:hAnsi="Times New Roman" w:eastAsia="宋体" w:cs="Times New Roman"/>
                <w:kern w:val="2"/>
                <w:sz w:val="21"/>
              </w:rPr>
              <w:t>考核/评价细则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453" w:type="pct"/>
            <w:vMerge w:val="restart"/>
            <w:noWrap w:val="0"/>
            <w:tcMar>
              <w:left w:w="57" w:type="dxa"/>
              <w:right w:w="57" w:type="dxa"/>
            </w:tcMar>
            <w:vAlign w:val="center"/>
          </w:tcPr>
          <w:p>
            <w:pPr>
              <w:pStyle w:val="14"/>
              <w:widowControl w:val="0"/>
              <w:jc w:val="center"/>
              <w:rPr>
                <w:rFonts w:ascii="Times New Roman" w:hAnsi="Times New Roman" w:eastAsia="宋体" w:cs="Times New Roman"/>
                <w:kern w:val="2"/>
                <w:sz w:val="21"/>
              </w:rPr>
            </w:pPr>
            <w:r>
              <w:rPr>
                <w:rFonts w:ascii="Times New Roman" w:hAnsi="Times New Roman" w:eastAsia="宋体" w:cs="Times New Roman"/>
                <w:kern w:val="2"/>
                <w:sz w:val="21"/>
              </w:rPr>
              <w:t>平时成绩</w:t>
            </w:r>
          </w:p>
        </w:tc>
        <w:tc>
          <w:tcPr>
            <w:tcW w:w="686" w:type="pct"/>
            <w:noWrap w:val="0"/>
            <w:vAlign w:val="center"/>
          </w:tcPr>
          <w:p>
            <w:pPr>
              <w:pStyle w:val="14"/>
              <w:widowControl w:val="0"/>
              <w:jc w:val="center"/>
              <w:rPr>
                <w:rFonts w:ascii="Times New Roman" w:hAnsi="Times New Roman" w:eastAsia="宋体" w:cs="Times New Roman"/>
                <w:kern w:val="2"/>
                <w:sz w:val="21"/>
              </w:rPr>
            </w:pPr>
            <w:r>
              <w:rPr>
                <w:rFonts w:ascii="Times New Roman" w:hAnsi="Times New Roman" w:eastAsia="宋体" w:cs="Times New Roman"/>
                <w:kern w:val="2"/>
                <w:sz w:val="21"/>
              </w:rPr>
              <w:t>平时作业</w:t>
            </w:r>
          </w:p>
        </w:tc>
        <w:tc>
          <w:tcPr>
            <w:tcW w:w="396" w:type="pct"/>
            <w:noWrap w:val="0"/>
            <w:vAlign w:val="center"/>
          </w:tcPr>
          <w:p>
            <w:pPr>
              <w:pStyle w:val="14"/>
              <w:widowControl w:val="0"/>
              <w:jc w:val="center"/>
              <w:rPr>
                <w:rFonts w:ascii="Times New Roman" w:hAnsi="Times New Roman" w:eastAsia="宋体" w:cs="Times New Roman"/>
                <w:kern w:val="2"/>
                <w:sz w:val="21"/>
              </w:rPr>
            </w:pPr>
            <w:r>
              <w:rPr>
                <w:rFonts w:ascii="Times New Roman" w:hAnsi="Times New Roman" w:eastAsia="宋体" w:cs="Times New Roman"/>
                <w:kern w:val="2"/>
                <w:sz w:val="21"/>
              </w:rPr>
              <w:t>30%</w:t>
            </w:r>
          </w:p>
        </w:tc>
        <w:tc>
          <w:tcPr>
            <w:tcW w:w="3465" w:type="pct"/>
            <w:noWrap w:val="0"/>
            <w:vAlign w:val="center"/>
          </w:tcPr>
          <w:p>
            <w:pPr>
              <w:pStyle w:val="14"/>
              <w:widowControl w:val="0"/>
              <w:jc w:val="both"/>
              <w:rPr>
                <w:rFonts w:ascii="Times New Roman" w:hAnsi="Times New Roman" w:eastAsia="宋体" w:cs="Times New Roman"/>
                <w:kern w:val="2"/>
                <w:sz w:val="21"/>
              </w:rPr>
            </w:pPr>
            <w:r>
              <w:rPr>
                <w:rFonts w:ascii="Times New Roman" w:hAnsi="Times New Roman" w:eastAsia="宋体" w:cs="Times New Roman"/>
                <w:kern w:val="2"/>
                <w:sz w:val="21"/>
              </w:rPr>
              <w:t>课后完成</w:t>
            </w:r>
            <w:r>
              <w:rPr>
                <w:rFonts w:hint="eastAsia" w:ascii="Times New Roman" w:hAnsi="Times New Roman" w:eastAsia="宋体" w:cs="Times New Roman"/>
                <w:kern w:val="2"/>
                <w:sz w:val="21"/>
              </w:rPr>
              <w:t>主题讨论或</w:t>
            </w:r>
            <w:r>
              <w:rPr>
                <w:rFonts w:ascii="Times New Roman" w:hAnsi="Times New Roman" w:eastAsia="宋体" w:cs="Times New Roman"/>
                <w:kern w:val="2"/>
                <w:sz w:val="21"/>
              </w:rPr>
              <w:t>2-5个习题，主要考核学生对每节课知识点的</w:t>
            </w:r>
            <w:r>
              <w:rPr>
                <w:rFonts w:hint="eastAsia" w:ascii="Times New Roman" w:hAnsi="Times New Roman" w:eastAsia="宋体" w:cs="Times New Roman"/>
                <w:kern w:val="2"/>
                <w:sz w:val="21"/>
              </w:rPr>
              <w:t>预习、</w:t>
            </w:r>
            <w:r>
              <w:rPr>
                <w:rFonts w:ascii="Times New Roman" w:hAnsi="Times New Roman" w:eastAsia="宋体" w:cs="Times New Roman"/>
                <w:kern w:val="2"/>
                <w:sz w:val="21"/>
              </w:rPr>
              <w:t>复习、理解和掌握程度，计算全部作业的平均成绩再按30%计入总成绩。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453" w:type="pct"/>
            <w:vMerge w:val="continue"/>
            <w:noWrap w:val="0"/>
            <w:tcMar>
              <w:left w:w="57" w:type="dxa"/>
              <w:right w:w="57" w:type="dxa"/>
            </w:tcMar>
            <w:vAlign w:val="center"/>
          </w:tcPr>
          <w:p>
            <w:pPr>
              <w:pStyle w:val="14"/>
              <w:widowControl w:val="0"/>
              <w:jc w:val="center"/>
              <w:rPr>
                <w:rFonts w:ascii="Times New Roman" w:hAnsi="Times New Roman" w:eastAsia="宋体" w:cs="Times New Roman"/>
                <w:kern w:val="2"/>
                <w:sz w:val="21"/>
              </w:rPr>
            </w:pPr>
          </w:p>
        </w:tc>
        <w:tc>
          <w:tcPr>
            <w:tcW w:w="686" w:type="pct"/>
            <w:noWrap w:val="0"/>
            <w:vAlign w:val="center"/>
          </w:tcPr>
          <w:p>
            <w:pPr>
              <w:pStyle w:val="14"/>
              <w:widowControl w:val="0"/>
              <w:jc w:val="center"/>
              <w:rPr>
                <w:rFonts w:hint="eastAsia" w:ascii="Times New Roman" w:hAnsi="Times New Roman" w:eastAsia="宋体" w:cs="Times New Roman"/>
                <w:kern w:val="2"/>
                <w:sz w:val="21"/>
              </w:rPr>
            </w:pPr>
            <w:r>
              <w:rPr>
                <w:rFonts w:hint="eastAsia" w:ascii="Times New Roman" w:hAnsi="Times New Roman" w:eastAsia="宋体" w:cs="Times New Roman"/>
                <w:kern w:val="2"/>
                <w:sz w:val="21"/>
              </w:rPr>
              <w:t>考勤及</w:t>
            </w:r>
          </w:p>
          <w:p>
            <w:pPr>
              <w:pStyle w:val="14"/>
              <w:widowControl w:val="0"/>
              <w:jc w:val="center"/>
              <w:rPr>
                <w:rFonts w:hint="eastAsia" w:ascii="Times New Roman" w:hAnsi="Times New Roman" w:eastAsia="宋体" w:cs="Times New Roman"/>
                <w:kern w:val="2"/>
                <w:sz w:val="21"/>
              </w:rPr>
            </w:pPr>
            <w:r>
              <w:rPr>
                <w:rFonts w:ascii="Times New Roman" w:hAnsi="Times New Roman" w:eastAsia="宋体" w:cs="Times New Roman"/>
                <w:kern w:val="2"/>
                <w:sz w:val="21"/>
              </w:rPr>
              <w:t>课堂</w:t>
            </w:r>
            <w:r>
              <w:rPr>
                <w:rFonts w:hint="eastAsia" w:ascii="Times New Roman" w:hAnsi="Times New Roman" w:eastAsia="宋体" w:cs="Times New Roman"/>
                <w:kern w:val="2"/>
                <w:sz w:val="21"/>
              </w:rPr>
              <w:t>表现</w:t>
            </w:r>
          </w:p>
        </w:tc>
        <w:tc>
          <w:tcPr>
            <w:tcW w:w="396" w:type="pct"/>
            <w:noWrap w:val="0"/>
            <w:vAlign w:val="center"/>
          </w:tcPr>
          <w:p>
            <w:pPr>
              <w:pStyle w:val="14"/>
              <w:widowControl w:val="0"/>
              <w:jc w:val="center"/>
              <w:rPr>
                <w:rFonts w:ascii="Times New Roman" w:hAnsi="Times New Roman" w:eastAsia="宋体" w:cs="Times New Roman"/>
                <w:kern w:val="2"/>
                <w:sz w:val="21"/>
              </w:rPr>
            </w:pPr>
            <w:r>
              <w:rPr>
                <w:rFonts w:ascii="Times New Roman" w:hAnsi="Times New Roman" w:eastAsia="宋体" w:cs="Times New Roman"/>
                <w:kern w:val="2"/>
                <w:sz w:val="21"/>
              </w:rPr>
              <w:t>30%</w:t>
            </w:r>
          </w:p>
        </w:tc>
        <w:tc>
          <w:tcPr>
            <w:tcW w:w="3465" w:type="pct"/>
            <w:noWrap w:val="0"/>
            <w:vAlign w:val="center"/>
          </w:tcPr>
          <w:p>
            <w:pPr>
              <w:pStyle w:val="14"/>
              <w:widowControl w:val="0"/>
              <w:jc w:val="both"/>
              <w:rPr>
                <w:rFonts w:ascii="Times New Roman" w:hAnsi="Times New Roman" w:eastAsia="宋体" w:cs="Times New Roman"/>
                <w:kern w:val="2"/>
                <w:sz w:val="21"/>
                <w:szCs w:val="21"/>
              </w:rPr>
            </w:pPr>
            <w:r>
              <w:rPr>
                <w:rFonts w:ascii="Times New Roman" w:hAnsi="Times New Roman" w:eastAsia="宋体" w:cs="Times New Roman"/>
                <w:color w:val="000000"/>
                <w:kern w:val="2"/>
                <w:sz w:val="21"/>
                <w:szCs w:val="21"/>
              </w:rPr>
              <w:t>以随机的形式，在每章内容进行中或结束后，随堂测试1-3题，主要考核学生课堂的听课效果和课后及时复习消化本章知识的能力</w:t>
            </w:r>
            <w:r>
              <w:rPr>
                <w:rFonts w:ascii="Times New Roman" w:hAnsi="Times New Roman" w:eastAsia="宋体" w:cs="Times New Roman"/>
                <w:kern w:val="2"/>
                <w:sz w:val="21"/>
                <w:szCs w:val="21"/>
              </w:rPr>
              <w:t>，结合平时</w:t>
            </w:r>
            <w:r>
              <w:rPr>
                <w:rFonts w:hint="eastAsia" w:ascii="Times New Roman" w:hAnsi="Times New Roman" w:eastAsia="宋体" w:cs="Times New Roman"/>
                <w:kern w:val="2"/>
                <w:sz w:val="21"/>
                <w:szCs w:val="21"/>
              </w:rPr>
              <w:t>考勤及课堂表现</w:t>
            </w:r>
            <w:r>
              <w:rPr>
                <w:rFonts w:ascii="Times New Roman" w:hAnsi="Times New Roman" w:eastAsia="宋体" w:cs="Times New Roman"/>
                <w:kern w:val="2"/>
                <w:sz w:val="21"/>
                <w:szCs w:val="21"/>
              </w:rPr>
              <w:t>，最后按30%计入课程总成绩。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5" w:hRule="atLeast"/>
          <w:jc w:val="center"/>
        </w:trPr>
        <w:tc>
          <w:tcPr>
            <w:tcW w:w="453" w:type="pct"/>
            <w:noWrap w:val="0"/>
            <w:tcMar>
              <w:left w:w="57" w:type="dxa"/>
              <w:right w:w="57" w:type="dxa"/>
            </w:tcMar>
            <w:vAlign w:val="center"/>
          </w:tcPr>
          <w:p>
            <w:pPr>
              <w:pStyle w:val="14"/>
              <w:widowControl w:val="0"/>
              <w:jc w:val="center"/>
              <w:rPr>
                <w:rFonts w:ascii="Times New Roman" w:hAnsi="Times New Roman" w:eastAsia="宋体" w:cs="Times New Roman"/>
                <w:kern w:val="2"/>
                <w:sz w:val="21"/>
              </w:rPr>
            </w:pPr>
            <w:r>
              <w:rPr>
                <w:rFonts w:ascii="Times New Roman" w:hAnsi="Times New Roman" w:eastAsia="宋体" w:cs="Times New Roman"/>
                <w:kern w:val="2"/>
                <w:sz w:val="21"/>
              </w:rPr>
              <w:t>期末考试</w:t>
            </w:r>
          </w:p>
          <w:p>
            <w:pPr>
              <w:pStyle w:val="14"/>
              <w:widowControl w:val="0"/>
              <w:jc w:val="center"/>
              <w:rPr>
                <w:rFonts w:ascii="Times New Roman" w:hAnsi="Times New Roman" w:eastAsia="宋体" w:cs="Times New Roman"/>
                <w:kern w:val="2"/>
                <w:sz w:val="21"/>
              </w:rPr>
            </w:pPr>
          </w:p>
        </w:tc>
        <w:tc>
          <w:tcPr>
            <w:tcW w:w="686" w:type="pct"/>
            <w:noWrap w:val="0"/>
            <w:vAlign w:val="center"/>
          </w:tcPr>
          <w:p>
            <w:pPr>
              <w:pStyle w:val="14"/>
              <w:widowControl w:val="0"/>
              <w:jc w:val="center"/>
              <w:rPr>
                <w:rFonts w:hint="eastAsia" w:ascii="Times New Roman" w:hAnsi="Times New Roman" w:eastAsia="宋体" w:cs="Times New Roman"/>
                <w:kern w:val="2"/>
                <w:sz w:val="21"/>
              </w:rPr>
            </w:pPr>
            <w:r>
              <w:rPr>
                <w:rFonts w:ascii="Times New Roman" w:hAnsi="Times New Roman" w:eastAsia="宋体" w:cs="Times New Roman"/>
                <w:kern w:val="2"/>
                <w:sz w:val="21"/>
              </w:rPr>
              <w:t>期末考试</w:t>
            </w:r>
          </w:p>
          <w:p>
            <w:pPr>
              <w:pStyle w:val="14"/>
              <w:widowControl w:val="0"/>
              <w:jc w:val="center"/>
              <w:rPr>
                <w:rFonts w:ascii="Times New Roman" w:hAnsi="Times New Roman" w:eastAsia="宋体" w:cs="Times New Roman"/>
                <w:kern w:val="2"/>
                <w:sz w:val="21"/>
              </w:rPr>
            </w:pPr>
            <w:r>
              <w:rPr>
                <w:rFonts w:hint="eastAsia" w:ascii="Times New Roman" w:hAnsi="Times New Roman" w:eastAsia="宋体" w:cs="Times New Roman"/>
                <w:kern w:val="2"/>
                <w:sz w:val="21"/>
              </w:rPr>
              <w:t>卷面</w:t>
            </w:r>
            <w:r>
              <w:rPr>
                <w:rFonts w:ascii="Times New Roman" w:hAnsi="Times New Roman" w:eastAsia="宋体" w:cs="Times New Roman"/>
                <w:kern w:val="2"/>
                <w:sz w:val="21"/>
              </w:rPr>
              <w:t>成绩</w:t>
            </w:r>
          </w:p>
        </w:tc>
        <w:tc>
          <w:tcPr>
            <w:tcW w:w="396" w:type="pct"/>
            <w:noWrap w:val="0"/>
            <w:vAlign w:val="center"/>
          </w:tcPr>
          <w:p>
            <w:pPr>
              <w:pStyle w:val="14"/>
              <w:widowControl w:val="0"/>
              <w:jc w:val="center"/>
              <w:rPr>
                <w:rFonts w:ascii="Times New Roman" w:hAnsi="Times New Roman" w:eastAsia="宋体" w:cs="Times New Roman"/>
                <w:kern w:val="2"/>
                <w:sz w:val="21"/>
              </w:rPr>
            </w:pPr>
            <w:r>
              <w:rPr>
                <w:rFonts w:ascii="Times New Roman" w:hAnsi="Times New Roman" w:eastAsia="宋体" w:cs="Times New Roman"/>
                <w:kern w:val="2"/>
                <w:sz w:val="21"/>
              </w:rPr>
              <w:t>40%</w:t>
            </w:r>
          </w:p>
        </w:tc>
        <w:tc>
          <w:tcPr>
            <w:tcW w:w="3465" w:type="pct"/>
            <w:noWrap w:val="0"/>
            <w:vAlign w:val="center"/>
          </w:tcPr>
          <w:p>
            <w:pPr>
              <w:pStyle w:val="14"/>
              <w:widowControl w:val="0"/>
              <w:jc w:val="both"/>
              <w:rPr>
                <w:rFonts w:ascii="Times New Roman" w:hAnsi="Times New Roman" w:eastAsia="宋体" w:cs="Times New Roman"/>
                <w:color w:val="000000"/>
                <w:kern w:val="2"/>
                <w:sz w:val="21"/>
                <w:szCs w:val="21"/>
              </w:rPr>
            </w:pPr>
            <w:r>
              <w:rPr>
                <w:rFonts w:ascii="Times New Roman" w:hAnsi="Times New Roman" w:eastAsia="宋体" w:cs="Times New Roman"/>
                <w:color w:val="000000"/>
                <w:kern w:val="2"/>
                <w:sz w:val="21"/>
                <w:szCs w:val="21"/>
              </w:rPr>
              <w:t>试卷题型包括填空题</w:t>
            </w:r>
            <w:r>
              <w:rPr>
                <w:rFonts w:hint="eastAsia" w:ascii="Times New Roman" w:hAnsi="Times New Roman" w:eastAsia="宋体" w:cs="Times New Roman"/>
                <w:color w:val="000000"/>
                <w:kern w:val="2"/>
                <w:sz w:val="21"/>
                <w:szCs w:val="21"/>
              </w:rPr>
              <w:t>和</w:t>
            </w:r>
            <w:r>
              <w:rPr>
                <w:rFonts w:ascii="Times New Roman" w:hAnsi="Times New Roman" w:eastAsia="宋体" w:cs="Times New Roman"/>
                <w:color w:val="000000"/>
                <w:kern w:val="2"/>
                <w:sz w:val="21"/>
                <w:szCs w:val="21"/>
              </w:rPr>
              <w:t>简答题，以卷面成绩的40%计入课程总成绩。其中考</w:t>
            </w:r>
            <w:r>
              <w:rPr>
                <w:rFonts w:hint="eastAsia" w:ascii="Times New Roman" w:hAnsi="Times New Roman" w:eastAsia="宋体" w:cs="Times New Roman"/>
                <w:color w:val="000000"/>
                <w:kern w:val="2"/>
                <w:sz w:val="21"/>
                <w:szCs w:val="21"/>
              </w:rPr>
              <w:t>分析样品制备和药物的鉴别、检查及含量测定相</w:t>
            </w:r>
            <w:r>
              <w:rPr>
                <w:rFonts w:ascii="Times New Roman" w:hAnsi="Times New Roman" w:eastAsia="宋体" w:cs="Times New Roman"/>
                <w:color w:val="000000"/>
                <w:kern w:val="2"/>
                <w:sz w:val="21"/>
                <w:szCs w:val="21"/>
              </w:rPr>
              <w:t>关知识占40%，；考核</w:t>
            </w:r>
            <w:r>
              <w:rPr>
                <w:rFonts w:hint="eastAsia" w:ascii="Times New Roman" w:hAnsi="Times New Roman" w:eastAsia="宋体" w:cs="Times New Roman"/>
                <w:color w:val="000000"/>
                <w:kern w:val="2"/>
                <w:sz w:val="21"/>
                <w:szCs w:val="21"/>
              </w:rPr>
              <w:t>芳酸类、胺类、杂环类和维生素类药物的分析相</w:t>
            </w:r>
            <w:r>
              <w:rPr>
                <w:rFonts w:ascii="Times New Roman" w:hAnsi="Times New Roman" w:eastAsia="宋体" w:cs="Times New Roman"/>
                <w:color w:val="000000"/>
                <w:kern w:val="2"/>
                <w:sz w:val="21"/>
                <w:szCs w:val="21"/>
              </w:rPr>
              <w:t>关内容占40%；考</w:t>
            </w:r>
            <w:r>
              <w:rPr>
                <w:rFonts w:hint="eastAsia" w:ascii="Times New Roman" w:hAnsi="Times New Roman" w:eastAsia="宋体" w:cs="Times New Roman"/>
                <w:color w:val="000000"/>
                <w:kern w:val="2"/>
                <w:sz w:val="21"/>
                <w:szCs w:val="21"/>
              </w:rPr>
              <w:t>核中药及其制剂和其他相</w:t>
            </w:r>
            <w:r>
              <w:rPr>
                <w:rFonts w:ascii="Times New Roman" w:hAnsi="Times New Roman" w:eastAsia="宋体" w:cs="Times New Roman"/>
                <w:color w:val="000000"/>
                <w:kern w:val="2"/>
                <w:sz w:val="21"/>
                <w:szCs w:val="21"/>
              </w:rPr>
              <w:t>关内容占20%。</w:t>
            </w:r>
          </w:p>
        </w:tc>
      </w:tr>
    </w:tbl>
    <w:p>
      <w:pPr>
        <w:spacing w:line="360" w:lineRule="auto"/>
        <w:ind w:firstLine="420" w:firstLineChars="200"/>
      </w:pPr>
    </w:p>
    <w:p>
      <w:pPr>
        <w:spacing w:line="360" w:lineRule="auto"/>
        <w:ind w:firstLine="562" w:firstLineChars="200"/>
        <w:rPr>
          <w:rFonts w:hint="eastAsia"/>
          <w:b/>
          <w:sz w:val="28"/>
          <w:szCs w:val="28"/>
        </w:rPr>
      </w:pPr>
      <w:r>
        <w:rPr>
          <w:rFonts w:hint="eastAsia"/>
          <w:b/>
          <w:sz w:val="28"/>
          <w:szCs w:val="28"/>
        </w:rPr>
        <w:t>六</w:t>
      </w:r>
      <w:r>
        <w:rPr>
          <w:b/>
          <w:sz w:val="28"/>
          <w:szCs w:val="28"/>
        </w:rPr>
        <w:t>、</w:t>
      </w:r>
      <w:r>
        <w:rPr>
          <w:rFonts w:hint="eastAsia"/>
          <w:b/>
          <w:sz w:val="28"/>
          <w:szCs w:val="28"/>
        </w:rPr>
        <w:t>有关说明</w:t>
      </w:r>
    </w:p>
    <w:p>
      <w:pPr>
        <w:bidi w:val="0"/>
        <w:rPr>
          <w:rFonts w:hint="eastAsia"/>
          <w:b/>
          <w:bCs/>
          <w:sz w:val="24"/>
          <w:szCs w:val="24"/>
        </w:rPr>
      </w:pPr>
      <w:bookmarkStart w:id="269" w:name="_Toc19721"/>
      <w:r>
        <w:rPr>
          <w:rFonts w:hint="eastAsia"/>
          <w:b/>
          <w:bCs/>
          <w:sz w:val="24"/>
          <w:szCs w:val="24"/>
        </w:rPr>
        <w:t>（一）持续改进</w:t>
      </w:r>
      <w:bookmarkEnd w:id="269"/>
    </w:p>
    <w:p>
      <w:pPr>
        <w:spacing w:line="360" w:lineRule="auto"/>
        <w:ind w:firstLine="420" w:firstLineChars="200"/>
        <w:rPr>
          <w:szCs w:val="22"/>
        </w:rPr>
      </w:pPr>
      <w:r>
        <w:rPr>
          <w:szCs w:val="22"/>
        </w:rPr>
        <w:t>本课程根据学生作业、课堂讨论、平时考核情况和学生、教学督导等</w:t>
      </w:r>
      <w:r>
        <w:rPr>
          <w:rFonts w:hint="eastAsia"/>
          <w:szCs w:val="22"/>
        </w:rPr>
        <w:t>的</w:t>
      </w:r>
      <w:r>
        <w:rPr>
          <w:szCs w:val="22"/>
        </w:rPr>
        <w:t>反馈，及时对教学中</w:t>
      </w:r>
      <w:r>
        <w:rPr>
          <w:rFonts w:hint="eastAsia"/>
          <w:szCs w:val="22"/>
        </w:rPr>
        <w:t>的</w:t>
      </w:r>
      <w:r>
        <w:rPr>
          <w:szCs w:val="22"/>
        </w:rPr>
        <w:t>不足之处进行改进，并在下一轮课程教学中</w:t>
      </w:r>
      <w:r>
        <w:rPr>
          <w:rFonts w:hint="eastAsia"/>
          <w:szCs w:val="22"/>
        </w:rPr>
        <w:t>整改完善</w:t>
      </w:r>
      <w:r>
        <w:rPr>
          <w:szCs w:val="22"/>
        </w:rPr>
        <w:t>，确保相应毕业要求指标点达成。</w:t>
      </w:r>
    </w:p>
    <w:p>
      <w:pPr>
        <w:bidi w:val="0"/>
        <w:rPr>
          <w:rFonts w:hint="eastAsia"/>
          <w:b/>
          <w:bCs/>
          <w:sz w:val="24"/>
          <w:szCs w:val="24"/>
        </w:rPr>
      </w:pPr>
      <w:bookmarkStart w:id="270" w:name="_Toc21422"/>
      <w:r>
        <w:rPr>
          <w:rFonts w:hint="eastAsia"/>
          <w:b/>
          <w:bCs/>
          <w:sz w:val="24"/>
          <w:szCs w:val="24"/>
        </w:rPr>
        <w:t>（二）</w:t>
      </w:r>
      <w:r>
        <w:rPr>
          <w:b/>
          <w:bCs/>
          <w:sz w:val="24"/>
          <w:szCs w:val="24"/>
        </w:rPr>
        <w:t>参考书目及学习资料</w:t>
      </w:r>
      <w:bookmarkEnd w:id="270"/>
    </w:p>
    <w:p>
      <w:pPr>
        <w:spacing w:line="360" w:lineRule="auto"/>
        <w:ind w:left="420"/>
      </w:pPr>
      <w:r>
        <w:t xml:space="preserve">1. </w:t>
      </w:r>
      <w:r>
        <w:rPr>
          <w:rFonts w:hint="eastAsia"/>
          <w:color w:val="000000"/>
          <w:szCs w:val="21"/>
        </w:rPr>
        <w:t xml:space="preserve">刘文英    药物分析        </w:t>
      </w:r>
      <w:r>
        <w:rPr>
          <w:color w:val="000000"/>
          <w:szCs w:val="21"/>
        </w:rPr>
        <w:t xml:space="preserve">      </w:t>
      </w:r>
      <w:r>
        <w:rPr>
          <w:rFonts w:hint="eastAsia"/>
          <w:color w:val="000000"/>
          <w:szCs w:val="21"/>
        </w:rPr>
        <w:t>人民卫生出版社</w:t>
      </w:r>
    </w:p>
    <w:p>
      <w:pPr>
        <w:spacing w:line="360" w:lineRule="auto"/>
        <w:ind w:left="420"/>
      </w:pPr>
      <w:r>
        <w:t xml:space="preserve">2. </w:t>
      </w:r>
      <w:r>
        <w:rPr>
          <w:rFonts w:hint="eastAsia"/>
          <w:color w:val="000000"/>
          <w:szCs w:val="21"/>
        </w:rPr>
        <w:t xml:space="preserve">安登魁    药物分析       </w:t>
      </w:r>
      <w:r>
        <w:rPr>
          <w:color w:val="000000"/>
          <w:szCs w:val="21"/>
        </w:rPr>
        <w:t xml:space="preserve">       </w:t>
      </w:r>
      <w:r>
        <w:rPr>
          <w:rFonts w:hint="eastAsia"/>
          <w:color w:val="000000"/>
          <w:szCs w:val="21"/>
        </w:rPr>
        <w:t>人民卫生出版社</w:t>
      </w:r>
    </w:p>
    <w:p>
      <w:pPr>
        <w:spacing w:line="360" w:lineRule="auto"/>
        <w:ind w:left="420"/>
        <w:rPr>
          <w:color w:val="000000"/>
          <w:szCs w:val="21"/>
        </w:rPr>
      </w:pPr>
      <w:r>
        <w:t xml:space="preserve">3. </w:t>
      </w:r>
      <w:r>
        <w:rPr>
          <w:rFonts w:hint="eastAsia"/>
          <w:color w:val="000000"/>
          <w:szCs w:val="21"/>
        </w:rPr>
        <w:t xml:space="preserve">李好枝    体内药物分析    </w:t>
      </w:r>
      <w:r>
        <w:rPr>
          <w:color w:val="000000"/>
          <w:szCs w:val="21"/>
        </w:rPr>
        <w:t xml:space="preserve">      </w:t>
      </w:r>
      <w:r>
        <w:rPr>
          <w:rFonts w:hint="eastAsia"/>
          <w:color w:val="000000"/>
          <w:szCs w:val="21"/>
        </w:rPr>
        <w:t>中国医药科技出版社</w:t>
      </w:r>
    </w:p>
    <w:p>
      <w:pPr>
        <w:spacing w:line="360" w:lineRule="auto"/>
        <w:ind w:left="420"/>
        <w:rPr>
          <w:rFonts w:hint="eastAsia"/>
        </w:rPr>
      </w:pPr>
      <w:r>
        <w:rPr>
          <w:rFonts w:hint="eastAsia"/>
          <w:color w:val="000000"/>
          <w:szCs w:val="21"/>
        </w:rPr>
        <w:t>4</w:t>
      </w:r>
      <w:r>
        <w:rPr>
          <w:color w:val="000000"/>
          <w:szCs w:val="21"/>
        </w:rPr>
        <w:t xml:space="preserve">. </w:t>
      </w:r>
      <w:r>
        <w:rPr>
          <w:rFonts w:hint="eastAsia"/>
          <w:color w:val="000000"/>
          <w:szCs w:val="21"/>
        </w:rPr>
        <w:t>中国药典</w:t>
      </w:r>
    </w:p>
    <w:p>
      <w:pPr>
        <w:spacing w:line="360" w:lineRule="auto"/>
        <w:ind w:left="420"/>
      </w:pPr>
    </w:p>
    <w:p>
      <w:pPr>
        <w:spacing w:line="360" w:lineRule="auto"/>
        <w:ind w:left="420"/>
        <w:rPr>
          <w:rFonts w:hint="eastAsia"/>
        </w:rPr>
      </w:pPr>
    </w:p>
    <w:p>
      <w:pPr>
        <w:autoSpaceDE w:val="0"/>
        <w:autoSpaceDN w:val="0"/>
        <w:adjustRightInd w:val="0"/>
        <w:spacing w:line="360" w:lineRule="auto"/>
        <w:ind w:firstLine="420" w:firstLineChars="200"/>
        <w:rPr>
          <w:szCs w:val="21"/>
        </w:rPr>
      </w:pPr>
      <w:r>
        <w:rPr>
          <w:rFonts w:hint="eastAsia"/>
        </w:rPr>
        <w:t xml:space="preserve">                                                         </w:t>
      </w:r>
      <w:r>
        <w:rPr>
          <w:rFonts w:hint="eastAsia"/>
          <w:lang w:val="en-US" w:eastAsia="zh-CN"/>
        </w:rPr>
        <w:t xml:space="preserve"> </w:t>
      </w:r>
      <w:r>
        <w:rPr>
          <w:szCs w:val="21"/>
        </w:rPr>
        <w:t>执笔人： 丁琳琳</w:t>
      </w:r>
    </w:p>
    <w:p>
      <w:pPr>
        <w:autoSpaceDE w:val="0"/>
        <w:autoSpaceDN w:val="0"/>
        <w:adjustRightInd w:val="0"/>
        <w:spacing w:line="360" w:lineRule="auto"/>
        <w:ind w:firstLine="4935" w:firstLineChars="2350"/>
        <w:jc w:val="right"/>
        <w:rPr>
          <w:rFonts w:ascii="Times New Roman" w:hAnsi="Times New Roman"/>
          <w:szCs w:val="21"/>
        </w:rPr>
      </w:pPr>
      <w:r>
        <w:rPr>
          <w:rFonts w:ascii="Times New Roman" w:hAnsi="Times New Roman"/>
          <w:szCs w:val="21"/>
        </w:rPr>
        <w:t>审定人：</w:t>
      </w:r>
      <w:r>
        <w:rPr>
          <w:rFonts w:hint="eastAsia" w:ascii="Times New Roman" w:hAnsi="Times New Roman"/>
          <w:szCs w:val="21"/>
        </w:rPr>
        <w:t>魏雪娇</w:t>
      </w:r>
    </w:p>
    <w:p>
      <w:pPr>
        <w:autoSpaceDE w:val="0"/>
        <w:autoSpaceDN w:val="0"/>
        <w:adjustRightInd w:val="0"/>
        <w:spacing w:line="360" w:lineRule="auto"/>
        <w:ind w:firstLine="4935" w:firstLineChars="2350"/>
        <w:jc w:val="right"/>
        <w:rPr>
          <w:rFonts w:ascii="Times New Roman" w:hAnsi="Times New Roman"/>
          <w:szCs w:val="21"/>
        </w:rPr>
      </w:pPr>
      <w:r>
        <w:rPr>
          <w:rFonts w:hint="eastAsia" w:ascii="Times New Roman" w:hAnsi="Times New Roman"/>
          <w:szCs w:val="21"/>
        </w:rPr>
        <w:t>审批</w:t>
      </w:r>
      <w:r>
        <w:rPr>
          <w:rFonts w:ascii="Times New Roman" w:hAnsi="Times New Roman"/>
          <w:szCs w:val="21"/>
        </w:rPr>
        <w:t>人：吴泽颖</w:t>
      </w:r>
    </w:p>
    <w:p>
      <w:pPr>
        <w:autoSpaceDE w:val="0"/>
        <w:autoSpaceDN w:val="0"/>
        <w:adjustRightInd w:val="0"/>
        <w:spacing w:line="360" w:lineRule="auto"/>
        <w:ind w:firstLine="4935" w:firstLineChars="2350"/>
        <w:jc w:val="right"/>
        <w:rPr>
          <w:rFonts w:ascii="Times New Roman" w:hAnsi="Times New Roman"/>
          <w:szCs w:val="21"/>
        </w:rPr>
      </w:pPr>
      <w:r>
        <w:rPr>
          <w:rFonts w:hint="eastAsia" w:ascii="Times New Roman" w:hAnsi="Times New Roman"/>
          <w:szCs w:val="21"/>
        </w:rPr>
        <w:t>2021年11月1日</w:t>
      </w:r>
    </w:p>
    <w:p>
      <w:pPr>
        <w:autoSpaceDE w:val="0"/>
        <w:autoSpaceDN w:val="0"/>
        <w:adjustRightInd w:val="0"/>
        <w:spacing w:line="360" w:lineRule="auto"/>
        <w:ind w:firstLine="6195" w:firstLineChars="2950"/>
        <w:rPr>
          <w:rFonts w:hint="eastAsia"/>
          <w:szCs w:val="21"/>
        </w:rPr>
      </w:pPr>
    </w:p>
    <w:p>
      <w:pPr>
        <w:autoSpaceDE w:val="0"/>
        <w:autoSpaceDN w:val="0"/>
        <w:adjustRightInd w:val="0"/>
        <w:spacing w:line="360" w:lineRule="auto"/>
        <w:ind w:firstLine="6240" w:firstLineChars="2600"/>
        <w:jc w:val="left"/>
        <w:rPr>
          <w:kern w:val="0"/>
          <w:sz w:val="24"/>
          <w:szCs w:val="21"/>
        </w:rPr>
      </w:pPr>
    </w:p>
    <w:p>
      <w:pPr>
        <w:autoSpaceDE w:val="0"/>
        <w:autoSpaceDN w:val="0"/>
        <w:adjustRightInd w:val="0"/>
        <w:spacing w:line="360" w:lineRule="auto"/>
        <w:ind w:firstLine="6240" w:firstLineChars="2600"/>
        <w:jc w:val="left"/>
        <w:rPr>
          <w:kern w:val="0"/>
          <w:sz w:val="24"/>
          <w:szCs w:val="21"/>
        </w:rPr>
      </w:pPr>
    </w:p>
    <w:p>
      <w:pPr>
        <w:autoSpaceDE w:val="0"/>
        <w:autoSpaceDN w:val="0"/>
        <w:adjustRightInd w:val="0"/>
        <w:spacing w:line="360" w:lineRule="auto"/>
        <w:ind w:firstLine="6240" w:firstLineChars="2600"/>
        <w:jc w:val="left"/>
        <w:rPr>
          <w:kern w:val="0"/>
          <w:sz w:val="24"/>
          <w:szCs w:val="21"/>
        </w:rPr>
      </w:pPr>
    </w:p>
    <w:p>
      <w:pPr>
        <w:pStyle w:val="3"/>
        <w:bidi w:val="0"/>
        <w:jc w:val="center"/>
      </w:pPr>
      <w:bookmarkStart w:id="271" w:name="_Toc12645"/>
      <w:bookmarkStart w:id="272" w:name="_Toc4934"/>
      <w:r>
        <w:rPr>
          <w:rFonts w:hint="eastAsia"/>
        </w:rPr>
        <w:t>化工分离工程课程</w:t>
      </w:r>
      <w:r>
        <w:t>教学大纲</w:t>
      </w:r>
      <w:bookmarkEnd w:id="271"/>
      <w:bookmarkEnd w:id="272"/>
    </w:p>
    <w:p>
      <w:pPr>
        <w:spacing w:line="312" w:lineRule="auto"/>
        <w:jc w:val="center"/>
        <w:rPr>
          <w:b/>
          <w:bCs/>
          <w:sz w:val="30"/>
        </w:rPr>
      </w:pPr>
      <w:r>
        <w:rPr>
          <w:b/>
          <w:bCs/>
          <w:sz w:val="30"/>
        </w:rPr>
        <w:t xml:space="preserve">（Chemical </w:t>
      </w:r>
      <w:r>
        <w:rPr>
          <w:rFonts w:hint="eastAsia"/>
          <w:b/>
          <w:bCs/>
          <w:sz w:val="30"/>
        </w:rPr>
        <w:t>Separation Engineering</w:t>
      </w:r>
      <w:r>
        <w:rPr>
          <w:b/>
          <w:bCs/>
          <w:sz w:val="30"/>
        </w:rPr>
        <w:t>）</w:t>
      </w:r>
    </w:p>
    <w:p>
      <w:pPr>
        <w:bidi w:val="0"/>
        <w:ind w:firstLine="482" w:firstLineChars="200"/>
        <w:rPr>
          <w:rFonts w:hint="eastAsia"/>
          <w:b/>
          <w:bCs/>
          <w:sz w:val="24"/>
          <w:szCs w:val="24"/>
          <w:lang w:val="en-US" w:eastAsia="zh-CN"/>
        </w:rPr>
      </w:pPr>
      <w:bookmarkStart w:id="273" w:name="_Toc17816"/>
      <w:r>
        <w:rPr>
          <w:b/>
          <w:bCs/>
          <w:sz w:val="24"/>
          <w:szCs w:val="24"/>
          <w:lang w:val="en-US" w:eastAsia="zh-CN"/>
        </w:rPr>
        <w:t>课程概况</w:t>
      </w:r>
      <w:bookmarkEnd w:id="273"/>
    </w:p>
    <w:p>
      <w:pPr>
        <w:spacing w:line="360" w:lineRule="auto"/>
        <w:ind w:firstLine="482"/>
        <w:rPr>
          <w:rFonts w:hint="eastAsia" w:ascii="Times New Roman" w:hAnsi="Times New Roman" w:eastAsia="宋体" w:cs="Times New Roman"/>
          <w:b/>
          <w:bCs/>
          <w:kern w:val="0"/>
        </w:rPr>
      </w:pPr>
      <w:r>
        <w:rPr>
          <w:rFonts w:ascii="Times New Roman" w:hAnsi="Times New Roman" w:eastAsia="宋体" w:cs="Times New Roman"/>
          <w:b/>
          <w:bCs/>
          <w:kern w:val="0"/>
        </w:rPr>
        <w:t>课程代码：2501037</w:t>
      </w:r>
    </w:p>
    <w:p>
      <w:pPr>
        <w:spacing w:line="360" w:lineRule="auto"/>
        <w:ind w:firstLine="482"/>
        <w:rPr>
          <w:kern w:val="0"/>
        </w:rPr>
      </w:pPr>
      <w:r>
        <w:rPr>
          <w:b/>
          <w:bCs/>
          <w:kern w:val="0"/>
        </w:rPr>
        <w:t>学    分</w:t>
      </w:r>
      <w:r>
        <w:rPr>
          <w:b/>
          <w:kern w:val="0"/>
        </w:rPr>
        <w:t>：</w:t>
      </w:r>
      <w:r>
        <w:rPr>
          <w:rFonts w:hint="eastAsia"/>
          <w:kern w:val="0"/>
        </w:rPr>
        <w:t>2</w:t>
      </w:r>
    </w:p>
    <w:p>
      <w:pPr>
        <w:spacing w:line="360" w:lineRule="auto"/>
        <w:ind w:firstLine="482"/>
        <w:rPr>
          <w:kern w:val="0"/>
        </w:rPr>
      </w:pPr>
      <w:r>
        <w:rPr>
          <w:b/>
          <w:bCs/>
          <w:kern w:val="0"/>
        </w:rPr>
        <w:t>学    时</w:t>
      </w:r>
      <w:r>
        <w:rPr>
          <w:b/>
          <w:kern w:val="0"/>
        </w:rPr>
        <w:t>：</w:t>
      </w:r>
      <w:r>
        <w:rPr>
          <w:kern w:val="0"/>
        </w:rPr>
        <w:t>32（其中：讲授学时</w:t>
      </w:r>
      <w:r>
        <w:rPr>
          <w:rFonts w:hint="eastAsia"/>
          <w:kern w:val="0"/>
        </w:rPr>
        <w:t>3</w:t>
      </w:r>
      <w:r>
        <w:rPr>
          <w:kern w:val="0"/>
        </w:rPr>
        <w:t>2）</w:t>
      </w:r>
    </w:p>
    <w:p>
      <w:pPr>
        <w:spacing w:line="360" w:lineRule="auto"/>
        <w:ind w:firstLine="482"/>
        <w:rPr>
          <w:bCs/>
          <w:kern w:val="0"/>
        </w:rPr>
      </w:pPr>
      <w:r>
        <w:rPr>
          <w:b/>
          <w:bCs/>
          <w:kern w:val="0"/>
        </w:rPr>
        <w:t>先修课程</w:t>
      </w:r>
      <w:r>
        <w:rPr>
          <w:b/>
          <w:kern w:val="0"/>
        </w:rPr>
        <w:t>：</w:t>
      </w:r>
      <w:r>
        <w:rPr>
          <w:rFonts w:hint="eastAsia"/>
          <w:kern w:val="0"/>
        </w:rPr>
        <w:t>物理化学、化工原理、化工热力学等</w:t>
      </w:r>
    </w:p>
    <w:p>
      <w:pPr>
        <w:spacing w:line="360" w:lineRule="auto"/>
        <w:ind w:firstLine="482"/>
        <w:rPr>
          <w:kern w:val="0"/>
        </w:rPr>
      </w:pPr>
      <w:r>
        <w:rPr>
          <w:b/>
          <w:bCs/>
          <w:kern w:val="0"/>
        </w:rPr>
        <w:t>适用专业</w:t>
      </w:r>
      <w:r>
        <w:rPr>
          <w:b/>
          <w:kern w:val="0"/>
        </w:rPr>
        <w:t>：</w:t>
      </w:r>
      <w:r>
        <w:rPr>
          <w:rFonts w:hint="eastAsia"/>
          <w:kern w:val="0"/>
        </w:rPr>
        <w:t>化学工程与工艺、应用化学</w:t>
      </w:r>
      <w:r>
        <w:rPr>
          <w:rFonts w:eastAsia="黑体"/>
        </w:rPr>
        <w:t xml:space="preserve"> </w:t>
      </w:r>
      <w:r>
        <w:rPr>
          <w:kern w:val="0"/>
        </w:rPr>
        <w:t xml:space="preserve">                          </w:t>
      </w:r>
    </w:p>
    <w:p>
      <w:pPr>
        <w:spacing w:line="360" w:lineRule="auto"/>
        <w:ind w:firstLine="482"/>
      </w:pPr>
      <w:r>
        <w:rPr>
          <w:b/>
          <w:bCs/>
          <w:kern w:val="0"/>
        </w:rPr>
        <w:t>教    材</w:t>
      </w:r>
      <w:r>
        <w:rPr>
          <w:b/>
          <w:kern w:val="0"/>
        </w:rPr>
        <w:t>：</w:t>
      </w:r>
      <w:r>
        <w:rPr>
          <w:szCs w:val="21"/>
        </w:rPr>
        <w:t>《</w:t>
      </w:r>
      <w:r>
        <w:rPr>
          <w:rFonts w:hint="eastAsia"/>
        </w:rPr>
        <w:t>分离过程</w:t>
      </w:r>
      <w:r>
        <w:t>》，</w:t>
      </w:r>
      <w:r>
        <w:rPr>
          <w:rFonts w:hint="eastAsia"/>
        </w:rPr>
        <w:t>朱家文、吴艳阳等</w:t>
      </w:r>
      <w:r>
        <w:t>，</w:t>
      </w:r>
      <w:r>
        <w:rPr>
          <w:rFonts w:hint="eastAsia"/>
        </w:rPr>
        <w:t>化学工业出版社</w:t>
      </w:r>
      <w:r>
        <w:t>，2019.11</w:t>
      </w:r>
      <w:r>
        <w:rPr>
          <w:rFonts w:hint="eastAsia"/>
        </w:rPr>
        <w:t>.</w:t>
      </w:r>
    </w:p>
    <w:p>
      <w:pPr>
        <w:spacing w:line="360" w:lineRule="auto"/>
        <w:ind w:firstLine="482"/>
        <w:rPr>
          <w:kern w:val="0"/>
        </w:rPr>
      </w:pPr>
      <w:r>
        <w:rPr>
          <w:b/>
          <w:bCs/>
          <w:kern w:val="0"/>
        </w:rPr>
        <w:t>课程归口：</w:t>
      </w:r>
      <w:r>
        <w:rPr>
          <w:rFonts w:hint="eastAsia"/>
          <w:bCs/>
          <w:kern w:val="0"/>
        </w:rPr>
        <w:t>化工与材料</w:t>
      </w:r>
      <w:r>
        <w:rPr>
          <w:kern w:val="0"/>
        </w:rPr>
        <w:t>学院</w:t>
      </w:r>
    </w:p>
    <w:p>
      <w:pPr>
        <w:spacing w:line="360" w:lineRule="auto"/>
        <w:ind w:firstLine="482"/>
        <w:rPr>
          <w:rFonts w:hint="eastAsia"/>
          <w:kern w:val="0"/>
        </w:rPr>
      </w:pPr>
      <w:r>
        <w:rPr>
          <w:rFonts w:hint="eastAsia"/>
          <w:b/>
          <w:bCs/>
          <w:kern w:val="0"/>
        </w:rPr>
        <w:t>一、</w:t>
      </w:r>
      <w:r>
        <w:rPr>
          <w:b/>
          <w:bCs/>
          <w:kern w:val="0"/>
        </w:rPr>
        <w:t>课程的性质与任务</w:t>
      </w:r>
      <w:r>
        <w:rPr>
          <w:rFonts w:hint="eastAsia"/>
          <w:b/>
          <w:bCs/>
          <w:kern w:val="0"/>
        </w:rPr>
        <w:t>：</w:t>
      </w:r>
    </w:p>
    <w:p>
      <w:pPr>
        <w:pStyle w:val="5"/>
        <w:spacing w:line="440" w:lineRule="exact"/>
        <w:rPr>
          <w:rFonts w:hint="eastAsia" w:eastAsia="宋体"/>
          <w:sz w:val="21"/>
        </w:rPr>
      </w:pPr>
      <w:r>
        <w:rPr>
          <w:rFonts w:hint="eastAsia" w:eastAsia="宋体"/>
          <w:bCs/>
          <w:kern w:val="0"/>
        </w:rPr>
        <w:t>化工分离工程课程是化学工程与工艺、应用化学专业的一门专业基础课，是学生在具备了物理化学、化工原理、化工热力学等技术基础知识后的学习的一门专业主干课。化工分离工程是研究过程工业中物质分离和纯化的工程技术学科，要求学生熟练掌握传质与分离工程的原理和应用，以及了解主要分离单元操作和分离工程领域的研究进展。它利用前期课程中介绍的有关相平衡、热力学、动力学、分子及共聚集状态的微观机理，传热、传质和动量传递理论来研究化工生产实际中复杂物系的分离和提纯技术。通过本课程的学习，培养学生的认真专注的工匠精神，使学生具有实事求是和勇于探索和实践的科学观，为学生毕业后从事相关工作打下良好基础。</w:t>
      </w:r>
    </w:p>
    <w:p>
      <w:pPr>
        <w:bidi w:val="0"/>
        <w:rPr>
          <w:rFonts w:hint="eastAsia"/>
          <w:b/>
          <w:bCs/>
          <w:sz w:val="24"/>
          <w:szCs w:val="24"/>
          <w:lang w:val="en-US" w:eastAsia="zh-CN"/>
        </w:rPr>
      </w:pPr>
      <w:bookmarkStart w:id="274" w:name="_Toc22595"/>
      <w:r>
        <w:rPr>
          <w:rFonts w:hint="eastAsia"/>
          <w:b/>
          <w:bCs/>
          <w:sz w:val="24"/>
          <w:szCs w:val="24"/>
          <w:lang w:val="en-US" w:eastAsia="zh-CN"/>
        </w:rPr>
        <w:t>二、课程目标</w:t>
      </w:r>
      <w:bookmarkEnd w:id="274"/>
    </w:p>
    <w:tbl>
      <w:tblPr>
        <w:tblStyle w:val="10"/>
        <w:tblW w:w="92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119"/>
        <w:gridCol w:w="2292"/>
        <w:gridCol w:w="3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38" w:type="dxa"/>
            <w:tcBorders>
              <w:top w:val="single" w:color="auto" w:sz="4" w:space="0"/>
              <w:left w:val="single" w:color="auto" w:sz="4" w:space="0"/>
              <w:bottom w:val="single" w:color="auto" w:sz="4" w:space="0"/>
              <w:right w:val="single" w:color="auto" w:sz="4" w:space="0"/>
            </w:tcBorders>
            <w:noWrap/>
            <w:vAlign w:val="center"/>
          </w:tcPr>
          <w:p>
            <w:pPr>
              <w:widowControl/>
              <w:ind w:firstLine="0" w:firstLineChars="0"/>
              <w:rPr>
                <w:b/>
                <w:bCs/>
                <w:kern w:val="0"/>
                <w:sz w:val="21"/>
                <w:szCs w:val="21"/>
              </w:rPr>
            </w:pPr>
            <w:r>
              <w:rPr>
                <w:rFonts w:hint="eastAsia"/>
                <w:b/>
                <w:bCs/>
                <w:kern w:val="0"/>
                <w:szCs w:val="21"/>
              </w:rPr>
              <w:t>序号</w:t>
            </w:r>
          </w:p>
        </w:tc>
        <w:tc>
          <w:tcPr>
            <w:tcW w:w="3119" w:type="dxa"/>
            <w:tcBorders>
              <w:top w:val="single" w:color="auto" w:sz="4" w:space="0"/>
              <w:left w:val="single" w:color="auto" w:sz="4" w:space="0"/>
              <w:bottom w:val="single" w:color="auto" w:sz="4" w:space="0"/>
              <w:right w:val="single" w:color="auto" w:sz="4" w:space="0"/>
            </w:tcBorders>
            <w:noWrap/>
            <w:vAlign w:val="center"/>
          </w:tcPr>
          <w:p>
            <w:pPr>
              <w:widowControl/>
              <w:ind w:firstLine="482"/>
              <w:jc w:val="center"/>
              <w:rPr>
                <w:rFonts w:hint="eastAsia"/>
                <w:b/>
                <w:bCs/>
                <w:kern w:val="0"/>
                <w:szCs w:val="21"/>
              </w:rPr>
            </w:pPr>
            <w:r>
              <w:rPr>
                <w:rFonts w:hint="eastAsia"/>
                <w:b/>
                <w:bCs/>
                <w:kern w:val="0"/>
                <w:szCs w:val="21"/>
              </w:rPr>
              <w:t>课程目标</w:t>
            </w:r>
          </w:p>
        </w:tc>
        <w:tc>
          <w:tcPr>
            <w:tcW w:w="2292" w:type="dxa"/>
            <w:tcBorders>
              <w:top w:val="single" w:color="auto" w:sz="4" w:space="0"/>
              <w:left w:val="single" w:color="auto" w:sz="4" w:space="0"/>
              <w:bottom w:val="single" w:color="auto" w:sz="4" w:space="0"/>
              <w:right w:val="single" w:color="auto" w:sz="4" w:space="0"/>
            </w:tcBorders>
            <w:noWrap/>
            <w:vAlign w:val="center"/>
          </w:tcPr>
          <w:p>
            <w:pPr>
              <w:widowControl/>
              <w:ind w:firstLine="482"/>
              <w:jc w:val="center"/>
              <w:rPr>
                <w:b/>
                <w:bCs/>
                <w:kern w:val="0"/>
                <w:szCs w:val="21"/>
              </w:rPr>
            </w:pPr>
            <w:r>
              <w:rPr>
                <w:rFonts w:hint="eastAsia"/>
                <w:b/>
                <w:bCs/>
                <w:kern w:val="0"/>
                <w:szCs w:val="21"/>
              </w:rPr>
              <w:t>支撑毕业要求观测点</w:t>
            </w:r>
          </w:p>
        </w:tc>
        <w:tc>
          <w:tcPr>
            <w:tcW w:w="3067" w:type="dxa"/>
            <w:tcBorders>
              <w:top w:val="single" w:color="auto" w:sz="4" w:space="0"/>
              <w:left w:val="single" w:color="auto" w:sz="4" w:space="0"/>
              <w:bottom w:val="single" w:color="auto" w:sz="4" w:space="0"/>
              <w:right w:val="single" w:color="auto" w:sz="4" w:space="0"/>
            </w:tcBorders>
            <w:noWrap/>
            <w:vAlign w:val="center"/>
          </w:tcPr>
          <w:p>
            <w:pPr>
              <w:widowControl/>
              <w:ind w:firstLine="482"/>
              <w:jc w:val="center"/>
              <w:rPr>
                <w:rFonts w:hint="eastAsia"/>
                <w:b/>
                <w:bCs/>
                <w:kern w:val="0"/>
                <w:szCs w:val="21"/>
              </w:rPr>
            </w:pPr>
            <w:r>
              <w:rPr>
                <w:rFonts w:hint="eastAsia"/>
                <w:b/>
                <w:bCs/>
                <w:kern w:val="0"/>
                <w:szCs w:val="21"/>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38" w:type="dxa"/>
            <w:tcBorders>
              <w:top w:val="single" w:color="auto" w:sz="4" w:space="0"/>
              <w:left w:val="single" w:color="auto" w:sz="4" w:space="0"/>
              <w:bottom w:val="single" w:color="auto" w:sz="4" w:space="0"/>
              <w:right w:val="single" w:color="auto" w:sz="4" w:space="0"/>
            </w:tcBorders>
            <w:noWrap/>
            <w:vAlign w:val="center"/>
          </w:tcPr>
          <w:p>
            <w:pPr>
              <w:widowControl/>
              <w:ind w:firstLine="480"/>
              <w:jc w:val="center"/>
              <w:rPr>
                <w:kern w:val="0"/>
                <w:szCs w:val="21"/>
              </w:rPr>
            </w:pPr>
            <w:r>
              <w:rPr>
                <w:kern w:val="0"/>
                <w:szCs w:val="21"/>
              </w:rPr>
              <w:t>1</w:t>
            </w:r>
          </w:p>
        </w:tc>
        <w:tc>
          <w:tcPr>
            <w:tcW w:w="3119" w:type="dxa"/>
            <w:tcBorders>
              <w:top w:val="single" w:color="auto" w:sz="4" w:space="0"/>
              <w:left w:val="single" w:color="auto" w:sz="4" w:space="0"/>
              <w:bottom w:val="single" w:color="auto" w:sz="4" w:space="0"/>
              <w:right w:val="single" w:color="auto" w:sz="4" w:space="0"/>
            </w:tcBorders>
            <w:noWrap/>
            <w:vAlign w:val="center"/>
          </w:tcPr>
          <w:p>
            <w:pPr>
              <w:ind w:firstLine="482"/>
              <w:rPr>
                <w:kern w:val="0"/>
                <w:szCs w:val="21"/>
              </w:rPr>
            </w:pPr>
            <w:r>
              <w:rPr>
                <w:rFonts w:hint="eastAsia"/>
                <w:b/>
                <w:kern w:val="0"/>
                <w:szCs w:val="21"/>
              </w:rPr>
              <w:t>目标</w:t>
            </w:r>
            <w:r>
              <w:rPr>
                <w:b/>
                <w:kern w:val="0"/>
                <w:szCs w:val="21"/>
              </w:rPr>
              <w:t>1</w:t>
            </w:r>
            <w:r>
              <w:rPr>
                <w:rFonts w:hint="eastAsia"/>
                <w:b/>
                <w:kern w:val="0"/>
                <w:szCs w:val="21"/>
              </w:rPr>
              <w:t>：</w:t>
            </w:r>
            <w:r>
              <w:rPr>
                <w:rFonts w:hint="eastAsia"/>
                <w:kern w:val="0"/>
                <w:szCs w:val="21"/>
              </w:rPr>
              <w:t>能够理解掌握以精馏、吸收、萃取为主的平衡分离过程和膜分离技术为代表的速率分离过程所涉及的分离机理、效率与通量、过程与设备计算。</w:t>
            </w:r>
          </w:p>
        </w:tc>
        <w:tc>
          <w:tcPr>
            <w:tcW w:w="2292" w:type="dxa"/>
            <w:tcBorders>
              <w:top w:val="single" w:color="auto" w:sz="4" w:space="0"/>
              <w:left w:val="single" w:color="auto" w:sz="4" w:space="0"/>
              <w:bottom w:val="single" w:color="auto" w:sz="4" w:space="0"/>
              <w:right w:val="single" w:color="auto" w:sz="4" w:space="0"/>
            </w:tcBorders>
            <w:noWrap/>
            <w:vAlign w:val="center"/>
          </w:tcPr>
          <w:p>
            <w:pPr>
              <w:widowControl/>
              <w:ind w:firstLine="482"/>
              <w:rPr>
                <w:kern w:val="0"/>
                <w:szCs w:val="21"/>
              </w:rPr>
            </w:pPr>
            <w:r>
              <w:rPr>
                <w:rFonts w:hint="eastAsia"/>
                <w:b/>
                <w:szCs w:val="21"/>
              </w:rPr>
              <w:t>观测点</w:t>
            </w:r>
            <w:r>
              <w:rPr>
                <w:b/>
                <w:szCs w:val="21"/>
              </w:rPr>
              <w:t>1.4</w:t>
            </w:r>
            <w:r>
              <w:rPr>
                <w:rFonts w:hint="eastAsia"/>
                <w:szCs w:val="21"/>
              </w:rPr>
              <w:t>：掌握化工反应、分离等专业知识。</w:t>
            </w:r>
          </w:p>
        </w:tc>
        <w:tc>
          <w:tcPr>
            <w:tcW w:w="3067" w:type="dxa"/>
            <w:tcBorders>
              <w:top w:val="single" w:color="auto" w:sz="4" w:space="0"/>
              <w:left w:val="single" w:color="auto" w:sz="4" w:space="0"/>
              <w:bottom w:val="single" w:color="auto" w:sz="4" w:space="0"/>
              <w:right w:val="single" w:color="auto" w:sz="4" w:space="0"/>
            </w:tcBorders>
            <w:noWrap/>
            <w:vAlign w:val="center"/>
          </w:tcPr>
          <w:p>
            <w:pPr>
              <w:widowControl/>
              <w:ind w:firstLine="482"/>
              <w:rPr>
                <w:kern w:val="0"/>
                <w:szCs w:val="21"/>
              </w:rPr>
            </w:pPr>
            <w:r>
              <w:rPr>
                <w:rFonts w:hint="eastAsia"/>
                <w:b/>
                <w:szCs w:val="21"/>
              </w:rPr>
              <w:t>毕业要求</w:t>
            </w:r>
            <w:r>
              <w:rPr>
                <w:b/>
                <w:szCs w:val="21"/>
              </w:rPr>
              <w:t>1</w:t>
            </w:r>
            <w:r>
              <w:rPr>
                <w:rFonts w:hint="eastAsia"/>
                <w:szCs w:val="21"/>
              </w:rPr>
              <w:t>毕业要求1：工程知识：能够将数学、自然科学、工程基础和专业知识用于解决化学工程与工艺领域复杂工程问题。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38" w:type="dxa"/>
            <w:tcBorders>
              <w:top w:val="single" w:color="auto" w:sz="4" w:space="0"/>
              <w:left w:val="single" w:color="auto" w:sz="4" w:space="0"/>
              <w:bottom w:val="single" w:color="auto" w:sz="4" w:space="0"/>
              <w:right w:val="single" w:color="auto" w:sz="4" w:space="0"/>
            </w:tcBorders>
            <w:noWrap/>
            <w:vAlign w:val="center"/>
          </w:tcPr>
          <w:p>
            <w:pPr>
              <w:widowControl/>
              <w:ind w:firstLine="480"/>
              <w:jc w:val="center"/>
              <w:rPr>
                <w:kern w:val="0"/>
                <w:szCs w:val="21"/>
              </w:rPr>
            </w:pPr>
            <w:r>
              <w:rPr>
                <w:kern w:val="0"/>
                <w:szCs w:val="21"/>
              </w:rPr>
              <w:t>2</w:t>
            </w:r>
          </w:p>
        </w:tc>
        <w:tc>
          <w:tcPr>
            <w:tcW w:w="3119" w:type="dxa"/>
            <w:tcBorders>
              <w:top w:val="single" w:color="auto" w:sz="4" w:space="0"/>
              <w:left w:val="single" w:color="auto" w:sz="4" w:space="0"/>
              <w:bottom w:val="single" w:color="auto" w:sz="4" w:space="0"/>
              <w:right w:val="single" w:color="auto" w:sz="4" w:space="0"/>
            </w:tcBorders>
            <w:noWrap/>
            <w:vAlign w:val="center"/>
          </w:tcPr>
          <w:p>
            <w:pPr>
              <w:widowControl/>
              <w:ind w:firstLine="0" w:firstLineChars="0"/>
              <w:rPr>
                <w:kern w:val="0"/>
                <w:szCs w:val="21"/>
              </w:rPr>
            </w:pPr>
            <w:r>
              <w:rPr>
                <w:rFonts w:hint="eastAsia"/>
                <w:b/>
                <w:kern w:val="0"/>
                <w:szCs w:val="21"/>
              </w:rPr>
              <w:t>目标</w:t>
            </w:r>
            <w:r>
              <w:rPr>
                <w:b/>
                <w:kern w:val="0"/>
                <w:szCs w:val="21"/>
              </w:rPr>
              <w:t>2</w:t>
            </w:r>
            <w:r>
              <w:rPr>
                <w:rFonts w:hint="eastAsia"/>
                <w:b/>
                <w:kern w:val="0"/>
                <w:szCs w:val="21"/>
              </w:rPr>
              <w:t>：</w:t>
            </w:r>
            <w:r>
              <w:rPr>
                <w:rFonts w:hint="eastAsia"/>
                <w:kern w:val="0"/>
                <w:szCs w:val="21"/>
              </w:rPr>
              <w:t>能熟悉分离设备的设计模型，了解分离工艺的开发方法，重视现代分离技术的前沿发展，对工业分离过程有较全面和有深度的掌握。</w:t>
            </w:r>
          </w:p>
        </w:tc>
        <w:tc>
          <w:tcPr>
            <w:tcW w:w="2292" w:type="dxa"/>
            <w:tcBorders>
              <w:top w:val="single" w:color="auto" w:sz="4" w:space="0"/>
              <w:left w:val="single" w:color="auto" w:sz="4" w:space="0"/>
              <w:bottom w:val="single" w:color="auto" w:sz="4" w:space="0"/>
              <w:right w:val="single" w:color="auto" w:sz="4" w:space="0"/>
            </w:tcBorders>
            <w:noWrap/>
            <w:vAlign w:val="center"/>
          </w:tcPr>
          <w:p>
            <w:pPr>
              <w:widowControl/>
              <w:ind w:firstLine="482"/>
              <w:rPr>
                <w:kern w:val="0"/>
                <w:szCs w:val="21"/>
              </w:rPr>
            </w:pPr>
            <w:r>
              <w:rPr>
                <w:rFonts w:hint="eastAsia"/>
                <w:b/>
                <w:color w:val="000000"/>
                <w:kern w:val="0"/>
                <w:szCs w:val="21"/>
              </w:rPr>
              <w:t>观测点</w:t>
            </w:r>
            <w:r>
              <w:rPr>
                <w:b/>
                <w:szCs w:val="21"/>
              </w:rPr>
              <w:t>3.2</w:t>
            </w:r>
            <w:r>
              <w:rPr>
                <w:rFonts w:hint="eastAsia"/>
                <w:szCs w:val="21"/>
              </w:rPr>
              <w:t>：</w:t>
            </w:r>
            <w:r>
              <w:rPr>
                <w:rFonts w:hint="eastAsia"/>
                <w:color w:val="000000"/>
                <w:kern w:val="0"/>
                <w:szCs w:val="21"/>
              </w:rPr>
              <w:t>能够通过建模进行单元和设备设计计算。</w:t>
            </w:r>
          </w:p>
        </w:tc>
        <w:tc>
          <w:tcPr>
            <w:tcW w:w="3067" w:type="dxa"/>
            <w:tcBorders>
              <w:top w:val="single" w:color="auto" w:sz="4" w:space="0"/>
              <w:left w:val="single" w:color="auto" w:sz="4" w:space="0"/>
              <w:bottom w:val="single" w:color="auto" w:sz="4" w:space="0"/>
              <w:right w:val="single" w:color="auto" w:sz="4" w:space="0"/>
            </w:tcBorders>
            <w:noWrap/>
            <w:vAlign w:val="center"/>
          </w:tcPr>
          <w:p>
            <w:pPr>
              <w:widowControl/>
              <w:ind w:firstLine="482"/>
              <w:rPr>
                <w:kern w:val="0"/>
                <w:szCs w:val="21"/>
              </w:rPr>
            </w:pPr>
            <w:r>
              <w:rPr>
                <w:rFonts w:hint="eastAsia"/>
                <w:b/>
                <w:color w:val="000000"/>
                <w:kern w:val="0"/>
                <w:szCs w:val="21"/>
              </w:rPr>
              <w:t>毕业要求</w:t>
            </w:r>
            <w:r>
              <w:rPr>
                <w:b/>
                <w:color w:val="000000"/>
                <w:kern w:val="0"/>
                <w:szCs w:val="21"/>
              </w:rPr>
              <w:t>3</w:t>
            </w:r>
            <w:r>
              <w:rPr>
                <w:rFonts w:hint="eastAsia"/>
                <w:szCs w:val="21"/>
              </w:rPr>
              <w:t>设计/开发方案：能够设计针对化学工程与工艺领域复杂工程问题的解决方案，设计满足特定需求的系统、单元（部件）或工艺流程，并能够在设计环节中体现创新意识，考虑社会、健康、安全、法律、文化以及环境等因素。</w:t>
            </w:r>
          </w:p>
        </w:tc>
      </w:tr>
    </w:tbl>
    <w:p>
      <w:pPr>
        <w:spacing w:line="360" w:lineRule="auto"/>
        <w:ind w:firstLine="562"/>
        <w:rPr>
          <w:b/>
          <w:sz w:val="28"/>
          <w:szCs w:val="28"/>
        </w:rPr>
      </w:pPr>
      <w:r>
        <w:rPr>
          <w:b/>
          <w:sz w:val="28"/>
          <w:szCs w:val="28"/>
        </w:rPr>
        <w:t>三、</w:t>
      </w:r>
      <w:r>
        <w:rPr>
          <w:rFonts w:hint="eastAsia"/>
          <w:b/>
          <w:sz w:val="28"/>
          <w:szCs w:val="28"/>
        </w:rPr>
        <w:t>教学</w:t>
      </w:r>
      <w:r>
        <w:rPr>
          <w:b/>
          <w:sz w:val="28"/>
          <w:szCs w:val="28"/>
        </w:rPr>
        <w:t>内容及要求</w:t>
      </w:r>
    </w:p>
    <w:tbl>
      <w:tblPr>
        <w:tblStyle w:val="10"/>
        <w:tblW w:w="9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2368"/>
        <w:gridCol w:w="1162"/>
        <w:gridCol w:w="2198"/>
        <w:gridCol w:w="787"/>
        <w:gridCol w:w="906"/>
        <w:gridCol w:w="1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63" w:type="dxa"/>
            <w:shd w:val="clear" w:color="auto" w:fill="auto"/>
            <w:noWrap w:val="0"/>
            <w:vAlign w:val="center"/>
          </w:tcPr>
          <w:p>
            <w:pPr>
              <w:ind w:firstLine="0" w:firstLineChars="0"/>
              <w:rPr>
                <w:b/>
                <w:bCs/>
                <w:szCs w:val="21"/>
              </w:rPr>
            </w:pPr>
            <w:r>
              <w:rPr>
                <w:b/>
                <w:bCs/>
                <w:szCs w:val="21"/>
              </w:rPr>
              <w:t>序号</w:t>
            </w:r>
          </w:p>
        </w:tc>
        <w:tc>
          <w:tcPr>
            <w:tcW w:w="2368" w:type="dxa"/>
            <w:shd w:val="clear" w:color="auto" w:fill="auto"/>
            <w:noWrap w:val="0"/>
            <w:vAlign w:val="center"/>
          </w:tcPr>
          <w:p>
            <w:pPr>
              <w:ind w:firstLine="482"/>
              <w:jc w:val="center"/>
              <w:rPr>
                <w:b/>
                <w:bCs/>
                <w:szCs w:val="21"/>
              </w:rPr>
            </w:pPr>
            <w:r>
              <w:rPr>
                <w:b/>
                <w:bCs/>
                <w:szCs w:val="21"/>
              </w:rPr>
              <w:t>教学内容</w:t>
            </w:r>
          </w:p>
        </w:tc>
        <w:tc>
          <w:tcPr>
            <w:tcW w:w="1162" w:type="dxa"/>
            <w:shd w:val="clear" w:color="auto" w:fill="auto"/>
            <w:noWrap w:val="0"/>
            <w:vAlign w:val="center"/>
          </w:tcPr>
          <w:p>
            <w:pPr>
              <w:ind w:firstLine="0" w:firstLineChars="0"/>
              <w:rPr>
                <w:b/>
                <w:bCs/>
                <w:szCs w:val="21"/>
              </w:rPr>
            </w:pPr>
            <w:r>
              <w:rPr>
                <w:b/>
                <w:bCs/>
                <w:szCs w:val="21"/>
              </w:rPr>
              <w:t>思政元素</w:t>
            </w:r>
          </w:p>
          <w:p>
            <w:pPr>
              <w:ind w:firstLine="482"/>
              <w:jc w:val="center"/>
              <w:rPr>
                <w:b/>
                <w:bCs/>
                <w:szCs w:val="21"/>
              </w:rPr>
            </w:pPr>
          </w:p>
        </w:tc>
        <w:tc>
          <w:tcPr>
            <w:tcW w:w="2198" w:type="dxa"/>
            <w:shd w:val="clear" w:color="auto" w:fill="auto"/>
            <w:noWrap w:val="0"/>
            <w:vAlign w:val="center"/>
          </w:tcPr>
          <w:p>
            <w:pPr>
              <w:ind w:firstLine="482"/>
              <w:rPr>
                <w:b/>
                <w:bCs/>
                <w:szCs w:val="21"/>
              </w:rPr>
            </w:pPr>
            <w:r>
              <w:rPr>
                <w:b/>
                <w:bCs/>
                <w:szCs w:val="21"/>
              </w:rPr>
              <w:t>预期学习成果</w:t>
            </w:r>
          </w:p>
          <w:p>
            <w:pPr>
              <w:ind w:firstLine="482"/>
              <w:jc w:val="center"/>
              <w:rPr>
                <w:b/>
                <w:bCs/>
                <w:szCs w:val="21"/>
              </w:rPr>
            </w:pPr>
          </w:p>
        </w:tc>
        <w:tc>
          <w:tcPr>
            <w:tcW w:w="787" w:type="dxa"/>
            <w:shd w:val="clear" w:color="auto" w:fill="auto"/>
            <w:noWrap w:val="0"/>
            <w:vAlign w:val="center"/>
          </w:tcPr>
          <w:p>
            <w:pPr>
              <w:ind w:firstLine="0" w:firstLineChars="0"/>
              <w:rPr>
                <w:b/>
                <w:bCs/>
                <w:szCs w:val="21"/>
              </w:rPr>
            </w:pPr>
            <w:r>
              <w:rPr>
                <w:b/>
                <w:bCs/>
                <w:szCs w:val="21"/>
              </w:rPr>
              <w:t>教学学时</w:t>
            </w:r>
          </w:p>
        </w:tc>
        <w:tc>
          <w:tcPr>
            <w:tcW w:w="906" w:type="dxa"/>
            <w:shd w:val="clear" w:color="auto" w:fill="auto"/>
            <w:noWrap w:val="0"/>
            <w:vAlign w:val="center"/>
          </w:tcPr>
          <w:p>
            <w:pPr>
              <w:ind w:firstLine="0" w:firstLineChars="0"/>
              <w:rPr>
                <w:b/>
                <w:bCs/>
                <w:szCs w:val="21"/>
              </w:rPr>
            </w:pPr>
            <w:r>
              <w:rPr>
                <w:b/>
                <w:bCs/>
                <w:szCs w:val="21"/>
              </w:rPr>
              <w:t>教学方式</w:t>
            </w:r>
          </w:p>
        </w:tc>
        <w:tc>
          <w:tcPr>
            <w:tcW w:w="1083" w:type="dxa"/>
            <w:shd w:val="clear" w:color="auto" w:fill="auto"/>
            <w:noWrap w:val="0"/>
            <w:vAlign w:val="center"/>
          </w:tcPr>
          <w:p>
            <w:pPr>
              <w:ind w:firstLine="0" w:firstLineChars="0"/>
              <w:rPr>
                <w:b/>
                <w:bCs/>
                <w:szCs w:val="21"/>
              </w:rPr>
            </w:pPr>
            <w:r>
              <w:rPr>
                <w:b/>
                <w:bCs/>
                <w:szCs w:val="21"/>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63" w:type="dxa"/>
            <w:shd w:val="clear" w:color="auto" w:fill="auto"/>
            <w:noWrap w:val="0"/>
            <w:vAlign w:val="center"/>
          </w:tcPr>
          <w:p>
            <w:pPr>
              <w:ind w:firstLine="0" w:firstLineChars="0"/>
              <w:rPr>
                <w:szCs w:val="21"/>
              </w:rPr>
            </w:pPr>
            <w:r>
              <w:rPr>
                <w:szCs w:val="21"/>
              </w:rPr>
              <w:t>1</w:t>
            </w:r>
          </w:p>
        </w:tc>
        <w:tc>
          <w:tcPr>
            <w:tcW w:w="2368" w:type="dxa"/>
            <w:shd w:val="clear" w:color="auto" w:fill="auto"/>
            <w:noWrap w:val="0"/>
            <w:vAlign w:val="center"/>
          </w:tcPr>
          <w:p>
            <w:pPr>
              <w:ind w:firstLine="482"/>
              <w:rPr>
                <w:kern w:val="0"/>
                <w:szCs w:val="21"/>
              </w:rPr>
            </w:pPr>
            <w:r>
              <w:rPr>
                <w:rFonts w:hint="eastAsia"/>
                <w:b/>
                <w:kern w:val="0"/>
                <w:szCs w:val="21"/>
              </w:rPr>
              <w:t>绪论：</w:t>
            </w:r>
            <w:r>
              <w:rPr>
                <w:rFonts w:hint="eastAsia"/>
                <w:kern w:val="0"/>
                <w:szCs w:val="21"/>
              </w:rPr>
              <w:t xml:space="preserve"> 分离工程与化学工业的进步和发展、新分离方法促进了化工技术的进步、分离工程面临的机遇和挑战</w:t>
            </w:r>
          </w:p>
          <w:p>
            <w:pPr>
              <w:ind w:firstLine="482"/>
              <w:rPr>
                <w:kern w:val="0"/>
                <w:szCs w:val="21"/>
              </w:rPr>
            </w:pPr>
            <w:r>
              <w:rPr>
                <w:b/>
                <w:kern w:val="0"/>
                <w:szCs w:val="21"/>
              </w:rPr>
              <w:t>重点和难点：</w:t>
            </w:r>
            <w:r>
              <w:rPr>
                <w:rFonts w:hint="eastAsia"/>
                <w:kern w:val="0"/>
                <w:szCs w:val="21"/>
              </w:rPr>
              <w:t>分离工程面临的机遇和挑战</w:t>
            </w:r>
          </w:p>
        </w:tc>
        <w:tc>
          <w:tcPr>
            <w:tcW w:w="1162" w:type="dxa"/>
            <w:shd w:val="clear" w:color="auto" w:fill="auto"/>
            <w:noWrap w:val="0"/>
            <w:vAlign w:val="center"/>
          </w:tcPr>
          <w:p>
            <w:pPr>
              <w:autoSpaceDE w:val="0"/>
              <w:autoSpaceDN w:val="0"/>
              <w:ind w:firstLine="0" w:firstLineChars="0"/>
              <w:rPr>
                <w:kern w:val="0"/>
                <w:szCs w:val="21"/>
              </w:rPr>
            </w:pPr>
            <w:r>
              <w:rPr>
                <w:rFonts w:hint="eastAsia"/>
                <w:kern w:val="0"/>
                <w:szCs w:val="21"/>
              </w:rPr>
              <w:t>增强学生投身生态文明建设的责任感、使命感</w:t>
            </w:r>
          </w:p>
        </w:tc>
        <w:tc>
          <w:tcPr>
            <w:tcW w:w="2198" w:type="dxa"/>
            <w:shd w:val="clear" w:color="auto" w:fill="auto"/>
            <w:noWrap w:val="0"/>
            <w:vAlign w:val="center"/>
          </w:tcPr>
          <w:p>
            <w:pPr>
              <w:autoSpaceDE w:val="0"/>
              <w:autoSpaceDN w:val="0"/>
              <w:ind w:firstLine="480"/>
              <w:rPr>
                <w:kern w:val="0"/>
                <w:szCs w:val="21"/>
              </w:rPr>
            </w:pPr>
            <w:r>
              <w:rPr>
                <w:rFonts w:hint="eastAsia"/>
                <w:kern w:val="0"/>
                <w:szCs w:val="21"/>
              </w:rPr>
              <w:t>能够了解分离过程与化学工业的进步和发展；能够了解新型分离方法简介；能够理解和掌握分离工程面临的机遇和挑战</w:t>
            </w:r>
          </w:p>
        </w:tc>
        <w:tc>
          <w:tcPr>
            <w:tcW w:w="787" w:type="dxa"/>
            <w:shd w:val="clear" w:color="auto" w:fill="auto"/>
            <w:noWrap w:val="0"/>
            <w:vAlign w:val="center"/>
          </w:tcPr>
          <w:p>
            <w:pPr>
              <w:ind w:firstLine="0" w:firstLineChars="0"/>
              <w:rPr>
                <w:szCs w:val="21"/>
              </w:rPr>
            </w:pPr>
            <w:r>
              <w:rPr>
                <w:szCs w:val="21"/>
              </w:rPr>
              <w:t>2</w:t>
            </w:r>
          </w:p>
        </w:tc>
        <w:tc>
          <w:tcPr>
            <w:tcW w:w="906" w:type="dxa"/>
            <w:shd w:val="clear" w:color="auto" w:fill="auto"/>
            <w:noWrap w:val="0"/>
            <w:vAlign w:val="center"/>
          </w:tcPr>
          <w:p>
            <w:pPr>
              <w:ind w:firstLine="480"/>
              <w:rPr>
                <w:szCs w:val="21"/>
              </w:rPr>
            </w:pPr>
            <w:r>
              <w:rPr>
                <w:szCs w:val="21"/>
              </w:rPr>
              <w:t>讲授/讨论/实例教学等</w:t>
            </w:r>
          </w:p>
        </w:tc>
        <w:tc>
          <w:tcPr>
            <w:tcW w:w="1083" w:type="dxa"/>
            <w:shd w:val="clear" w:color="auto" w:fill="auto"/>
            <w:noWrap w:val="0"/>
            <w:vAlign w:val="center"/>
          </w:tcPr>
          <w:p>
            <w:pPr>
              <w:ind w:firstLine="482"/>
              <w:jc w:val="center"/>
              <w:rPr>
                <w:szCs w:val="21"/>
              </w:rPr>
            </w:pPr>
            <w:r>
              <w:rPr>
                <w:b/>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63" w:type="dxa"/>
            <w:shd w:val="clear" w:color="auto" w:fill="auto"/>
            <w:noWrap w:val="0"/>
            <w:vAlign w:val="center"/>
          </w:tcPr>
          <w:p>
            <w:pPr>
              <w:ind w:firstLine="0" w:firstLineChars="0"/>
              <w:rPr>
                <w:szCs w:val="21"/>
              </w:rPr>
            </w:pPr>
            <w:r>
              <w:rPr>
                <w:szCs w:val="21"/>
              </w:rPr>
              <w:t>2</w:t>
            </w:r>
          </w:p>
        </w:tc>
        <w:tc>
          <w:tcPr>
            <w:tcW w:w="2368" w:type="dxa"/>
            <w:shd w:val="clear" w:color="auto" w:fill="auto"/>
            <w:noWrap w:val="0"/>
            <w:vAlign w:val="center"/>
          </w:tcPr>
          <w:p>
            <w:pPr>
              <w:ind w:firstLine="482"/>
              <w:rPr>
                <w:kern w:val="0"/>
                <w:szCs w:val="21"/>
              </w:rPr>
            </w:pPr>
            <w:r>
              <w:rPr>
                <w:rFonts w:hint="eastAsia"/>
                <w:b/>
                <w:kern w:val="0"/>
                <w:szCs w:val="21"/>
              </w:rPr>
              <w:t>多组分精馏：</w:t>
            </w:r>
            <w:r>
              <w:rPr>
                <w:rFonts w:hint="eastAsia"/>
                <w:kern w:val="0"/>
                <w:szCs w:val="21"/>
              </w:rPr>
              <w:t xml:space="preserve"> 多组分精馏的发展历史、应用场合和涉及的主要内容、汽液相平衡关系的定量表达、基本方程及计算、单级平衡分离过程的计算、多组分精馏过程的严格计算、多组分精馏过程的简捷计算、精馏塔操作压力的确定。</w:t>
            </w:r>
          </w:p>
          <w:p>
            <w:pPr>
              <w:ind w:firstLine="482"/>
              <w:rPr>
                <w:kern w:val="0"/>
                <w:szCs w:val="21"/>
              </w:rPr>
            </w:pPr>
            <w:r>
              <w:rPr>
                <w:b/>
                <w:kern w:val="0"/>
                <w:szCs w:val="21"/>
              </w:rPr>
              <w:t>重点和难点：</w:t>
            </w:r>
            <w:r>
              <w:rPr>
                <w:rFonts w:hint="eastAsia"/>
                <w:kern w:val="0"/>
                <w:szCs w:val="21"/>
              </w:rPr>
              <w:t>单级平衡分离过程的计算、多组分精馏过程的简捷计算</w:t>
            </w:r>
          </w:p>
        </w:tc>
        <w:tc>
          <w:tcPr>
            <w:tcW w:w="1162" w:type="dxa"/>
            <w:shd w:val="clear" w:color="auto" w:fill="auto"/>
            <w:noWrap w:val="0"/>
            <w:vAlign w:val="center"/>
          </w:tcPr>
          <w:p>
            <w:pPr>
              <w:ind w:firstLine="0" w:firstLineChars="0"/>
              <w:rPr>
                <w:szCs w:val="21"/>
              </w:rPr>
            </w:pPr>
            <w:r>
              <w:rPr>
                <w:rFonts w:hint="eastAsia"/>
                <w:szCs w:val="21"/>
              </w:rPr>
              <w:t>加强科学精神和工匠精神教育</w:t>
            </w:r>
          </w:p>
        </w:tc>
        <w:tc>
          <w:tcPr>
            <w:tcW w:w="2198" w:type="dxa"/>
            <w:shd w:val="clear" w:color="auto" w:fill="auto"/>
            <w:noWrap w:val="0"/>
            <w:vAlign w:val="center"/>
          </w:tcPr>
          <w:p>
            <w:pPr>
              <w:ind w:firstLine="480"/>
              <w:rPr>
                <w:szCs w:val="21"/>
              </w:rPr>
            </w:pPr>
            <w:r>
              <w:rPr>
                <w:kern w:val="0"/>
                <w:szCs w:val="21"/>
              </w:rPr>
              <w:t>能够</w:t>
            </w:r>
            <w:r>
              <w:rPr>
                <w:rFonts w:hint="eastAsia"/>
                <w:kern w:val="0"/>
                <w:szCs w:val="21"/>
              </w:rPr>
              <w:t>了解多组分精馏的发展历史、应用场合和涉及的主要内容</w:t>
            </w:r>
            <w:r>
              <w:rPr>
                <w:kern w:val="0"/>
                <w:szCs w:val="21"/>
              </w:rPr>
              <w:t>；能够</w:t>
            </w:r>
            <w:r>
              <w:rPr>
                <w:rFonts w:hint="eastAsia"/>
                <w:kern w:val="0"/>
                <w:szCs w:val="21"/>
              </w:rPr>
              <w:t>熟练掌握汽液相平衡关系的定量表达</w:t>
            </w:r>
            <w:r>
              <w:rPr>
                <w:kern w:val="0"/>
                <w:szCs w:val="21"/>
              </w:rPr>
              <w:t>；能够</w:t>
            </w:r>
            <w:r>
              <w:rPr>
                <w:rFonts w:hint="eastAsia"/>
                <w:kern w:val="0"/>
                <w:szCs w:val="21"/>
              </w:rPr>
              <w:t>熟练掌握单级平衡分离过程的计算；能够理解多组分精馏过程的严格计算</w:t>
            </w:r>
            <w:r>
              <w:rPr>
                <w:kern w:val="0"/>
                <w:szCs w:val="21"/>
              </w:rPr>
              <w:t>；能够</w:t>
            </w:r>
            <w:r>
              <w:rPr>
                <w:rFonts w:hint="eastAsia"/>
                <w:kern w:val="0"/>
                <w:szCs w:val="21"/>
              </w:rPr>
              <w:t>熟练</w:t>
            </w:r>
            <w:r>
              <w:rPr>
                <w:kern w:val="0"/>
                <w:szCs w:val="21"/>
              </w:rPr>
              <w:t>掌握</w:t>
            </w:r>
            <w:r>
              <w:rPr>
                <w:rFonts w:hint="eastAsia"/>
                <w:kern w:val="0"/>
                <w:szCs w:val="21"/>
              </w:rPr>
              <w:t>多组分精馏过程的简捷计算；能够掌握精馏塔操作压力的确定</w:t>
            </w:r>
          </w:p>
        </w:tc>
        <w:tc>
          <w:tcPr>
            <w:tcW w:w="787" w:type="dxa"/>
            <w:shd w:val="clear" w:color="auto" w:fill="auto"/>
            <w:noWrap w:val="0"/>
            <w:vAlign w:val="center"/>
          </w:tcPr>
          <w:p>
            <w:pPr>
              <w:ind w:firstLine="0" w:firstLineChars="0"/>
              <w:rPr>
                <w:szCs w:val="21"/>
              </w:rPr>
            </w:pPr>
            <w:r>
              <w:rPr>
                <w:szCs w:val="21"/>
              </w:rPr>
              <w:t>10</w:t>
            </w:r>
          </w:p>
        </w:tc>
        <w:tc>
          <w:tcPr>
            <w:tcW w:w="906" w:type="dxa"/>
            <w:shd w:val="clear" w:color="auto" w:fill="auto"/>
            <w:noWrap w:val="0"/>
            <w:vAlign w:val="center"/>
          </w:tcPr>
          <w:p>
            <w:pPr>
              <w:ind w:firstLine="480"/>
              <w:rPr>
                <w:szCs w:val="21"/>
              </w:rPr>
            </w:pPr>
            <w:r>
              <w:rPr>
                <w:szCs w:val="21"/>
              </w:rPr>
              <w:t>讲授讨论/等</w:t>
            </w:r>
          </w:p>
        </w:tc>
        <w:tc>
          <w:tcPr>
            <w:tcW w:w="1083" w:type="dxa"/>
            <w:shd w:val="clear" w:color="auto" w:fill="auto"/>
            <w:noWrap w:val="0"/>
            <w:vAlign w:val="center"/>
          </w:tcPr>
          <w:p>
            <w:pPr>
              <w:ind w:firstLine="482"/>
              <w:jc w:val="center"/>
              <w:rPr>
                <w:kern w:val="0"/>
                <w:szCs w:val="21"/>
              </w:rPr>
            </w:pPr>
            <w:r>
              <w:rPr>
                <w:b/>
                <w:kern w:val="0"/>
                <w:szCs w:val="21"/>
              </w:rPr>
              <w:t>目标1</w:t>
            </w:r>
          </w:p>
          <w:p>
            <w:pPr>
              <w:ind w:firstLine="482"/>
              <w:jc w:val="center"/>
              <w:rPr>
                <w:szCs w:val="21"/>
              </w:rPr>
            </w:pPr>
            <w:r>
              <w:rPr>
                <w:b/>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63" w:type="dxa"/>
            <w:shd w:val="clear" w:color="auto" w:fill="auto"/>
            <w:noWrap w:val="0"/>
            <w:vAlign w:val="center"/>
          </w:tcPr>
          <w:p>
            <w:pPr>
              <w:ind w:firstLine="0" w:firstLineChars="0"/>
              <w:rPr>
                <w:szCs w:val="21"/>
              </w:rPr>
            </w:pPr>
            <w:r>
              <w:rPr>
                <w:rFonts w:hint="eastAsia"/>
                <w:szCs w:val="21"/>
              </w:rPr>
              <w:t>3</w:t>
            </w:r>
          </w:p>
        </w:tc>
        <w:tc>
          <w:tcPr>
            <w:tcW w:w="2368" w:type="dxa"/>
            <w:shd w:val="clear" w:color="auto" w:fill="auto"/>
            <w:noWrap w:val="0"/>
            <w:vAlign w:val="center"/>
          </w:tcPr>
          <w:p>
            <w:pPr>
              <w:ind w:firstLine="482"/>
              <w:rPr>
                <w:kern w:val="0"/>
                <w:szCs w:val="21"/>
              </w:rPr>
            </w:pPr>
            <w:r>
              <w:rPr>
                <w:rFonts w:hint="eastAsia"/>
                <w:b/>
                <w:kern w:val="0"/>
                <w:szCs w:val="21"/>
              </w:rPr>
              <w:t>特殊精馏：</w:t>
            </w:r>
            <w:r>
              <w:rPr>
                <w:rFonts w:hint="eastAsia"/>
                <w:kern w:val="0"/>
                <w:szCs w:val="21"/>
              </w:rPr>
              <w:t xml:space="preserve"> 混合物组分的相图、萃取精馏原理、萃取剂的选择、恒沸物的特性和恒沸组成的计算</w:t>
            </w:r>
          </w:p>
          <w:p>
            <w:pPr>
              <w:ind w:firstLine="482"/>
              <w:rPr>
                <w:rFonts w:hint="eastAsia"/>
                <w:kern w:val="0"/>
                <w:szCs w:val="21"/>
              </w:rPr>
            </w:pPr>
            <w:r>
              <w:rPr>
                <w:b/>
                <w:kern w:val="0"/>
                <w:szCs w:val="21"/>
              </w:rPr>
              <w:t>重点和难点：</w:t>
            </w:r>
            <w:r>
              <w:rPr>
                <w:rFonts w:hint="eastAsia"/>
                <w:kern w:val="0"/>
                <w:szCs w:val="21"/>
              </w:rPr>
              <w:t>剩余曲线图、精馏曲线图、萃取精馏原理、恒沸组成的计算</w:t>
            </w:r>
          </w:p>
        </w:tc>
        <w:tc>
          <w:tcPr>
            <w:tcW w:w="1162" w:type="dxa"/>
            <w:shd w:val="clear" w:color="auto" w:fill="auto"/>
            <w:noWrap w:val="0"/>
            <w:vAlign w:val="center"/>
          </w:tcPr>
          <w:p>
            <w:pPr>
              <w:ind w:firstLine="0" w:firstLineChars="0"/>
              <w:rPr>
                <w:rFonts w:hint="eastAsia"/>
                <w:szCs w:val="21"/>
              </w:rPr>
            </w:pPr>
            <w:r>
              <w:rPr>
                <w:rFonts w:hint="eastAsia"/>
                <w:szCs w:val="21"/>
              </w:rPr>
              <w:t>加强科学精神和工匠精神教育</w:t>
            </w:r>
          </w:p>
        </w:tc>
        <w:tc>
          <w:tcPr>
            <w:tcW w:w="2198" w:type="dxa"/>
            <w:shd w:val="clear" w:color="auto" w:fill="auto"/>
            <w:noWrap w:val="0"/>
            <w:vAlign w:val="center"/>
          </w:tcPr>
          <w:p>
            <w:pPr>
              <w:ind w:firstLine="480"/>
              <w:rPr>
                <w:kern w:val="0"/>
                <w:szCs w:val="21"/>
              </w:rPr>
            </w:pPr>
            <w:r>
              <w:rPr>
                <w:kern w:val="0"/>
                <w:szCs w:val="21"/>
              </w:rPr>
              <w:t>能够</w:t>
            </w:r>
            <w:r>
              <w:rPr>
                <w:rFonts w:hint="eastAsia"/>
                <w:kern w:val="0"/>
                <w:szCs w:val="21"/>
              </w:rPr>
              <w:t>了解特殊精馏的分类、基本概念等主要内容</w:t>
            </w:r>
            <w:r>
              <w:rPr>
                <w:kern w:val="0"/>
                <w:szCs w:val="21"/>
              </w:rPr>
              <w:t>；能够</w:t>
            </w:r>
            <w:r>
              <w:rPr>
                <w:rFonts w:hint="eastAsia"/>
                <w:kern w:val="0"/>
                <w:szCs w:val="21"/>
              </w:rPr>
              <w:t>熟练掌握三组分相图和蒸馏边界</w:t>
            </w:r>
            <w:r>
              <w:rPr>
                <w:kern w:val="0"/>
                <w:szCs w:val="21"/>
              </w:rPr>
              <w:t>；能够</w:t>
            </w:r>
            <w:r>
              <w:rPr>
                <w:rFonts w:hint="eastAsia"/>
                <w:kern w:val="0"/>
                <w:szCs w:val="21"/>
              </w:rPr>
              <w:t>熟练掌握剩余曲线图和精馏曲线图的区别；能够理解萃取精馏基本原理</w:t>
            </w:r>
            <w:r>
              <w:rPr>
                <w:kern w:val="0"/>
                <w:szCs w:val="21"/>
              </w:rPr>
              <w:t>；能够</w:t>
            </w:r>
            <w:r>
              <w:rPr>
                <w:rFonts w:hint="eastAsia"/>
                <w:kern w:val="0"/>
                <w:szCs w:val="21"/>
              </w:rPr>
              <w:t>熟练</w:t>
            </w:r>
            <w:r>
              <w:rPr>
                <w:kern w:val="0"/>
                <w:szCs w:val="21"/>
              </w:rPr>
              <w:t>掌握</w:t>
            </w:r>
            <w:r>
              <w:rPr>
                <w:rFonts w:hint="eastAsia"/>
                <w:kern w:val="0"/>
                <w:szCs w:val="21"/>
              </w:rPr>
              <w:t>恒沸组成的计算</w:t>
            </w:r>
          </w:p>
        </w:tc>
        <w:tc>
          <w:tcPr>
            <w:tcW w:w="787" w:type="dxa"/>
            <w:shd w:val="clear" w:color="auto" w:fill="auto"/>
            <w:noWrap w:val="0"/>
            <w:vAlign w:val="center"/>
          </w:tcPr>
          <w:p>
            <w:pPr>
              <w:ind w:firstLine="0" w:firstLineChars="0"/>
              <w:rPr>
                <w:szCs w:val="21"/>
              </w:rPr>
            </w:pPr>
            <w:r>
              <w:rPr>
                <w:rFonts w:hint="eastAsia"/>
                <w:szCs w:val="21"/>
              </w:rPr>
              <w:t>4</w:t>
            </w:r>
          </w:p>
        </w:tc>
        <w:tc>
          <w:tcPr>
            <w:tcW w:w="906" w:type="dxa"/>
            <w:shd w:val="clear" w:color="auto" w:fill="auto"/>
            <w:noWrap w:val="0"/>
            <w:vAlign w:val="center"/>
          </w:tcPr>
          <w:p>
            <w:pPr>
              <w:ind w:firstLine="480"/>
              <w:rPr>
                <w:szCs w:val="21"/>
              </w:rPr>
            </w:pPr>
            <w:r>
              <w:rPr>
                <w:rFonts w:hint="eastAsia"/>
                <w:szCs w:val="21"/>
              </w:rPr>
              <w:t>讲授/讨论等</w:t>
            </w:r>
          </w:p>
        </w:tc>
        <w:tc>
          <w:tcPr>
            <w:tcW w:w="1083" w:type="dxa"/>
            <w:shd w:val="clear" w:color="auto" w:fill="auto"/>
            <w:noWrap w:val="0"/>
            <w:vAlign w:val="center"/>
          </w:tcPr>
          <w:p>
            <w:pPr>
              <w:ind w:firstLine="482"/>
              <w:jc w:val="center"/>
              <w:rPr>
                <w:kern w:val="0"/>
                <w:szCs w:val="21"/>
              </w:rPr>
            </w:pPr>
            <w:r>
              <w:rPr>
                <w:b/>
                <w:kern w:val="0"/>
                <w:szCs w:val="21"/>
              </w:rPr>
              <w:t>目标1</w:t>
            </w:r>
          </w:p>
          <w:p>
            <w:pPr>
              <w:ind w:firstLine="482"/>
              <w:jc w:val="center"/>
              <w:rPr>
                <w:b/>
                <w:kern w:val="0"/>
                <w:szCs w:val="21"/>
              </w:rPr>
            </w:pPr>
            <w:r>
              <w:rPr>
                <w:b/>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63" w:type="dxa"/>
            <w:shd w:val="clear" w:color="auto" w:fill="auto"/>
            <w:noWrap w:val="0"/>
            <w:vAlign w:val="center"/>
          </w:tcPr>
          <w:p>
            <w:pPr>
              <w:ind w:firstLine="0" w:firstLineChars="0"/>
              <w:rPr>
                <w:szCs w:val="21"/>
              </w:rPr>
            </w:pPr>
            <w:r>
              <w:rPr>
                <w:rFonts w:hint="eastAsia"/>
                <w:szCs w:val="21"/>
              </w:rPr>
              <w:t>4</w:t>
            </w:r>
          </w:p>
        </w:tc>
        <w:tc>
          <w:tcPr>
            <w:tcW w:w="2368" w:type="dxa"/>
            <w:shd w:val="clear" w:color="auto" w:fill="auto"/>
            <w:noWrap w:val="0"/>
            <w:vAlign w:val="center"/>
          </w:tcPr>
          <w:p>
            <w:pPr>
              <w:ind w:firstLine="482"/>
              <w:rPr>
                <w:kern w:val="0"/>
                <w:szCs w:val="21"/>
              </w:rPr>
            </w:pPr>
            <w:r>
              <w:rPr>
                <w:rFonts w:hint="eastAsia"/>
                <w:b/>
                <w:kern w:val="0"/>
                <w:szCs w:val="21"/>
              </w:rPr>
              <w:t>化学吸收：</w:t>
            </w:r>
            <w:r>
              <w:rPr>
                <w:rFonts w:hint="eastAsia"/>
                <w:kern w:val="0"/>
                <w:szCs w:val="21"/>
              </w:rPr>
              <w:t>吸收的分类、应用及工业流程、化学吸收的相平衡、传质系数关联式、传质速率与增强因子吸收和解吸过程的简捷计算、化学吸收过程的分析与计算、伴有化学反应时吸收塔的填料高度、气液传质设备效率的表达方法及理论模型</w:t>
            </w:r>
          </w:p>
          <w:p>
            <w:pPr>
              <w:ind w:firstLine="482"/>
              <w:rPr>
                <w:kern w:val="0"/>
                <w:szCs w:val="21"/>
              </w:rPr>
            </w:pPr>
            <w:r>
              <w:rPr>
                <w:b/>
                <w:kern w:val="0"/>
                <w:szCs w:val="21"/>
              </w:rPr>
              <w:t>重点和难点：</w:t>
            </w:r>
            <w:r>
              <w:rPr>
                <w:rFonts w:hint="eastAsia"/>
                <w:kern w:val="0"/>
                <w:szCs w:val="21"/>
              </w:rPr>
              <w:t>传质速率与增强因子、化学吸收过程的分析与计算</w:t>
            </w:r>
          </w:p>
        </w:tc>
        <w:tc>
          <w:tcPr>
            <w:tcW w:w="1162" w:type="dxa"/>
            <w:shd w:val="clear" w:color="auto" w:fill="auto"/>
            <w:noWrap w:val="0"/>
            <w:vAlign w:val="center"/>
          </w:tcPr>
          <w:p>
            <w:pPr>
              <w:ind w:firstLine="0" w:firstLineChars="0"/>
              <w:rPr>
                <w:szCs w:val="21"/>
              </w:rPr>
            </w:pPr>
            <w:r>
              <w:rPr>
                <w:rFonts w:hint="eastAsia"/>
                <w:szCs w:val="21"/>
              </w:rPr>
              <w:t>加强生态文明教育，引导学生树立崇尚自然、尊重自然的理念</w:t>
            </w:r>
          </w:p>
        </w:tc>
        <w:tc>
          <w:tcPr>
            <w:tcW w:w="2198" w:type="dxa"/>
            <w:shd w:val="clear" w:color="auto" w:fill="auto"/>
            <w:noWrap w:val="0"/>
            <w:vAlign w:val="center"/>
          </w:tcPr>
          <w:p>
            <w:pPr>
              <w:ind w:firstLine="480"/>
              <w:rPr>
                <w:szCs w:val="21"/>
              </w:rPr>
            </w:pPr>
            <w:r>
              <w:rPr>
                <w:rFonts w:hint="eastAsia"/>
                <w:kern w:val="0"/>
                <w:szCs w:val="21"/>
              </w:rPr>
              <w:t>了解吸收的分类、应用及工业流程； 掌握化学吸收的相平衡、传质系数关联式、传质速率与增强因子；熟练掌握吸收和解吸过程的简捷计算；理解化学吸收过程的分析与计算，特别是不可逆反应的化学吸收；掌握伴有化学反应时吸收塔的填料高度；理解气液传质设备效率的表达方法及理论模型</w:t>
            </w:r>
          </w:p>
        </w:tc>
        <w:tc>
          <w:tcPr>
            <w:tcW w:w="787" w:type="dxa"/>
            <w:shd w:val="clear" w:color="auto" w:fill="auto"/>
            <w:noWrap w:val="0"/>
            <w:vAlign w:val="center"/>
          </w:tcPr>
          <w:p>
            <w:pPr>
              <w:ind w:firstLine="0" w:firstLineChars="0"/>
              <w:rPr>
                <w:szCs w:val="21"/>
              </w:rPr>
            </w:pPr>
            <w:r>
              <w:rPr>
                <w:szCs w:val="21"/>
              </w:rPr>
              <w:t>8</w:t>
            </w:r>
          </w:p>
        </w:tc>
        <w:tc>
          <w:tcPr>
            <w:tcW w:w="906" w:type="dxa"/>
            <w:shd w:val="clear" w:color="auto" w:fill="auto"/>
            <w:noWrap w:val="0"/>
            <w:vAlign w:val="center"/>
          </w:tcPr>
          <w:p>
            <w:pPr>
              <w:ind w:firstLine="480"/>
              <w:rPr>
                <w:szCs w:val="21"/>
              </w:rPr>
            </w:pPr>
            <w:r>
              <w:rPr>
                <w:szCs w:val="21"/>
              </w:rPr>
              <w:t>讲授/讨论/等</w:t>
            </w:r>
          </w:p>
        </w:tc>
        <w:tc>
          <w:tcPr>
            <w:tcW w:w="1083" w:type="dxa"/>
            <w:shd w:val="clear" w:color="auto" w:fill="auto"/>
            <w:noWrap w:val="0"/>
            <w:vAlign w:val="center"/>
          </w:tcPr>
          <w:p>
            <w:pPr>
              <w:ind w:firstLine="482"/>
              <w:jc w:val="center"/>
              <w:rPr>
                <w:kern w:val="0"/>
                <w:szCs w:val="21"/>
              </w:rPr>
            </w:pPr>
            <w:r>
              <w:rPr>
                <w:b/>
                <w:kern w:val="0"/>
                <w:szCs w:val="21"/>
              </w:rPr>
              <w:t>目标1</w:t>
            </w:r>
          </w:p>
          <w:p>
            <w:pPr>
              <w:ind w:firstLine="482"/>
              <w:jc w:val="center"/>
              <w:rPr>
                <w:szCs w:val="21"/>
              </w:rPr>
            </w:pPr>
            <w:r>
              <w:rPr>
                <w:b/>
                <w:kern w:val="0"/>
                <w:szCs w:val="21"/>
              </w:rPr>
              <w:t>目标2</w:t>
            </w:r>
          </w:p>
        </w:tc>
      </w:tr>
    </w:tbl>
    <w:tbl>
      <w:tblPr>
        <w:tblStyle w:val="10"/>
        <w:tblpPr w:leftFromText="180" w:rightFromText="180" w:vertAnchor="text" w:horzAnchor="page" w:tblpX="1492" w:tblpY="4"/>
        <w:tblOverlap w:val="never"/>
        <w:tblW w:w="91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2363"/>
        <w:gridCol w:w="1102"/>
        <w:gridCol w:w="2251"/>
        <w:gridCol w:w="801"/>
        <w:gridCol w:w="906"/>
        <w:gridCol w:w="1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1" w:type="dxa"/>
            <w:shd w:val="clear" w:color="auto" w:fill="auto"/>
            <w:noWrap w:val="0"/>
            <w:vAlign w:val="center"/>
          </w:tcPr>
          <w:p>
            <w:pPr>
              <w:ind w:firstLine="0" w:firstLineChars="0"/>
              <w:rPr>
                <w:szCs w:val="21"/>
              </w:rPr>
            </w:pPr>
            <w:r>
              <w:rPr>
                <w:rFonts w:hint="eastAsia"/>
                <w:szCs w:val="21"/>
              </w:rPr>
              <w:t>5</w:t>
            </w:r>
          </w:p>
        </w:tc>
        <w:tc>
          <w:tcPr>
            <w:tcW w:w="2363" w:type="dxa"/>
            <w:shd w:val="clear" w:color="auto" w:fill="auto"/>
            <w:noWrap w:val="0"/>
            <w:vAlign w:val="center"/>
          </w:tcPr>
          <w:p>
            <w:pPr>
              <w:ind w:firstLine="482"/>
              <w:rPr>
                <w:kern w:val="0"/>
                <w:szCs w:val="21"/>
              </w:rPr>
            </w:pPr>
            <w:r>
              <w:rPr>
                <w:rFonts w:hint="eastAsia"/>
                <w:b/>
                <w:kern w:val="0"/>
                <w:szCs w:val="21"/>
              </w:rPr>
              <w:t>溶剂萃取：</w:t>
            </w:r>
            <w:r>
              <w:rPr>
                <w:rFonts w:hint="eastAsia"/>
                <w:kern w:val="0"/>
                <w:szCs w:val="21"/>
              </w:rPr>
              <w:t>相平衡关系及传质动力学、混合澄清槽、离心萃取机和萃取塔、萃取塔中的传质单元数和单元高度</w:t>
            </w:r>
          </w:p>
          <w:p>
            <w:pPr>
              <w:ind w:firstLine="482"/>
              <w:rPr>
                <w:kern w:val="0"/>
                <w:szCs w:val="21"/>
              </w:rPr>
            </w:pPr>
            <w:r>
              <w:rPr>
                <w:b/>
                <w:kern w:val="0"/>
                <w:szCs w:val="21"/>
              </w:rPr>
              <w:t>重点和难点：</w:t>
            </w:r>
            <w:r>
              <w:rPr>
                <w:rFonts w:hint="eastAsia"/>
                <w:kern w:val="0"/>
                <w:szCs w:val="21"/>
              </w:rPr>
              <w:t>相平衡关系及传质动力学等萃取的基本原理</w:t>
            </w:r>
          </w:p>
        </w:tc>
        <w:tc>
          <w:tcPr>
            <w:tcW w:w="1102" w:type="dxa"/>
            <w:shd w:val="clear" w:color="auto" w:fill="auto"/>
            <w:noWrap w:val="0"/>
            <w:vAlign w:val="center"/>
          </w:tcPr>
          <w:p>
            <w:pPr>
              <w:autoSpaceDE w:val="0"/>
              <w:autoSpaceDN w:val="0"/>
              <w:ind w:firstLine="0" w:firstLineChars="0"/>
              <w:rPr>
                <w:szCs w:val="21"/>
              </w:rPr>
            </w:pPr>
            <w:r>
              <w:rPr>
                <w:rFonts w:hint="eastAsia"/>
                <w:szCs w:val="21"/>
              </w:rPr>
              <w:t>加强科学精神和工匠精神教育</w:t>
            </w:r>
          </w:p>
        </w:tc>
        <w:tc>
          <w:tcPr>
            <w:tcW w:w="2251" w:type="dxa"/>
            <w:shd w:val="clear" w:color="auto" w:fill="auto"/>
            <w:noWrap w:val="0"/>
            <w:vAlign w:val="center"/>
          </w:tcPr>
          <w:p>
            <w:pPr>
              <w:autoSpaceDE w:val="0"/>
              <w:autoSpaceDN w:val="0"/>
              <w:ind w:firstLine="480"/>
              <w:rPr>
                <w:szCs w:val="21"/>
              </w:rPr>
            </w:pPr>
            <w:r>
              <w:rPr>
                <w:rFonts w:hint="eastAsia"/>
                <w:kern w:val="0"/>
                <w:szCs w:val="21"/>
              </w:rPr>
              <w:t>理解萃取的基本原理，如相平衡关系及传质动力学；了解几种典型的萃取设备，如混合澄清槽、离心萃取机和萃取塔；理解萃取塔中的传质单元数和单元高度</w:t>
            </w:r>
          </w:p>
        </w:tc>
        <w:tc>
          <w:tcPr>
            <w:tcW w:w="801" w:type="dxa"/>
            <w:shd w:val="clear" w:color="auto" w:fill="auto"/>
            <w:noWrap w:val="0"/>
            <w:vAlign w:val="center"/>
          </w:tcPr>
          <w:p>
            <w:pPr>
              <w:ind w:firstLine="480"/>
              <w:jc w:val="center"/>
              <w:rPr>
                <w:szCs w:val="21"/>
              </w:rPr>
            </w:pPr>
            <w:r>
              <w:rPr>
                <w:szCs w:val="21"/>
              </w:rPr>
              <w:t>4</w:t>
            </w:r>
          </w:p>
        </w:tc>
        <w:tc>
          <w:tcPr>
            <w:tcW w:w="906" w:type="dxa"/>
            <w:shd w:val="clear" w:color="auto" w:fill="auto"/>
            <w:noWrap w:val="0"/>
            <w:vAlign w:val="center"/>
          </w:tcPr>
          <w:p>
            <w:pPr>
              <w:ind w:firstLine="480"/>
              <w:rPr>
                <w:szCs w:val="21"/>
              </w:rPr>
            </w:pPr>
            <w:r>
              <w:rPr>
                <w:szCs w:val="21"/>
              </w:rPr>
              <w:t>讲授讨论/等</w:t>
            </w:r>
          </w:p>
        </w:tc>
        <w:tc>
          <w:tcPr>
            <w:tcW w:w="1083" w:type="dxa"/>
            <w:shd w:val="clear" w:color="auto" w:fill="auto"/>
            <w:noWrap w:val="0"/>
            <w:vAlign w:val="center"/>
          </w:tcPr>
          <w:p>
            <w:pPr>
              <w:ind w:firstLine="482"/>
              <w:jc w:val="center"/>
              <w:rPr>
                <w:kern w:val="0"/>
                <w:szCs w:val="21"/>
              </w:rPr>
            </w:pPr>
            <w:r>
              <w:rPr>
                <w:b/>
                <w:kern w:val="0"/>
                <w:szCs w:val="21"/>
              </w:rPr>
              <w:t>目标1</w:t>
            </w:r>
          </w:p>
          <w:p>
            <w:pPr>
              <w:ind w:firstLine="482"/>
              <w:jc w:val="center"/>
              <w:rPr>
                <w:szCs w:val="21"/>
              </w:rPr>
            </w:pPr>
            <w:r>
              <w:rPr>
                <w:b/>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1" w:type="dxa"/>
            <w:shd w:val="clear" w:color="auto" w:fill="auto"/>
            <w:noWrap w:val="0"/>
            <w:vAlign w:val="center"/>
          </w:tcPr>
          <w:p>
            <w:pPr>
              <w:ind w:firstLine="0" w:firstLineChars="0"/>
              <w:rPr>
                <w:szCs w:val="21"/>
              </w:rPr>
            </w:pPr>
            <w:r>
              <w:rPr>
                <w:szCs w:val="21"/>
              </w:rPr>
              <w:t>6</w:t>
            </w:r>
          </w:p>
        </w:tc>
        <w:tc>
          <w:tcPr>
            <w:tcW w:w="2363" w:type="dxa"/>
            <w:shd w:val="clear" w:color="auto" w:fill="auto"/>
            <w:noWrap w:val="0"/>
            <w:vAlign w:val="center"/>
          </w:tcPr>
          <w:p>
            <w:pPr>
              <w:ind w:firstLine="482"/>
              <w:rPr>
                <w:kern w:val="0"/>
                <w:szCs w:val="21"/>
              </w:rPr>
            </w:pPr>
            <w:r>
              <w:rPr>
                <w:rFonts w:hint="eastAsia"/>
                <w:b/>
                <w:kern w:val="0"/>
                <w:szCs w:val="21"/>
              </w:rPr>
              <w:t>膜分离技术：</w:t>
            </w:r>
            <w:r>
              <w:rPr>
                <w:rFonts w:hint="eastAsia"/>
                <w:kern w:val="0"/>
                <w:szCs w:val="21"/>
              </w:rPr>
              <w:t>膜分离的起源和发展、主要的膜分离单元操作、膜的微观结构和宏观形态、反渗透、超滤和电渗析等。</w:t>
            </w:r>
          </w:p>
          <w:p>
            <w:pPr>
              <w:ind w:firstLine="482"/>
              <w:rPr>
                <w:kern w:val="0"/>
                <w:szCs w:val="21"/>
              </w:rPr>
            </w:pPr>
            <w:r>
              <w:rPr>
                <w:b/>
                <w:kern w:val="0"/>
                <w:szCs w:val="21"/>
              </w:rPr>
              <w:t>重点和难点：</w:t>
            </w:r>
            <w:r>
              <w:rPr>
                <w:rFonts w:hint="eastAsia"/>
                <w:kern w:val="0"/>
                <w:szCs w:val="21"/>
              </w:rPr>
              <w:t>分离技术的工程问题及应用</w:t>
            </w:r>
          </w:p>
        </w:tc>
        <w:tc>
          <w:tcPr>
            <w:tcW w:w="1102" w:type="dxa"/>
            <w:shd w:val="clear" w:color="auto" w:fill="auto"/>
            <w:noWrap w:val="0"/>
            <w:vAlign w:val="center"/>
          </w:tcPr>
          <w:p>
            <w:pPr>
              <w:ind w:firstLine="0" w:firstLineChars="0"/>
              <w:rPr>
                <w:szCs w:val="21"/>
              </w:rPr>
            </w:pPr>
            <w:r>
              <w:rPr>
                <w:rFonts w:hint="eastAsia"/>
                <w:szCs w:val="21"/>
              </w:rPr>
              <w:t>加强生态文明教育，引导学生树立崇尚自然、尊重自然的理念</w:t>
            </w:r>
          </w:p>
        </w:tc>
        <w:tc>
          <w:tcPr>
            <w:tcW w:w="2251" w:type="dxa"/>
            <w:shd w:val="clear" w:color="auto" w:fill="auto"/>
            <w:noWrap w:val="0"/>
            <w:vAlign w:val="center"/>
          </w:tcPr>
          <w:p>
            <w:pPr>
              <w:ind w:firstLine="480"/>
              <w:rPr>
                <w:szCs w:val="21"/>
              </w:rPr>
            </w:pPr>
            <w:r>
              <w:rPr>
                <w:rFonts w:hint="eastAsia"/>
                <w:kern w:val="0"/>
                <w:szCs w:val="21"/>
              </w:rPr>
              <w:t>了解膜分离的起源和发展、主要的膜分离单元操作、膜的微观结构和宏观形态； 掌握膜分离技术的工程问题及应用，如反渗透、超滤和电渗析等。</w:t>
            </w:r>
          </w:p>
        </w:tc>
        <w:tc>
          <w:tcPr>
            <w:tcW w:w="801" w:type="dxa"/>
            <w:shd w:val="clear" w:color="auto" w:fill="auto"/>
            <w:noWrap w:val="0"/>
            <w:vAlign w:val="center"/>
          </w:tcPr>
          <w:p>
            <w:pPr>
              <w:ind w:firstLine="480"/>
              <w:jc w:val="center"/>
              <w:rPr>
                <w:szCs w:val="21"/>
              </w:rPr>
            </w:pPr>
            <w:r>
              <w:rPr>
                <w:szCs w:val="21"/>
              </w:rPr>
              <w:t>4</w:t>
            </w:r>
          </w:p>
        </w:tc>
        <w:tc>
          <w:tcPr>
            <w:tcW w:w="906" w:type="dxa"/>
            <w:shd w:val="clear" w:color="auto" w:fill="auto"/>
            <w:noWrap w:val="0"/>
            <w:vAlign w:val="center"/>
          </w:tcPr>
          <w:p>
            <w:pPr>
              <w:ind w:firstLine="480"/>
              <w:rPr>
                <w:szCs w:val="21"/>
              </w:rPr>
            </w:pPr>
            <w:r>
              <w:rPr>
                <w:szCs w:val="21"/>
              </w:rPr>
              <w:t>讲授/讨论/等</w:t>
            </w:r>
          </w:p>
        </w:tc>
        <w:tc>
          <w:tcPr>
            <w:tcW w:w="1083" w:type="dxa"/>
            <w:shd w:val="clear" w:color="auto" w:fill="auto"/>
            <w:noWrap w:val="0"/>
            <w:vAlign w:val="center"/>
          </w:tcPr>
          <w:p>
            <w:pPr>
              <w:ind w:firstLine="482"/>
              <w:jc w:val="center"/>
              <w:rPr>
                <w:szCs w:val="21"/>
              </w:rPr>
            </w:pPr>
            <w:r>
              <w:rPr>
                <w:b/>
                <w:kern w:val="0"/>
                <w:szCs w:val="21"/>
              </w:rPr>
              <w:t>目标2</w:t>
            </w:r>
          </w:p>
        </w:tc>
      </w:tr>
    </w:tbl>
    <w:p>
      <w:pPr>
        <w:ind w:firstLine="0" w:firstLineChars="0"/>
        <w:rPr>
          <w:rFonts w:hint="eastAsia"/>
        </w:rPr>
      </w:pPr>
    </w:p>
    <w:p>
      <w:pPr>
        <w:bidi w:val="0"/>
        <w:rPr>
          <w:rFonts w:hint="eastAsia"/>
          <w:b/>
          <w:bCs/>
          <w:sz w:val="28"/>
          <w:szCs w:val="28"/>
          <w:lang w:val="en-US" w:eastAsia="zh-CN"/>
        </w:rPr>
      </w:pPr>
      <w:bookmarkStart w:id="275" w:name="_Toc27793"/>
      <w:r>
        <w:rPr>
          <w:rFonts w:hint="eastAsia"/>
          <w:b/>
          <w:bCs/>
          <w:sz w:val="28"/>
          <w:szCs w:val="28"/>
          <w:lang w:val="en-US" w:eastAsia="zh-CN"/>
        </w:rPr>
        <w:t>四、课程实施</w:t>
      </w:r>
      <w:bookmarkEnd w:id="275"/>
    </w:p>
    <w:p>
      <w:pPr>
        <w:bidi w:val="0"/>
        <w:rPr>
          <w:rFonts w:hint="eastAsia"/>
          <w:b/>
          <w:bCs/>
          <w:sz w:val="24"/>
          <w:szCs w:val="24"/>
        </w:rPr>
      </w:pPr>
      <w:bookmarkStart w:id="276" w:name="_Toc12075"/>
      <w:r>
        <w:rPr>
          <w:rFonts w:hint="eastAsia"/>
          <w:b/>
          <w:bCs/>
          <w:sz w:val="24"/>
          <w:szCs w:val="24"/>
        </w:rPr>
        <w:t>（一）教学方法与教学手段</w:t>
      </w:r>
      <w:bookmarkEnd w:id="276"/>
    </w:p>
    <w:p>
      <w:pPr>
        <w:spacing w:line="360" w:lineRule="auto"/>
        <w:ind w:firstLine="480"/>
        <w:rPr>
          <w:rFonts w:hint="eastAsia"/>
        </w:rPr>
      </w:pPr>
      <w:r>
        <w:rPr>
          <w:rFonts w:hint="eastAsia"/>
        </w:rPr>
        <w:t>1.采用多媒体教学手段，配合例题的讲解及适当的思考题，保证讲课进度的同时，注意学生的掌握程度和课堂的气氛。</w:t>
      </w:r>
    </w:p>
    <w:p>
      <w:pPr>
        <w:spacing w:line="360" w:lineRule="auto"/>
        <w:ind w:firstLine="480"/>
        <w:rPr>
          <w:rFonts w:hint="eastAsia"/>
        </w:rPr>
      </w:pPr>
      <w:r>
        <w:rPr>
          <w:rFonts w:hint="eastAsia"/>
        </w:rPr>
        <w:t>2.课程讲授与启案例教学、课堂讨论和线上网络教学等多种教学方式结合，实行互动研究型教学，重点培养学生的理论素养和工程分析能力。因此，本课程要求课前必须阅读教材的相关部分和参考文献；课上主动参与讨论；课后按时完成布置的作业，积极进行教学互动交流。</w:t>
      </w:r>
    </w:p>
    <w:p>
      <w:pPr>
        <w:bidi w:val="0"/>
        <w:rPr>
          <w:rFonts w:hint="eastAsia"/>
          <w:b/>
          <w:bCs/>
          <w:sz w:val="28"/>
          <w:szCs w:val="28"/>
        </w:rPr>
      </w:pPr>
      <w:bookmarkStart w:id="277" w:name="_Toc31615"/>
      <w:r>
        <w:rPr>
          <w:rFonts w:hint="eastAsia"/>
          <w:b/>
          <w:bCs/>
          <w:sz w:val="28"/>
          <w:szCs w:val="28"/>
          <w:lang w:eastAsia="zh-CN"/>
        </w:rPr>
        <w:t>五、</w:t>
      </w:r>
      <w:r>
        <w:rPr>
          <w:rFonts w:hint="eastAsia"/>
          <w:b/>
          <w:bCs/>
          <w:sz w:val="28"/>
          <w:szCs w:val="28"/>
        </w:rPr>
        <w:t>课程实施与保障</w:t>
      </w:r>
      <w:bookmarkEnd w:id="277"/>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273"/>
        <w:gridCol w:w="6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3" w:type="dxa"/>
            <w:gridSpan w:val="2"/>
            <w:tcBorders>
              <w:top w:val="single" w:color="auto" w:sz="8" w:space="0"/>
              <w:left w:val="single" w:color="auto" w:sz="8" w:space="0"/>
              <w:right w:val="single" w:color="auto" w:sz="8" w:space="0"/>
            </w:tcBorders>
            <w:noWrap w:val="0"/>
            <w:tcMar>
              <w:left w:w="28" w:type="dxa"/>
              <w:right w:w="28" w:type="dxa"/>
            </w:tcMar>
            <w:vAlign w:val="center"/>
          </w:tcPr>
          <w:p>
            <w:pPr>
              <w:spacing w:line="276" w:lineRule="auto"/>
              <w:ind w:firstLine="0" w:firstLineChars="0"/>
              <w:jc w:val="center"/>
              <w:rPr>
                <w:szCs w:val="21"/>
              </w:rPr>
            </w:pPr>
            <w:r>
              <w:rPr>
                <w:bCs/>
                <w:szCs w:val="21"/>
              </w:rPr>
              <w:t>主要教学环节</w:t>
            </w:r>
          </w:p>
        </w:tc>
        <w:tc>
          <w:tcPr>
            <w:tcW w:w="6817" w:type="dxa"/>
            <w:tcBorders>
              <w:top w:val="single" w:color="auto" w:sz="8" w:space="0"/>
              <w:left w:val="single" w:color="auto" w:sz="8" w:space="0"/>
              <w:right w:val="single" w:color="auto" w:sz="8" w:space="0"/>
            </w:tcBorders>
            <w:noWrap w:val="0"/>
            <w:vAlign w:val="center"/>
          </w:tcPr>
          <w:p>
            <w:pPr>
              <w:spacing w:line="276" w:lineRule="auto"/>
              <w:ind w:firstLine="0" w:firstLineChars="0"/>
              <w:jc w:val="center"/>
              <w:rPr>
                <w:szCs w:val="21"/>
              </w:rPr>
            </w:pPr>
            <w:r>
              <w:rPr>
                <w:bCs/>
                <w:szCs w:val="21"/>
              </w:rPr>
              <w:t>质量</w:t>
            </w:r>
            <w:r>
              <w:rPr>
                <w:rFonts w:hint="eastAsia"/>
                <w:bCs/>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6" w:hRule="atLeast"/>
          <w:jc w:val="center"/>
        </w:trPr>
        <w:tc>
          <w:tcPr>
            <w:tcW w:w="1010" w:type="dxa"/>
            <w:tcBorders>
              <w:left w:val="single" w:color="auto" w:sz="8" w:space="0"/>
            </w:tcBorders>
            <w:noWrap w:val="0"/>
            <w:vAlign w:val="center"/>
          </w:tcPr>
          <w:p>
            <w:pPr>
              <w:spacing w:line="276" w:lineRule="auto"/>
              <w:ind w:firstLine="480"/>
              <w:jc w:val="center"/>
              <w:rPr>
                <w:szCs w:val="21"/>
              </w:rPr>
            </w:pPr>
            <w:r>
              <w:rPr>
                <w:szCs w:val="21"/>
              </w:rPr>
              <w:t>1</w:t>
            </w:r>
          </w:p>
        </w:tc>
        <w:tc>
          <w:tcPr>
            <w:tcW w:w="1273" w:type="dxa"/>
            <w:noWrap w:val="0"/>
            <w:tcMar>
              <w:left w:w="28" w:type="dxa"/>
              <w:right w:w="28" w:type="dxa"/>
            </w:tcMar>
            <w:vAlign w:val="center"/>
          </w:tcPr>
          <w:p>
            <w:pPr>
              <w:spacing w:line="276" w:lineRule="auto"/>
              <w:ind w:firstLine="0" w:firstLineChars="0"/>
              <w:jc w:val="center"/>
              <w:rPr>
                <w:szCs w:val="21"/>
              </w:rPr>
            </w:pPr>
            <w:r>
              <w:rPr>
                <w:szCs w:val="21"/>
              </w:rPr>
              <w:t>备课</w:t>
            </w:r>
          </w:p>
        </w:tc>
        <w:tc>
          <w:tcPr>
            <w:tcW w:w="6817" w:type="dxa"/>
            <w:tcBorders>
              <w:right w:val="single" w:color="auto" w:sz="8" w:space="0"/>
            </w:tcBorders>
            <w:noWrap w:val="0"/>
            <w:vAlign w:val="center"/>
          </w:tcPr>
          <w:p>
            <w:pPr>
              <w:spacing w:line="276" w:lineRule="auto"/>
              <w:ind w:firstLine="480"/>
              <w:rPr>
                <w:szCs w:val="21"/>
              </w:rPr>
            </w:pPr>
            <w:r>
              <w:rPr>
                <w:szCs w:val="21"/>
              </w:rPr>
              <w:t>（1）掌握本课程教学大纲内容，严格按照教学大纲要求进行课程教学内容的组织。</w:t>
            </w:r>
          </w:p>
          <w:p>
            <w:pPr>
              <w:spacing w:line="276" w:lineRule="auto"/>
              <w:ind w:firstLine="480"/>
              <w:rPr>
                <w:szCs w:val="21"/>
              </w:rPr>
            </w:pPr>
            <w:r>
              <w:rPr>
                <w:szCs w:val="21"/>
              </w:rPr>
              <w:t>（2）熟悉教材各章节，借助专业书籍资料，并依据教学大纲编写授课计划，编写每次授课的教案。教案内容包括章节标题、教学目的、教法设计、课堂类型、时间分配、授课内容、课后作业、教学效果分析等方面。</w:t>
            </w:r>
          </w:p>
          <w:p>
            <w:pPr>
              <w:spacing w:line="276" w:lineRule="auto"/>
              <w:ind w:firstLine="480"/>
              <w:rPr>
                <w:szCs w:val="21"/>
              </w:rPr>
            </w:pPr>
            <w:r>
              <w:rPr>
                <w:szCs w:val="21"/>
              </w:rPr>
              <w:t>（3）</w:t>
            </w:r>
            <w:r>
              <w:rPr>
                <w:rFonts w:hint="eastAsia"/>
                <w:szCs w:val="21"/>
              </w:rPr>
              <w:t>根据</w:t>
            </w:r>
            <w:r>
              <w:rPr>
                <w:szCs w:val="21"/>
              </w:rPr>
              <w:t>各部分</w:t>
            </w:r>
            <w:r>
              <w:rPr>
                <w:rFonts w:hint="eastAsia"/>
                <w:szCs w:val="21"/>
              </w:rPr>
              <w:t>教学</w:t>
            </w:r>
            <w:r>
              <w:rPr>
                <w:szCs w:val="21"/>
              </w:rPr>
              <w:t>内容</w:t>
            </w:r>
            <w:r>
              <w:rPr>
                <w:rFonts w:hint="eastAsia"/>
                <w:szCs w:val="21"/>
              </w:rPr>
              <w:t>，</w:t>
            </w:r>
            <w:r>
              <w:rPr>
                <w:szCs w:val="21"/>
              </w:rPr>
              <w:t>构思授课思路、技巧</w:t>
            </w:r>
            <w:r>
              <w:rPr>
                <w:rFonts w:hint="eastAsia"/>
                <w:szCs w:val="21"/>
              </w:rPr>
              <w:t>，选择合适的</w:t>
            </w:r>
            <w:r>
              <w:rPr>
                <w:szCs w:val="21"/>
              </w:rPr>
              <w:t>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0" w:type="dxa"/>
            <w:tcBorders>
              <w:left w:val="single" w:color="auto" w:sz="8" w:space="0"/>
            </w:tcBorders>
            <w:noWrap w:val="0"/>
            <w:vAlign w:val="center"/>
          </w:tcPr>
          <w:p>
            <w:pPr>
              <w:spacing w:line="276" w:lineRule="auto"/>
              <w:ind w:firstLine="480"/>
              <w:jc w:val="center"/>
              <w:rPr>
                <w:szCs w:val="21"/>
              </w:rPr>
            </w:pPr>
            <w:r>
              <w:rPr>
                <w:szCs w:val="21"/>
              </w:rPr>
              <w:t>2</w:t>
            </w:r>
          </w:p>
        </w:tc>
        <w:tc>
          <w:tcPr>
            <w:tcW w:w="1273" w:type="dxa"/>
            <w:noWrap w:val="0"/>
            <w:tcMar>
              <w:left w:w="28" w:type="dxa"/>
              <w:right w:w="28" w:type="dxa"/>
            </w:tcMar>
            <w:vAlign w:val="center"/>
          </w:tcPr>
          <w:p>
            <w:pPr>
              <w:spacing w:line="276" w:lineRule="auto"/>
              <w:ind w:firstLine="0" w:firstLineChars="0"/>
              <w:jc w:val="center"/>
              <w:rPr>
                <w:szCs w:val="21"/>
              </w:rPr>
            </w:pPr>
            <w:r>
              <w:rPr>
                <w:szCs w:val="21"/>
              </w:rPr>
              <w:t>讲授</w:t>
            </w:r>
          </w:p>
        </w:tc>
        <w:tc>
          <w:tcPr>
            <w:tcW w:w="6817" w:type="dxa"/>
            <w:tcBorders>
              <w:right w:val="single" w:color="auto" w:sz="8" w:space="0"/>
            </w:tcBorders>
            <w:noWrap w:val="0"/>
            <w:vAlign w:val="center"/>
          </w:tcPr>
          <w:p>
            <w:pPr>
              <w:spacing w:line="276" w:lineRule="auto"/>
              <w:ind w:firstLine="480"/>
              <w:rPr>
                <w:szCs w:val="21"/>
              </w:rPr>
            </w:pPr>
            <w:r>
              <w:rPr>
                <w:rFonts w:hint="eastAsia"/>
                <w:szCs w:val="21"/>
              </w:rPr>
              <w:t>（1）</w:t>
            </w:r>
            <w:r>
              <w:rPr>
                <w:szCs w:val="21"/>
              </w:rPr>
              <w:t>要点准确</w:t>
            </w:r>
            <w:r>
              <w:rPr>
                <w:rFonts w:hint="eastAsia"/>
                <w:szCs w:val="21"/>
              </w:rPr>
              <w:t>、</w:t>
            </w:r>
            <w:r>
              <w:rPr>
                <w:szCs w:val="21"/>
              </w:rPr>
              <w:t>推理正确</w:t>
            </w:r>
            <w:r>
              <w:rPr>
                <w:rFonts w:hint="eastAsia"/>
                <w:szCs w:val="21"/>
              </w:rPr>
              <w:t>、</w:t>
            </w:r>
            <w:r>
              <w:rPr>
                <w:szCs w:val="21"/>
              </w:rPr>
              <w:t>条理清晰</w:t>
            </w:r>
            <w:r>
              <w:rPr>
                <w:rFonts w:hint="eastAsia"/>
                <w:szCs w:val="21"/>
              </w:rPr>
              <w:t>、</w:t>
            </w:r>
            <w:r>
              <w:rPr>
                <w:szCs w:val="21"/>
              </w:rPr>
              <w:t>重点突出，</w:t>
            </w:r>
            <w:r>
              <w:rPr>
                <w:rFonts w:hint="eastAsia"/>
                <w:szCs w:val="21"/>
              </w:rPr>
              <w:t>能够</w:t>
            </w:r>
            <w:r>
              <w:rPr>
                <w:szCs w:val="21"/>
              </w:rPr>
              <w:t>理论联系实际，熟练地解答和讲解例题。</w:t>
            </w:r>
          </w:p>
          <w:p>
            <w:pPr>
              <w:spacing w:line="276" w:lineRule="auto"/>
              <w:ind w:firstLine="480"/>
              <w:rPr>
                <w:szCs w:val="21"/>
              </w:rPr>
            </w:pPr>
            <w:r>
              <w:rPr>
                <w:rFonts w:hint="eastAsia"/>
                <w:szCs w:val="21"/>
              </w:rPr>
              <w:t>（2）</w:t>
            </w:r>
            <w:r>
              <w:rPr>
                <w:szCs w:val="21"/>
              </w:rPr>
              <w:t>采用多种教学方式（如启发式教学、案例分析教学、讨论式教学、多媒体示范教学等），注重培养学生发现、分析和解决问题的能力。</w:t>
            </w:r>
          </w:p>
          <w:p>
            <w:pPr>
              <w:spacing w:line="276" w:lineRule="auto"/>
              <w:ind w:firstLine="480"/>
              <w:rPr>
                <w:szCs w:val="21"/>
              </w:rPr>
            </w:pPr>
            <w:r>
              <w:rPr>
                <w:rFonts w:hint="eastAsia"/>
                <w:szCs w:val="21"/>
              </w:rPr>
              <w:t>（3）能够采用现代信息技术辅助</w:t>
            </w:r>
            <w:r>
              <w:rPr>
                <w:szCs w:val="21"/>
              </w:rPr>
              <w:t>教学。</w:t>
            </w:r>
          </w:p>
          <w:p>
            <w:pPr>
              <w:spacing w:line="276" w:lineRule="auto"/>
              <w:ind w:firstLine="480"/>
              <w:rPr>
                <w:szCs w:val="21"/>
              </w:rPr>
            </w:pPr>
            <w:r>
              <w:rPr>
                <w:rFonts w:hint="eastAsia"/>
                <w:szCs w:val="21"/>
              </w:rPr>
              <w:t>（4）</w:t>
            </w:r>
            <w:r>
              <w:rPr>
                <w:szCs w:val="21"/>
              </w:rPr>
              <w:t>表达方式</w:t>
            </w:r>
            <w:r>
              <w:rPr>
                <w:rFonts w:hint="eastAsia"/>
                <w:szCs w:val="21"/>
              </w:rPr>
              <w:t>应能</w:t>
            </w:r>
            <w:r>
              <w:rPr>
                <w:szCs w:val="21"/>
              </w:rPr>
              <w:t>便于学生理解、接受，力求形象生动，使学生在掌握知识的过程中，保持较为浓厚的</w:t>
            </w:r>
            <w:r>
              <w:rPr>
                <w:rFonts w:hint="eastAsia"/>
                <w:szCs w:val="21"/>
              </w:rPr>
              <w:t>学习</w:t>
            </w:r>
            <w:r>
              <w:rPr>
                <w:szCs w:val="21"/>
              </w:rPr>
              <w:t>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jc w:val="center"/>
        </w:trPr>
        <w:tc>
          <w:tcPr>
            <w:tcW w:w="1010" w:type="dxa"/>
            <w:tcBorders>
              <w:left w:val="single" w:color="auto" w:sz="8" w:space="0"/>
            </w:tcBorders>
            <w:noWrap w:val="0"/>
            <w:vAlign w:val="center"/>
          </w:tcPr>
          <w:p>
            <w:pPr>
              <w:spacing w:line="276" w:lineRule="auto"/>
              <w:ind w:firstLine="480"/>
              <w:jc w:val="center"/>
              <w:rPr>
                <w:szCs w:val="21"/>
              </w:rPr>
            </w:pPr>
            <w:r>
              <w:rPr>
                <w:szCs w:val="21"/>
              </w:rPr>
              <w:t>3</w:t>
            </w:r>
          </w:p>
        </w:tc>
        <w:tc>
          <w:tcPr>
            <w:tcW w:w="1273" w:type="dxa"/>
            <w:noWrap w:val="0"/>
            <w:tcMar>
              <w:left w:w="28" w:type="dxa"/>
              <w:right w:w="28" w:type="dxa"/>
            </w:tcMar>
            <w:vAlign w:val="center"/>
          </w:tcPr>
          <w:p>
            <w:pPr>
              <w:spacing w:line="276" w:lineRule="auto"/>
              <w:ind w:firstLine="0" w:firstLineChars="0"/>
              <w:jc w:val="center"/>
              <w:rPr>
                <w:szCs w:val="21"/>
              </w:rPr>
            </w:pPr>
            <w:r>
              <w:rPr>
                <w:szCs w:val="21"/>
              </w:rPr>
              <w:t>作业布置与批改</w:t>
            </w:r>
          </w:p>
        </w:tc>
        <w:tc>
          <w:tcPr>
            <w:tcW w:w="6817" w:type="dxa"/>
            <w:tcBorders>
              <w:right w:val="single" w:color="auto" w:sz="8" w:space="0"/>
            </w:tcBorders>
            <w:noWrap w:val="0"/>
            <w:vAlign w:val="center"/>
          </w:tcPr>
          <w:p>
            <w:pPr>
              <w:spacing w:line="276" w:lineRule="auto"/>
              <w:ind w:firstLine="480"/>
              <w:rPr>
                <w:szCs w:val="21"/>
              </w:rPr>
            </w:pPr>
            <w:r>
              <w:rPr>
                <w:szCs w:val="21"/>
              </w:rPr>
              <w:t>学生必须完成</w:t>
            </w:r>
            <w:r>
              <w:rPr>
                <w:rFonts w:hint="eastAsia"/>
                <w:szCs w:val="21"/>
              </w:rPr>
              <w:t>规定</w:t>
            </w:r>
            <w:r>
              <w:rPr>
                <w:szCs w:val="21"/>
              </w:rPr>
              <w:t>数量的作业</w:t>
            </w:r>
            <w:r>
              <w:rPr>
                <w:rFonts w:hint="eastAsia"/>
                <w:szCs w:val="21"/>
              </w:rPr>
              <w:t>，</w:t>
            </w:r>
            <w:r>
              <w:rPr>
                <w:szCs w:val="21"/>
              </w:rPr>
              <w:t>作业必须达到以下基本要求：</w:t>
            </w:r>
          </w:p>
          <w:p>
            <w:pPr>
              <w:spacing w:line="276" w:lineRule="auto"/>
              <w:ind w:firstLine="480"/>
              <w:rPr>
                <w:szCs w:val="21"/>
              </w:rPr>
            </w:pPr>
            <w:r>
              <w:rPr>
                <w:rFonts w:hint="eastAsia"/>
                <w:szCs w:val="21"/>
              </w:rPr>
              <w:t>（1）</w:t>
            </w:r>
            <w:r>
              <w:rPr>
                <w:szCs w:val="21"/>
              </w:rPr>
              <w:t>按时按量完成作业，不缺交，不抄袭</w:t>
            </w:r>
            <w:r>
              <w:rPr>
                <w:rFonts w:hint="eastAsia"/>
                <w:szCs w:val="21"/>
              </w:rPr>
              <w:t>。</w:t>
            </w:r>
          </w:p>
          <w:p>
            <w:pPr>
              <w:spacing w:line="276" w:lineRule="auto"/>
              <w:ind w:firstLine="480"/>
              <w:rPr>
                <w:szCs w:val="21"/>
              </w:rPr>
            </w:pPr>
            <w:r>
              <w:rPr>
                <w:rFonts w:hint="eastAsia"/>
                <w:szCs w:val="21"/>
              </w:rPr>
              <w:t>（2）书写</w:t>
            </w:r>
            <w:r>
              <w:rPr>
                <w:szCs w:val="21"/>
              </w:rPr>
              <w:t>规范</w:t>
            </w:r>
            <w:r>
              <w:rPr>
                <w:rFonts w:hint="eastAsia"/>
                <w:szCs w:val="21"/>
              </w:rPr>
              <w:t>、</w:t>
            </w:r>
            <w:r>
              <w:rPr>
                <w:szCs w:val="21"/>
              </w:rPr>
              <w:t>清晰</w:t>
            </w:r>
            <w:r>
              <w:rPr>
                <w:rFonts w:hint="eastAsia"/>
                <w:szCs w:val="21"/>
              </w:rPr>
              <w:t>。</w:t>
            </w:r>
          </w:p>
          <w:p>
            <w:pPr>
              <w:spacing w:line="276" w:lineRule="auto"/>
              <w:ind w:firstLine="480"/>
              <w:rPr>
                <w:szCs w:val="21"/>
              </w:rPr>
            </w:pPr>
            <w:r>
              <w:rPr>
                <w:rFonts w:hint="eastAsia"/>
                <w:szCs w:val="21"/>
              </w:rPr>
              <w:t>（3）</w:t>
            </w:r>
            <w:r>
              <w:rPr>
                <w:szCs w:val="21"/>
              </w:rPr>
              <w:t>解题方法和步骤正确。</w:t>
            </w:r>
          </w:p>
          <w:p>
            <w:pPr>
              <w:spacing w:line="276" w:lineRule="auto"/>
              <w:ind w:firstLine="480"/>
              <w:rPr>
                <w:szCs w:val="21"/>
              </w:rPr>
            </w:pPr>
            <w:r>
              <w:rPr>
                <w:szCs w:val="21"/>
              </w:rPr>
              <w:t>教师批改</w:t>
            </w:r>
            <w:r>
              <w:rPr>
                <w:rFonts w:hint="eastAsia"/>
                <w:szCs w:val="21"/>
              </w:rPr>
              <w:t>和</w:t>
            </w:r>
            <w:r>
              <w:rPr>
                <w:szCs w:val="21"/>
              </w:rPr>
              <w:t>讲评作业要求如下：</w:t>
            </w:r>
          </w:p>
          <w:p>
            <w:pPr>
              <w:spacing w:line="276" w:lineRule="auto"/>
              <w:ind w:firstLine="480"/>
              <w:rPr>
                <w:szCs w:val="21"/>
              </w:rPr>
            </w:pPr>
            <w:r>
              <w:rPr>
                <w:rFonts w:hint="eastAsia"/>
                <w:szCs w:val="21"/>
              </w:rPr>
              <w:t>（1）</w:t>
            </w:r>
            <w:r>
              <w:rPr>
                <w:szCs w:val="21"/>
              </w:rPr>
              <w:t>学生的作业要</w:t>
            </w:r>
            <w:r>
              <w:rPr>
                <w:rFonts w:hint="eastAsia"/>
                <w:szCs w:val="21"/>
              </w:rPr>
              <w:t>按时</w:t>
            </w:r>
            <w:r>
              <w:rPr>
                <w:szCs w:val="21"/>
              </w:rPr>
              <w:t>全</w:t>
            </w:r>
            <w:r>
              <w:rPr>
                <w:rFonts w:hint="eastAsia"/>
                <w:szCs w:val="21"/>
              </w:rPr>
              <w:t>部</w:t>
            </w:r>
            <w:r>
              <w:rPr>
                <w:szCs w:val="21"/>
              </w:rPr>
              <w:t>批改，并</w:t>
            </w:r>
            <w:r>
              <w:rPr>
                <w:rFonts w:hint="eastAsia"/>
                <w:szCs w:val="21"/>
              </w:rPr>
              <w:t>及时进行</w:t>
            </w:r>
            <w:r>
              <w:rPr>
                <w:szCs w:val="21"/>
              </w:rPr>
              <w:t>讲评</w:t>
            </w:r>
            <w:r>
              <w:rPr>
                <w:rFonts w:hint="eastAsia"/>
                <w:szCs w:val="21"/>
              </w:rPr>
              <w:t>。</w:t>
            </w:r>
          </w:p>
          <w:p>
            <w:pPr>
              <w:spacing w:line="276" w:lineRule="auto"/>
              <w:ind w:firstLine="480"/>
              <w:rPr>
                <w:szCs w:val="21"/>
              </w:rPr>
            </w:pPr>
            <w:r>
              <w:rPr>
                <w:rFonts w:hint="eastAsia"/>
                <w:szCs w:val="21"/>
              </w:rPr>
              <w:t>（2）</w:t>
            </w:r>
            <w:r>
              <w:rPr>
                <w:szCs w:val="21"/>
              </w:rPr>
              <w:t>教师批改</w:t>
            </w:r>
            <w:r>
              <w:rPr>
                <w:rFonts w:hint="eastAsia"/>
                <w:szCs w:val="21"/>
              </w:rPr>
              <w:t>和</w:t>
            </w:r>
            <w:r>
              <w:rPr>
                <w:szCs w:val="21"/>
              </w:rPr>
              <w:t>讲评作业要认真、细致，按百分制评定成绩并写明日期</w:t>
            </w:r>
            <w:r>
              <w:rPr>
                <w:rFonts w:hint="eastAsia"/>
                <w:szCs w:val="21"/>
              </w:rPr>
              <w:t>。</w:t>
            </w:r>
          </w:p>
          <w:p>
            <w:pPr>
              <w:spacing w:line="276" w:lineRule="auto"/>
              <w:ind w:firstLine="480"/>
              <w:rPr>
                <w:szCs w:val="21"/>
              </w:rPr>
            </w:pPr>
            <w:r>
              <w:rPr>
                <w:rFonts w:hint="eastAsia"/>
                <w:szCs w:val="21"/>
              </w:rPr>
              <w:t>（3）</w:t>
            </w:r>
            <w:r>
              <w:rPr>
                <w:szCs w:val="21"/>
              </w:rPr>
              <w:t>学生作业的平均成绩</w:t>
            </w:r>
            <w:r>
              <w:rPr>
                <w:rFonts w:hint="eastAsia"/>
                <w:szCs w:val="21"/>
              </w:rPr>
              <w:t>应</w:t>
            </w:r>
            <w:r>
              <w:rPr>
                <w:szCs w:val="21"/>
              </w:rPr>
              <w:t>作为本课程总评成绩中平时成绩的重要组成部分。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1010" w:type="dxa"/>
            <w:tcBorders>
              <w:left w:val="single" w:color="auto" w:sz="8" w:space="0"/>
            </w:tcBorders>
            <w:noWrap w:val="0"/>
            <w:vAlign w:val="center"/>
          </w:tcPr>
          <w:p>
            <w:pPr>
              <w:spacing w:line="276" w:lineRule="auto"/>
              <w:ind w:firstLine="480"/>
              <w:jc w:val="center"/>
              <w:rPr>
                <w:szCs w:val="21"/>
              </w:rPr>
            </w:pPr>
            <w:r>
              <w:rPr>
                <w:szCs w:val="21"/>
              </w:rPr>
              <w:t>4</w:t>
            </w:r>
          </w:p>
        </w:tc>
        <w:tc>
          <w:tcPr>
            <w:tcW w:w="1273" w:type="dxa"/>
            <w:noWrap w:val="0"/>
            <w:tcMar>
              <w:left w:w="28" w:type="dxa"/>
              <w:right w:w="28" w:type="dxa"/>
            </w:tcMar>
            <w:vAlign w:val="center"/>
          </w:tcPr>
          <w:p>
            <w:pPr>
              <w:spacing w:line="276" w:lineRule="auto"/>
              <w:ind w:firstLine="0" w:firstLineChars="0"/>
              <w:jc w:val="center"/>
              <w:rPr>
                <w:szCs w:val="21"/>
              </w:rPr>
            </w:pPr>
            <w:r>
              <w:rPr>
                <w:szCs w:val="21"/>
              </w:rPr>
              <w:t>课外答疑</w:t>
            </w:r>
          </w:p>
        </w:tc>
        <w:tc>
          <w:tcPr>
            <w:tcW w:w="6817" w:type="dxa"/>
            <w:tcBorders>
              <w:right w:val="single" w:color="auto" w:sz="8" w:space="0"/>
            </w:tcBorders>
            <w:noWrap w:val="0"/>
            <w:vAlign w:val="center"/>
          </w:tcPr>
          <w:p>
            <w:pPr>
              <w:spacing w:line="276" w:lineRule="auto"/>
              <w:ind w:firstLine="480"/>
              <w:rPr>
                <w:szCs w:val="21"/>
              </w:rPr>
            </w:pPr>
            <w:r>
              <w:rPr>
                <w:szCs w:val="21"/>
              </w:rPr>
              <w:t>为了解学生的学习情况，帮助学生</w:t>
            </w:r>
            <w:r>
              <w:rPr>
                <w:rFonts w:hint="eastAsia"/>
                <w:szCs w:val="21"/>
              </w:rPr>
              <w:t>更好地</w:t>
            </w:r>
            <w:r>
              <w:rPr>
                <w:szCs w:val="21"/>
              </w:rPr>
              <w:t>理解和消化所学知识、改进学习方法和思维方式，培养其独立思考问题的能力，任课教师</w:t>
            </w:r>
            <w:r>
              <w:rPr>
                <w:rFonts w:hint="eastAsia"/>
                <w:szCs w:val="21"/>
              </w:rPr>
              <w:t>需</w:t>
            </w:r>
            <w:r>
              <w:rPr>
                <w:szCs w:val="21"/>
              </w:rPr>
              <w:t>每周安排</w:t>
            </w:r>
            <w:r>
              <w:rPr>
                <w:rFonts w:hint="eastAsia"/>
                <w:szCs w:val="21"/>
              </w:rPr>
              <w:t>一定</w:t>
            </w:r>
            <w:r>
              <w:rPr>
                <w:szCs w:val="21"/>
              </w:rPr>
              <w:t>时间进行课外答疑与辅导。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010" w:type="dxa"/>
            <w:tcBorders>
              <w:left w:val="single" w:color="auto" w:sz="8" w:space="0"/>
            </w:tcBorders>
            <w:noWrap w:val="0"/>
            <w:vAlign w:val="center"/>
          </w:tcPr>
          <w:p>
            <w:pPr>
              <w:spacing w:line="276" w:lineRule="auto"/>
              <w:ind w:firstLine="480"/>
              <w:jc w:val="center"/>
              <w:rPr>
                <w:szCs w:val="21"/>
              </w:rPr>
            </w:pPr>
            <w:r>
              <w:rPr>
                <w:szCs w:val="21"/>
              </w:rPr>
              <w:t>5</w:t>
            </w:r>
          </w:p>
        </w:tc>
        <w:tc>
          <w:tcPr>
            <w:tcW w:w="1273" w:type="dxa"/>
            <w:noWrap w:val="0"/>
            <w:tcMar>
              <w:left w:w="28" w:type="dxa"/>
              <w:right w:w="28" w:type="dxa"/>
            </w:tcMar>
            <w:vAlign w:val="center"/>
          </w:tcPr>
          <w:p>
            <w:pPr>
              <w:spacing w:line="276" w:lineRule="auto"/>
              <w:ind w:firstLine="0" w:firstLineChars="0"/>
              <w:jc w:val="center"/>
              <w:rPr>
                <w:szCs w:val="21"/>
              </w:rPr>
            </w:pPr>
            <w:r>
              <w:rPr>
                <w:szCs w:val="21"/>
              </w:rPr>
              <w:t>成绩考核</w:t>
            </w:r>
          </w:p>
        </w:tc>
        <w:tc>
          <w:tcPr>
            <w:tcW w:w="6817" w:type="dxa"/>
            <w:tcBorders>
              <w:right w:val="single" w:color="auto" w:sz="8" w:space="0"/>
            </w:tcBorders>
            <w:noWrap w:val="0"/>
            <w:vAlign w:val="center"/>
          </w:tcPr>
          <w:p>
            <w:pPr>
              <w:spacing w:line="276" w:lineRule="auto"/>
              <w:ind w:firstLine="480"/>
              <w:rPr>
                <w:szCs w:val="21"/>
              </w:rPr>
            </w:pPr>
            <w:r>
              <w:rPr>
                <w:szCs w:val="21"/>
              </w:rPr>
              <w:t>本课程考核的方式</w:t>
            </w:r>
            <w:r>
              <w:rPr>
                <w:rFonts w:hint="eastAsia"/>
                <w:szCs w:val="21"/>
              </w:rPr>
              <w:t>为开卷笔试</w:t>
            </w:r>
            <w:r>
              <w:rPr>
                <w:szCs w:val="21"/>
              </w:rPr>
              <w:t>。考试采取教考分离，监考</w:t>
            </w:r>
            <w:r>
              <w:rPr>
                <w:rFonts w:hint="eastAsia"/>
                <w:szCs w:val="21"/>
              </w:rPr>
              <w:t>由学院</w:t>
            </w:r>
            <w:r>
              <w:rPr>
                <w:szCs w:val="21"/>
              </w:rPr>
              <w:t>统一安排。有下列情况之一者，总评成绩为不及格：</w:t>
            </w:r>
          </w:p>
          <w:p>
            <w:pPr>
              <w:spacing w:line="276" w:lineRule="auto"/>
              <w:ind w:firstLine="480"/>
              <w:rPr>
                <w:szCs w:val="21"/>
              </w:rPr>
            </w:pPr>
            <w:r>
              <w:rPr>
                <w:rFonts w:hint="eastAsia"/>
                <w:szCs w:val="21"/>
              </w:rPr>
              <w:t>（1）</w:t>
            </w:r>
            <w:r>
              <w:rPr>
                <w:szCs w:val="21"/>
              </w:rPr>
              <w:t>缺交作业次数达1/3以上者</w:t>
            </w:r>
            <w:r>
              <w:rPr>
                <w:rFonts w:hint="eastAsia"/>
                <w:szCs w:val="21"/>
              </w:rPr>
              <w:t>。</w:t>
            </w:r>
          </w:p>
          <w:p>
            <w:pPr>
              <w:spacing w:line="276" w:lineRule="auto"/>
              <w:ind w:firstLine="480"/>
              <w:rPr>
                <w:szCs w:val="21"/>
              </w:rPr>
            </w:pPr>
            <w:r>
              <w:rPr>
                <w:rFonts w:hint="eastAsia"/>
                <w:szCs w:val="21"/>
              </w:rPr>
              <w:t>（2）</w:t>
            </w:r>
            <w:r>
              <w:rPr>
                <w:szCs w:val="21"/>
              </w:rPr>
              <w:t>缺课次数达本学期总授课学时的1/3以上者</w:t>
            </w:r>
            <w:r>
              <w:rPr>
                <w:rFonts w:hint="eastAsia"/>
                <w:szCs w:val="21"/>
              </w:rPr>
              <w:t>。</w:t>
            </w:r>
          </w:p>
          <w:p>
            <w:pPr>
              <w:spacing w:line="276" w:lineRule="auto"/>
              <w:ind w:firstLine="480"/>
              <w:rPr>
                <w:szCs w:val="21"/>
              </w:rPr>
            </w:pPr>
            <w:r>
              <w:rPr>
                <w:rFonts w:hint="eastAsia"/>
                <w:szCs w:val="21"/>
              </w:rPr>
              <w:t>（3）</w:t>
            </w:r>
            <w:r>
              <w:rPr>
                <w:szCs w:val="21"/>
              </w:rPr>
              <w:t>课程目标小于0.6。</w:t>
            </w:r>
          </w:p>
        </w:tc>
      </w:tr>
    </w:tbl>
    <w:p>
      <w:pPr>
        <w:bidi w:val="0"/>
        <w:rPr>
          <w:rFonts w:hint="eastAsia"/>
          <w:b/>
          <w:bCs/>
          <w:sz w:val="28"/>
          <w:szCs w:val="28"/>
          <w:lang w:eastAsia="zh-CN"/>
        </w:rPr>
      </w:pPr>
      <w:bookmarkStart w:id="278" w:name="_Toc25103"/>
      <w:r>
        <w:rPr>
          <w:rFonts w:hint="eastAsia"/>
          <w:b/>
          <w:bCs/>
          <w:sz w:val="28"/>
          <w:szCs w:val="28"/>
          <w:lang w:eastAsia="zh-CN"/>
        </w:rPr>
        <w:t>六、考核方式</w:t>
      </w:r>
      <w:bookmarkEnd w:id="278"/>
    </w:p>
    <w:p>
      <w:pPr>
        <w:spacing w:line="360" w:lineRule="auto"/>
        <w:ind w:firstLine="480"/>
      </w:pPr>
      <w:r>
        <w:rPr>
          <w:rFonts w:hint="eastAsia"/>
        </w:rPr>
        <w:t>（一）</w:t>
      </w:r>
      <w:r>
        <w:t>课程考核包括期末考试、平时及作业情况考核，期末考试采用</w:t>
      </w:r>
      <w:r>
        <w:rPr>
          <w:rFonts w:hint="eastAsia"/>
        </w:rPr>
        <w:t>开</w:t>
      </w:r>
      <w:r>
        <w:t>卷笔试。</w:t>
      </w:r>
    </w:p>
    <w:p>
      <w:pPr>
        <w:spacing w:line="360" w:lineRule="auto"/>
        <w:ind w:firstLine="480"/>
      </w:pPr>
      <w:r>
        <w:rPr>
          <w:rFonts w:hint="eastAsia"/>
        </w:rPr>
        <w:t>（二）课程总评成绩=平时成绩×</w:t>
      </w:r>
      <w:r>
        <w:t>2</w:t>
      </w:r>
      <w:r>
        <w:rPr>
          <w:rFonts w:hint="eastAsia"/>
        </w:rPr>
        <w:t>0% +作业×30%+期末考试成绩×</w:t>
      </w:r>
      <w:r>
        <w:t>5</w:t>
      </w:r>
      <w:r>
        <w:rPr>
          <w:rFonts w:hint="eastAsia"/>
        </w:rPr>
        <w:t>0%。具体内容和比例如表所示。</w:t>
      </w:r>
    </w:p>
    <w:tbl>
      <w:tblPr>
        <w:tblStyle w:val="10"/>
        <w:tblpPr w:leftFromText="180" w:rightFromText="180" w:vertAnchor="text" w:horzAnchor="margin" w:tblpXSpec="center" w:tblpY="244"/>
        <w:tblW w:w="91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715"/>
        <w:gridCol w:w="1560"/>
        <w:gridCol w:w="3260"/>
        <w:gridCol w:w="638"/>
        <w:gridCol w:w="638"/>
        <w:gridCol w:w="638"/>
        <w:gridCol w:w="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vMerge w:val="restart"/>
            <w:shd w:val="clear" w:color="auto" w:fill="FFFFFF"/>
            <w:noWrap w:val="0"/>
            <w:tcMar>
              <w:left w:w="57" w:type="dxa"/>
              <w:right w:w="57" w:type="dxa"/>
            </w:tcMar>
            <w:vAlign w:val="center"/>
          </w:tcPr>
          <w:p>
            <w:pPr>
              <w:adjustRightInd/>
              <w:snapToGrid/>
              <w:spacing w:line="240" w:lineRule="auto"/>
              <w:ind w:firstLine="0" w:firstLineChars="0"/>
              <w:jc w:val="center"/>
              <w:rPr>
                <w:sz w:val="21"/>
              </w:rPr>
            </w:pPr>
            <w:r>
              <w:rPr>
                <w:rFonts w:hint="eastAsia"/>
                <w:sz w:val="21"/>
              </w:rPr>
              <w:t>考核环节</w:t>
            </w:r>
          </w:p>
        </w:tc>
        <w:tc>
          <w:tcPr>
            <w:tcW w:w="715" w:type="dxa"/>
            <w:vMerge w:val="restart"/>
            <w:shd w:val="clear" w:color="auto" w:fill="FFFFFF"/>
            <w:noWrap w:val="0"/>
            <w:vAlign w:val="center"/>
          </w:tcPr>
          <w:p>
            <w:pPr>
              <w:adjustRightInd/>
              <w:snapToGrid/>
              <w:spacing w:line="240" w:lineRule="auto"/>
              <w:ind w:firstLine="0" w:firstLineChars="0"/>
              <w:jc w:val="center"/>
              <w:rPr>
                <w:sz w:val="21"/>
              </w:rPr>
            </w:pPr>
            <w:r>
              <w:rPr>
                <w:rFonts w:hint="eastAsia"/>
                <w:sz w:val="21"/>
              </w:rPr>
              <w:t>成绩比例</w:t>
            </w:r>
          </w:p>
        </w:tc>
        <w:tc>
          <w:tcPr>
            <w:tcW w:w="4820" w:type="dxa"/>
            <w:gridSpan w:val="2"/>
            <w:vMerge w:val="restart"/>
            <w:shd w:val="clear" w:color="auto" w:fill="FFFFFF"/>
            <w:noWrap w:val="0"/>
            <w:vAlign w:val="center"/>
          </w:tcPr>
          <w:p>
            <w:pPr>
              <w:adjustRightInd/>
              <w:snapToGrid/>
              <w:spacing w:line="240" w:lineRule="auto"/>
              <w:ind w:firstLine="0" w:firstLineChars="0"/>
              <w:jc w:val="center"/>
              <w:rPr>
                <w:sz w:val="21"/>
              </w:rPr>
            </w:pPr>
            <w:r>
              <w:rPr>
                <w:sz w:val="21"/>
              </w:rPr>
              <w:t>考核</w:t>
            </w:r>
            <w:r>
              <w:rPr>
                <w:rFonts w:hint="eastAsia"/>
                <w:sz w:val="21"/>
              </w:rPr>
              <w:t>内容与</w:t>
            </w:r>
            <w:r>
              <w:rPr>
                <w:sz w:val="21"/>
              </w:rPr>
              <w:t>评价细则</w:t>
            </w:r>
          </w:p>
        </w:tc>
        <w:tc>
          <w:tcPr>
            <w:tcW w:w="2552" w:type="dxa"/>
            <w:gridSpan w:val="4"/>
            <w:shd w:val="clear" w:color="auto" w:fill="FFFFFF"/>
            <w:noWrap w:val="0"/>
            <w:vAlign w:val="center"/>
          </w:tcPr>
          <w:p>
            <w:pPr>
              <w:adjustRightInd/>
              <w:snapToGrid/>
              <w:spacing w:line="240" w:lineRule="auto"/>
              <w:ind w:firstLine="0" w:firstLineChars="0"/>
              <w:jc w:val="center"/>
              <w:rPr>
                <w:sz w:val="21"/>
              </w:rPr>
            </w:pPr>
            <w:r>
              <w:rPr>
                <w:rFonts w:hint="eastAsia"/>
                <w:sz w:val="21"/>
              </w:rPr>
              <w:t>支撑目标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vMerge w:val="continue"/>
            <w:shd w:val="clear" w:color="auto" w:fill="FFFFFF"/>
            <w:noWrap w:val="0"/>
            <w:tcMar>
              <w:left w:w="57" w:type="dxa"/>
              <w:right w:w="57" w:type="dxa"/>
            </w:tcMar>
            <w:vAlign w:val="center"/>
          </w:tcPr>
          <w:p>
            <w:pPr>
              <w:adjustRightInd/>
              <w:snapToGrid/>
              <w:spacing w:line="240" w:lineRule="auto"/>
              <w:ind w:firstLine="0" w:firstLineChars="0"/>
              <w:jc w:val="center"/>
              <w:rPr>
                <w:sz w:val="21"/>
              </w:rPr>
            </w:pPr>
          </w:p>
        </w:tc>
        <w:tc>
          <w:tcPr>
            <w:tcW w:w="715" w:type="dxa"/>
            <w:vMerge w:val="continue"/>
            <w:shd w:val="clear" w:color="auto" w:fill="FFFFFF"/>
            <w:noWrap w:val="0"/>
            <w:vAlign w:val="center"/>
          </w:tcPr>
          <w:p>
            <w:pPr>
              <w:adjustRightInd/>
              <w:snapToGrid/>
              <w:spacing w:line="240" w:lineRule="auto"/>
              <w:ind w:firstLine="0" w:firstLineChars="0"/>
              <w:jc w:val="center"/>
              <w:rPr>
                <w:sz w:val="21"/>
              </w:rPr>
            </w:pPr>
          </w:p>
        </w:tc>
        <w:tc>
          <w:tcPr>
            <w:tcW w:w="4820" w:type="dxa"/>
            <w:gridSpan w:val="2"/>
            <w:vMerge w:val="continue"/>
            <w:shd w:val="clear" w:color="auto" w:fill="FFFFFF"/>
            <w:noWrap w:val="0"/>
            <w:vAlign w:val="center"/>
          </w:tcPr>
          <w:p>
            <w:pPr>
              <w:adjustRightInd/>
              <w:snapToGrid/>
              <w:spacing w:line="240" w:lineRule="auto"/>
              <w:ind w:firstLine="0" w:firstLineChars="0"/>
              <w:jc w:val="center"/>
              <w:rPr>
                <w:sz w:val="21"/>
              </w:rPr>
            </w:pPr>
          </w:p>
        </w:tc>
        <w:tc>
          <w:tcPr>
            <w:tcW w:w="638" w:type="dxa"/>
            <w:shd w:val="clear" w:color="auto" w:fill="FFFFFF"/>
            <w:noWrap w:val="0"/>
            <w:vAlign w:val="center"/>
          </w:tcPr>
          <w:p>
            <w:pPr>
              <w:adjustRightInd/>
              <w:snapToGrid/>
              <w:spacing w:line="240" w:lineRule="auto"/>
              <w:ind w:firstLine="0" w:firstLineChars="0"/>
              <w:jc w:val="center"/>
              <w:rPr>
                <w:sz w:val="21"/>
              </w:rPr>
            </w:pPr>
            <w:r>
              <w:rPr>
                <w:rFonts w:hint="eastAsia"/>
                <w:sz w:val="21"/>
              </w:rPr>
              <w:t>目标1</w:t>
            </w:r>
          </w:p>
        </w:tc>
        <w:tc>
          <w:tcPr>
            <w:tcW w:w="638" w:type="dxa"/>
            <w:shd w:val="clear" w:color="auto" w:fill="FFFFFF"/>
            <w:noWrap w:val="0"/>
            <w:vAlign w:val="center"/>
          </w:tcPr>
          <w:p>
            <w:pPr>
              <w:adjustRightInd/>
              <w:snapToGrid/>
              <w:spacing w:line="240" w:lineRule="auto"/>
              <w:ind w:firstLine="0" w:firstLineChars="0"/>
              <w:jc w:val="center"/>
              <w:rPr>
                <w:sz w:val="21"/>
              </w:rPr>
            </w:pPr>
            <w:r>
              <w:rPr>
                <w:rFonts w:hint="eastAsia"/>
                <w:sz w:val="21"/>
              </w:rPr>
              <w:t>目标2</w:t>
            </w:r>
          </w:p>
        </w:tc>
        <w:tc>
          <w:tcPr>
            <w:tcW w:w="638" w:type="dxa"/>
            <w:shd w:val="clear" w:color="auto" w:fill="FFFFFF"/>
            <w:noWrap w:val="0"/>
            <w:vAlign w:val="center"/>
          </w:tcPr>
          <w:p>
            <w:pPr>
              <w:adjustRightInd/>
              <w:snapToGrid/>
              <w:spacing w:line="240" w:lineRule="auto"/>
              <w:ind w:firstLine="0" w:firstLineChars="0"/>
              <w:jc w:val="center"/>
              <w:rPr>
                <w:sz w:val="21"/>
              </w:rPr>
            </w:pPr>
          </w:p>
        </w:tc>
        <w:tc>
          <w:tcPr>
            <w:tcW w:w="638" w:type="dxa"/>
            <w:shd w:val="clear" w:color="auto" w:fill="FFFFFF"/>
            <w:noWrap w:val="0"/>
            <w:vAlign w:val="center"/>
          </w:tcPr>
          <w:p>
            <w:pPr>
              <w:adjustRightInd/>
              <w:snapToGrid/>
              <w:spacing w:line="240" w:lineRule="auto"/>
              <w:ind w:firstLine="0" w:firstLineChars="0"/>
              <w:jc w:val="center"/>
              <w:rPr>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043" w:type="dxa"/>
            <w:shd w:val="clear" w:color="auto" w:fill="FFFFFF"/>
            <w:noWrap w:val="0"/>
            <w:tcMar>
              <w:left w:w="57" w:type="dxa"/>
              <w:right w:w="57" w:type="dxa"/>
            </w:tcMar>
            <w:vAlign w:val="center"/>
          </w:tcPr>
          <w:p>
            <w:pPr>
              <w:adjustRightInd/>
              <w:snapToGrid/>
              <w:spacing w:line="240" w:lineRule="auto"/>
              <w:ind w:firstLine="0" w:firstLineChars="0"/>
              <w:jc w:val="center"/>
              <w:rPr>
                <w:sz w:val="21"/>
              </w:rPr>
            </w:pPr>
            <w:r>
              <w:rPr>
                <w:rFonts w:hint="eastAsia"/>
                <w:sz w:val="21"/>
              </w:rPr>
              <w:t>平时表现</w:t>
            </w:r>
          </w:p>
        </w:tc>
        <w:tc>
          <w:tcPr>
            <w:tcW w:w="715" w:type="dxa"/>
            <w:shd w:val="clear" w:color="auto" w:fill="FFFFFF"/>
            <w:noWrap w:val="0"/>
            <w:vAlign w:val="center"/>
          </w:tcPr>
          <w:p>
            <w:pPr>
              <w:adjustRightInd/>
              <w:snapToGrid/>
              <w:spacing w:line="240" w:lineRule="auto"/>
              <w:ind w:firstLine="0" w:firstLineChars="0"/>
              <w:jc w:val="center"/>
              <w:rPr>
                <w:sz w:val="21"/>
              </w:rPr>
            </w:pPr>
            <w:r>
              <w:rPr>
                <w:sz w:val="21"/>
              </w:rPr>
              <w:t>2</w:t>
            </w:r>
            <w:r>
              <w:rPr>
                <w:rFonts w:hint="eastAsia"/>
                <w:sz w:val="21"/>
              </w:rPr>
              <w:t>0%</w:t>
            </w:r>
          </w:p>
        </w:tc>
        <w:tc>
          <w:tcPr>
            <w:tcW w:w="4820" w:type="dxa"/>
            <w:gridSpan w:val="2"/>
            <w:shd w:val="clear" w:color="auto" w:fill="FFFFFF"/>
            <w:noWrap w:val="0"/>
            <w:vAlign w:val="center"/>
          </w:tcPr>
          <w:p>
            <w:pPr>
              <w:adjustRightInd/>
              <w:snapToGrid/>
              <w:spacing w:line="240" w:lineRule="auto"/>
              <w:ind w:firstLine="0" w:firstLineChars="0"/>
              <w:rPr>
                <w:sz w:val="21"/>
              </w:rPr>
            </w:pPr>
            <w:r>
              <w:rPr>
                <w:rFonts w:hint="eastAsia"/>
                <w:sz w:val="21"/>
              </w:rPr>
              <w:t>课堂不定期点名，考核能否按时到勤，对于旷课、迟到和早退者适当扣分，根据平时课堂笔记、课堂回答问题等情况确定平时表现分数。</w:t>
            </w:r>
          </w:p>
        </w:tc>
        <w:tc>
          <w:tcPr>
            <w:tcW w:w="638" w:type="dxa"/>
            <w:shd w:val="clear" w:color="auto" w:fill="FFFFFF"/>
            <w:noWrap w:val="0"/>
            <w:vAlign w:val="center"/>
          </w:tcPr>
          <w:p>
            <w:pPr>
              <w:adjustRightInd/>
              <w:snapToGrid/>
              <w:spacing w:line="240" w:lineRule="auto"/>
              <w:ind w:firstLine="0" w:firstLineChars="0"/>
              <w:jc w:val="center"/>
              <w:rPr>
                <w:sz w:val="21"/>
                <w:highlight w:val="yellow"/>
              </w:rPr>
            </w:pPr>
            <w:r>
              <w:rPr>
                <w:sz w:val="21"/>
              </w:rPr>
              <w:t>10</w:t>
            </w:r>
            <w:r>
              <w:rPr>
                <w:rFonts w:hint="eastAsia"/>
                <w:sz w:val="21"/>
              </w:rPr>
              <w:t>%</w:t>
            </w:r>
          </w:p>
        </w:tc>
        <w:tc>
          <w:tcPr>
            <w:tcW w:w="638" w:type="dxa"/>
            <w:shd w:val="clear" w:color="auto" w:fill="FFFFFF"/>
            <w:noWrap w:val="0"/>
            <w:vAlign w:val="center"/>
          </w:tcPr>
          <w:p>
            <w:pPr>
              <w:adjustRightInd/>
              <w:snapToGrid/>
              <w:spacing w:line="240" w:lineRule="auto"/>
              <w:ind w:firstLine="0" w:firstLineChars="0"/>
              <w:jc w:val="center"/>
              <w:rPr>
                <w:sz w:val="21"/>
                <w:highlight w:val="yellow"/>
              </w:rPr>
            </w:pPr>
            <w:r>
              <w:rPr>
                <w:sz w:val="21"/>
              </w:rPr>
              <w:t>10</w:t>
            </w:r>
            <w:r>
              <w:rPr>
                <w:rFonts w:hint="eastAsia"/>
                <w:sz w:val="21"/>
              </w:rPr>
              <w:t>%</w:t>
            </w:r>
          </w:p>
        </w:tc>
        <w:tc>
          <w:tcPr>
            <w:tcW w:w="638" w:type="dxa"/>
            <w:shd w:val="clear" w:color="auto" w:fill="FFFFFF"/>
            <w:noWrap w:val="0"/>
            <w:vAlign w:val="center"/>
          </w:tcPr>
          <w:p>
            <w:pPr>
              <w:adjustRightInd/>
              <w:snapToGrid/>
              <w:spacing w:line="240" w:lineRule="auto"/>
              <w:ind w:firstLine="0" w:firstLineChars="0"/>
              <w:jc w:val="center"/>
              <w:rPr>
                <w:sz w:val="21"/>
              </w:rPr>
            </w:pPr>
          </w:p>
        </w:tc>
        <w:tc>
          <w:tcPr>
            <w:tcW w:w="638" w:type="dxa"/>
            <w:shd w:val="clear" w:color="auto" w:fill="FFFFFF"/>
            <w:noWrap w:val="0"/>
            <w:vAlign w:val="center"/>
          </w:tcPr>
          <w:p>
            <w:pPr>
              <w:adjustRightInd/>
              <w:snapToGrid/>
              <w:spacing w:line="240" w:lineRule="auto"/>
              <w:ind w:firstLine="0" w:firstLineChars="0"/>
              <w:jc w:val="center"/>
              <w:rPr>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043" w:type="dxa"/>
            <w:shd w:val="clear" w:color="auto" w:fill="auto"/>
            <w:noWrap w:val="0"/>
            <w:tcMar>
              <w:left w:w="57" w:type="dxa"/>
              <w:right w:w="57" w:type="dxa"/>
            </w:tcMar>
            <w:vAlign w:val="center"/>
          </w:tcPr>
          <w:p>
            <w:pPr>
              <w:adjustRightInd/>
              <w:snapToGrid/>
              <w:spacing w:line="240" w:lineRule="auto"/>
              <w:ind w:firstLine="0" w:firstLineChars="0"/>
              <w:jc w:val="center"/>
              <w:rPr>
                <w:sz w:val="21"/>
              </w:rPr>
            </w:pPr>
            <w:r>
              <w:rPr>
                <w:sz w:val="21"/>
              </w:rPr>
              <w:t>作</w:t>
            </w:r>
            <w:r>
              <w:rPr>
                <w:rFonts w:hint="eastAsia"/>
                <w:sz w:val="21"/>
              </w:rPr>
              <w:t xml:space="preserve">    </w:t>
            </w:r>
            <w:r>
              <w:rPr>
                <w:sz w:val="21"/>
              </w:rPr>
              <w:t>业</w:t>
            </w:r>
          </w:p>
        </w:tc>
        <w:tc>
          <w:tcPr>
            <w:tcW w:w="715" w:type="dxa"/>
            <w:shd w:val="clear" w:color="auto" w:fill="auto"/>
            <w:noWrap w:val="0"/>
            <w:vAlign w:val="center"/>
          </w:tcPr>
          <w:p>
            <w:pPr>
              <w:adjustRightInd/>
              <w:snapToGrid/>
              <w:spacing w:line="240" w:lineRule="auto"/>
              <w:ind w:firstLine="0" w:firstLineChars="0"/>
              <w:jc w:val="center"/>
              <w:rPr>
                <w:sz w:val="21"/>
              </w:rPr>
            </w:pPr>
            <w:r>
              <w:rPr>
                <w:rFonts w:hint="eastAsia"/>
                <w:sz w:val="21"/>
              </w:rPr>
              <w:t>30</w:t>
            </w:r>
            <w:r>
              <w:rPr>
                <w:sz w:val="21"/>
              </w:rPr>
              <w:t>%</w:t>
            </w:r>
          </w:p>
        </w:tc>
        <w:tc>
          <w:tcPr>
            <w:tcW w:w="4820" w:type="dxa"/>
            <w:gridSpan w:val="2"/>
            <w:shd w:val="clear" w:color="auto" w:fill="auto"/>
            <w:noWrap w:val="0"/>
            <w:vAlign w:val="center"/>
          </w:tcPr>
          <w:p>
            <w:pPr>
              <w:adjustRightInd/>
              <w:snapToGrid/>
              <w:spacing w:line="240" w:lineRule="auto"/>
              <w:ind w:firstLine="0" w:firstLineChars="0"/>
              <w:rPr>
                <w:sz w:val="21"/>
                <w:szCs w:val="21"/>
              </w:rPr>
            </w:pPr>
            <w:r>
              <w:rPr>
                <w:rFonts w:hint="eastAsia"/>
                <w:sz w:val="21"/>
                <w:szCs w:val="21"/>
              </w:rPr>
              <w:t>每章节对应有思考题和习题，考核学生对每节课知识点的复习、理解和掌握度。对每次作业完成情况做记录并百分制打分。</w:t>
            </w:r>
          </w:p>
        </w:tc>
        <w:tc>
          <w:tcPr>
            <w:tcW w:w="638" w:type="dxa"/>
            <w:shd w:val="clear" w:color="auto" w:fill="FFFFFF"/>
            <w:noWrap w:val="0"/>
            <w:vAlign w:val="center"/>
          </w:tcPr>
          <w:p>
            <w:pPr>
              <w:adjustRightInd/>
              <w:snapToGrid/>
              <w:spacing w:line="240" w:lineRule="auto"/>
              <w:ind w:firstLine="0" w:firstLineChars="0"/>
              <w:jc w:val="center"/>
              <w:rPr>
                <w:color w:val="000000"/>
                <w:sz w:val="21"/>
                <w:szCs w:val="21"/>
              </w:rPr>
            </w:pPr>
            <w:r>
              <w:rPr>
                <w:color w:val="000000"/>
                <w:sz w:val="21"/>
                <w:szCs w:val="21"/>
              </w:rPr>
              <w:t>15</w:t>
            </w:r>
            <w:r>
              <w:rPr>
                <w:rFonts w:hint="eastAsia"/>
                <w:color w:val="000000"/>
                <w:sz w:val="21"/>
                <w:szCs w:val="21"/>
              </w:rPr>
              <w:t>%</w:t>
            </w:r>
          </w:p>
        </w:tc>
        <w:tc>
          <w:tcPr>
            <w:tcW w:w="638" w:type="dxa"/>
            <w:shd w:val="clear" w:color="auto" w:fill="FFFFFF"/>
            <w:noWrap w:val="0"/>
            <w:vAlign w:val="center"/>
          </w:tcPr>
          <w:p>
            <w:pPr>
              <w:adjustRightInd/>
              <w:snapToGrid/>
              <w:spacing w:line="240" w:lineRule="auto"/>
              <w:ind w:firstLine="0" w:firstLineChars="0"/>
              <w:jc w:val="center"/>
              <w:rPr>
                <w:color w:val="000000"/>
                <w:sz w:val="21"/>
                <w:szCs w:val="21"/>
              </w:rPr>
            </w:pPr>
            <w:r>
              <w:rPr>
                <w:color w:val="000000"/>
                <w:sz w:val="21"/>
                <w:szCs w:val="21"/>
              </w:rPr>
              <w:t>1</w:t>
            </w:r>
            <w:r>
              <w:rPr>
                <w:rFonts w:hint="eastAsia"/>
                <w:color w:val="000000"/>
                <w:sz w:val="21"/>
                <w:szCs w:val="21"/>
              </w:rPr>
              <w:t>5%</w:t>
            </w:r>
          </w:p>
        </w:tc>
        <w:tc>
          <w:tcPr>
            <w:tcW w:w="638" w:type="dxa"/>
            <w:shd w:val="clear" w:color="auto" w:fill="FFFFFF"/>
            <w:noWrap w:val="0"/>
            <w:vAlign w:val="center"/>
          </w:tcPr>
          <w:p>
            <w:pPr>
              <w:adjustRightInd/>
              <w:snapToGrid/>
              <w:spacing w:line="240" w:lineRule="auto"/>
              <w:ind w:firstLine="0" w:firstLineChars="0"/>
              <w:jc w:val="center"/>
              <w:rPr>
                <w:color w:val="000000"/>
                <w:sz w:val="21"/>
                <w:szCs w:val="21"/>
              </w:rPr>
            </w:pPr>
          </w:p>
        </w:tc>
        <w:tc>
          <w:tcPr>
            <w:tcW w:w="638" w:type="dxa"/>
            <w:shd w:val="clear" w:color="auto" w:fill="FFFFFF"/>
            <w:noWrap w:val="0"/>
            <w:vAlign w:val="center"/>
          </w:tcPr>
          <w:p>
            <w:pPr>
              <w:adjustRightInd/>
              <w:snapToGrid/>
              <w:spacing w:line="240" w:lineRule="auto"/>
              <w:ind w:firstLine="0" w:firstLineChars="0"/>
              <w:jc w:val="center"/>
              <w:rPr>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043" w:type="dxa"/>
            <w:vMerge w:val="restart"/>
            <w:shd w:val="clear" w:color="auto" w:fill="auto"/>
            <w:noWrap w:val="0"/>
            <w:tcMar>
              <w:left w:w="57" w:type="dxa"/>
              <w:right w:w="57" w:type="dxa"/>
            </w:tcMar>
            <w:vAlign w:val="center"/>
          </w:tcPr>
          <w:p>
            <w:pPr>
              <w:adjustRightInd/>
              <w:snapToGrid/>
              <w:spacing w:line="240" w:lineRule="auto"/>
              <w:ind w:firstLine="0" w:firstLineChars="0"/>
              <w:jc w:val="center"/>
              <w:rPr>
                <w:sz w:val="21"/>
              </w:rPr>
            </w:pPr>
            <w:r>
              <w:rPr>
                <w:sz w:val="21"/>
              </w:rPr>
              <w:t>期末</w:t>
            </w:r>
            <w:r>
              <w:rPr>
                <w:rFonts w:hint="eastAsia"/>
                <w:sz w:val="21"/>
              </w:rPr>
              <w:t>试卷</w:t>
            </w:r>
          </w:p>
        </w:tc>
        <w:tc>
          <w:tcPr>
            <w:tcW w:w="715" w:type="dxa"/>
            <w:vMerge w:val="restart"/>
            <w:shd w:val="clear" w:color="auto" w:fill="auto"/>
            <w:noWrap w:val="0"/>
            <w:vAlign w:val="center"/>
          </w:tcPr>
          <w:p>
            <w:pPr>
              <w:adjustRightInd/>
              <w:snapToGrid/>
              <w:spacing w:line="240" w:lineRule="auto"/>
              <w:ind w:firstLine="0" w:firstLineChars="0"/>
              <w:jc w:val="center"/>
              <w:rPr>
                <w:sz w:val="21"/>
              </w:rPr>
            </w:pPr>
            <w:r>
              <w:rPr>
                <w:sz w:val="21"/>
              </w:rPr>
              <w:t>5</w:t>
            </w:r>
            <w:r>
              <w:rPr>
                <w:rFonts w:hint="eastAsia"/>
                <w:sz w:val="21"/>
              </w:rPr>
              <w:t>0</w:t>
            </w:r>
            <w:r>
              <w:rPr>
                <w:sz w:val="21"/>
              </w:rPr>
              <w:t>%</w:t>
            </w:r>
            <w:r>
              <w:rPr>
                <w:rFonts w:hint="eastAsia"/>
                <w:sz w:val="21"/>
              </w:rPr>
              <w:t xml:space="preserve"> </w:t>
            </w:r>
          </w:p>
        </w:tc>
        <w:tc>
          <w:tcPr>
            <w:tcW w:w="1560" w:type="dxa"/>
            <w:tcBorders>
              <w:left w:val="single" w:color="auto" w:sz="4" w:space="0"/>
            </w:tcBorders>
            <w:shd w:val="clear" w:color="auto" w:fill="auto"/>
            <w:noWrap w:val="0"/>
            <w:vAlign w:val="center"/>
          </w:tcPr>
          <w:p>
            <w:pPr>
              <w:adjustRightInd/>
              <w:snapToGrid/>
              <w:spacing w:line="240" w:lineRule="auto"/>
              <w:ind w:firstLine="0" w:firstLineChars="0"/>
              <w:jc w:val="center"/>
              <w:rPr>
                <w:color w:val="000000"/>
                <w:sz w:val="21"/>
                <w:szCs w:val="21"/>
              </w:rPr>
            </w:pPr>
            <w:r>
              <w:rPr>
                <w:rFonts w:hint="eastAsia"/>
                <w:color w:val="000000"/>
                <w:sz w:val="21"/>
                <w:szCs w:val="21"/>
              </w:rPr>
              <w:t>题型</w:t>
            </w:r>
          </w:p>
        </w:tc>
        <w:tc>
          <w:tcPr>
            <w:tcW w:w="3260" w:type="dxa"/>
            <w:tcBorders>
              <w:left w:val="single" w:color="auto" w:sz="4" w:space="0"/>
            </w:tcBorders>
            <w:shd w:val="clear" w:color="auto" w:fill="auto"/>
            <w:noWrap w:val="0"/>
            <w:vAlign w:val="center"/>
          </w:tcPr>
          <w:p>
            <w:pPr>
              <w:widowControl/>
              <w:adjustRightInd/>
              <w:snapToGrid/>
              <w:spacing w:line="240" w:lineRule="auto"/>
              <w:ind w:firstLine="0" w:firstLineChars="0"/>
              <w:jc w:val="center"/>
              <w:rPr>
                <w:sz w:val="21"/>
              </w:rPr>
            </w:pPr>
            <w:r>
              <w:rPr>
                <w:rFonts w:hint="eastAsia"/>
                <w:color w:val="000000"/>
                <w:sz w:val="21"/>
                <w:szCs w:val="21"/>
              </w:rPr>
              <w:t>考核内容及相应试题</w:t>
            </w:r>
          </w:p>
        </w:tc>
        <w:tc>
          <w:tcPr>
            <w:tcW w:w="2552" w:type="dxa"/>
            <w:gridSpan w:val="4"/>
            <w:tcBorders>
              <w:tl2br w:val="single" w:color="auto" w:sz="4" w:space="0"/>
            </w:tcBorders>
            <w:shd w:val="clear" w:color="auto" w:fill="FFFFFF"/>
            <w:noWrap w:val="0"/>
            <w:vAlign w:val="top"/>
          </w:tcPr>
          <w:p>
            <w:pPr>
              <w:adjustRightInd/>
              <w:snapToGrid/>
              <w:spacing w:line="240" w:lineRule="auto"/>
              <w:ind w:firstLine="0" w:firstLineChars="0"/>
              <w:rPr>
                <w:rFonts w:eastAsia="楷体"/>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noWrap w:val="0"/>
            <w:tcMar>
              <w:left w:w="57" w:type="dxa"/>
              <w:right w:w="57" w:type="dxa"/>
            </w:tcMar>
            <w:vAlign w:val="center"/>
          </w:tcPr>
          <w:p>
            <w:pPr>
              <w:adjustRightInd/>
              <w:snapToGrid/>
              <w:spacing w:line="240" w:lineRule="auto"/>
              <w:ind w:firstLine="0" w:firstLineChars="0"/>
              <w:jc w:val="center"/>
              <w:rPr>
                <w:sz w:val="21"/>
              </w:rPr>
            </w:pPr>
          </w:p>
        </w:tc>
        <w:tc>
          <w:tcPr>
            <w:tcW w:w="715" w:type="dxa"/>
            <w:vMerge w:val="continue"/>
            <w:shd w:val="clear" w:color="auto" w:fill="auto"/>
            <w:noWrap w:val="0"/>
            <w:vAlign w:val="center"/>
          </w:tcPr>
          <w:p>
            <w:pPr>
              <w:adjustRightInd/>
              <w:snapToGrid/>
              <w:spacing w:line="240" w:lineRule="auto"/>
              <w:ind w:firstLine="0" w:firstLineChars="0"/>
              <w:jc w:val="center"/>
              <w:rPr>
                <w:sz w:val="21"/>
              </w:rPr>
            </w:pPr>
          </w:p>
        </w:tc>
        <w:tc>
          <w:tcPr>
            <w:tcW w:w="1560" w:type="dxa"/>
            <w:tcBorders>
              <w:left w:val="single" w:color="auto" w:sz="4" w:space="0"/>
            </w:tcBorders>
            <w:shd w:val="clear" w:color="auto" w:fill="auto"/>
            <w:noWrap w:val="0"/>
            <w:vAlign w:val="center"/>
          </w:tcPr>
          <w:p>
            <w:pPr>
              <w:adjustRightInd/>
              <w:snapToGrid/>
              <w:spacing w:line="240" w:lineRule="auto"/>
              <w:ind w:firstLine="0" w:firstLineChars="0"/>
              <w:jc w:val="center"/>
              <w:rPr>
                <w:color w:val="000000"/>
                <w:sz w:val="21"/>
                <w:szCs w:val="21"/>
              </w:rPr>
            </w:pPr>
            <w:r>
              <w:rPr>
                <w:rFonts w:hint="eastAsia"/>
                <w:color w:val="000000"/>
                <w:sz w:val="21"/>
                <w:szCs w:val="21"/>
              </w:rPr>
              <w:t>选择题</w:t>
            </w:r>
          </w:p>
        </w:tc>
        <w:tc>
          <w:tcPr>
            <w:tcW w:w="3260" w:type="dxa"/>
            <w:tcBorders>
              <w:left w:val="single" w:color="auto" w:sz="4" w:space="0"/>
            </w:tcBorders>
            <w:shd w:val="clear" w:color="auto" w:fill="auto"/>
            <w:noWrap w:val="0"/>
            <w:vAlign w:val="center"/>
          </w:tcPr>
          <w:p>
            <w:pPr>
              <w:adjustRightInd/>
              <w:snapToGrid/>
              <w:spacing w:line="240" w:lineRule="auto"/>
              <w:ind w:firstLine="0" w:firstLineChars="0"/>
              <w:rPr>
                <w:color w:val="000000"/>
                <w:sz w:val="21"/>
                <w:szCs w:val="21"/>
              </w:rPr>
            </w:pPr>
            <w:r>
              <w:rPr>
                <w:rFonts w:hint="eastAsia"/>
                <w:color w:val="000000"/>
                <w:sz w:val="21"/>
                <w:szCs w:val="21"/>
              </w:rPr>
              <w:t>主要考核汽液相平衡关系的定量表达、精馏塔操作压力的确定、化学吸收的相平衡、传质系数关联式、传质速率与增强因子、萃取的基本原理、萃取塔中的传质单元数和单元高度的确定</w:t>
            </w:r>
          </w:p>
        </w:tc>
        <w:tc>
          <w:tcPr>
            <w:tcW w:w="638" w:type="dxa"/>
            <w:shd w:val="clear" w:color="auto" w:fill="FFFFFF"/>
            <w:noWrap w:val="0"/>
            <w:vAlign w:val="center"/>
          </w:tcPr>
          <w:p>
            <w:pPr>
              <w:widowControl/>
              <w:adjustRightInd/>
              <w:snapToGrid/>
              <w:spacing w:line="240" w:lineRule="auto"/>
              <w:ind w:firstLine="0" w:firstLineChars="0"/>
              <w:jc w:val="center"/>
              <w:rPr>
                <w:sz w:val="21"/>
              </w:rPr>
            </w:pPr>
            <w:r>
              <w:rPr>
                <w:sz w:val="21"/>
              </w:rPr>
              <w:t>5</w:t>
            </w:r>
            <w:r>
              <w:rPr>
                <w:rFonts w:hint="eastAsia"/>
                <w:sz w:val="21"/>
              </w:rPr>
              <w:t>%</w:t>
            </w:r>
          </w:p>
        </w:tc>
        <w:tc>
          <w:tcPr>
            <w:tcW w:w="638" w:type="dxa"/>
            <w:shd w:val="clear" w:color="auto" w:fill="FFFFFF"/>
            <w:noWrap w:val="0"/>
            <w:vAlign w:val="center"/>
          </w:tcPr>
          <w:p>
            <w:pPr>
              <w:widowControl/>
              <w:adjustRightInd/>
              <w:snapToGrid/>
              <w:spacing w:line="240" w:lineRule="auto"/>
              <w:ind w:firstLine="0" w:firstLineChars="0"/>
              <w:jc w:val="center"/>
              <w:rPr>
                <w:sz w:val="21"/>
              </w:rPr>
            </w:pPr>
            <w:r>
              <w:rPr>
                <w:sz w:val="21"/>
              </w:rPr>
              <w:t>5%</w:t>
            </w:r>
          </w:p>
        </w:tc>
        <w:tc>
          <w:tcPr>
            <w:tcW w:w="638" w:type="dxa"/>
            <w:shd w:val="clear" w:color="auto" w:fill="FFFFFF"/>
            <w:noWrap w:val="0"/>
            <w:vAlign w:val="center"/>
          </w:tcPr>
          <w:p>
            <w:pPr>
              <w:widowControl/>
              <w:adjustRightInd/>
              <w:snapToGrid/>
              <w:spacing w:line="240" w:lineRule="auto"/>
              <w:ind w:firstLine="0" w:firstLineChars="0"/>
              <w:jc w:val="center"/>
              <w:rPr>
                <w:sz w:val="21"/>
              </w:rPr>
            </w:pPr>
          </w:p>
        </w:tc>
        <w:tc>
          <w:tcPr>
            <w:tcW w:w="638" w:type="dxa"/>
            <w:shd w:val="clear" w:color="auto" w:fill="FFFFFF"/>
            <w:noWrap w:val="0"/>
            <w:vAlign w:val="center"/>
          </w:tcPr>
          <w:p>
            <w:pPr>
              <w:widowControl/>
              <w:adjustRightInd/>
              <w:snapToGrid/>
              <w:spacing w:line="240" w:lineRule="auto"/>
              <w:ind w:firstLine="0" w:firstLineChars="0"/>
              <w:jc w:val="center"/>
              <w:rPr>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noWrap w:val="0"/>
            <w:tcMar>
              <w:left w:w="57" w:type="dxa"/>
              <w:right w:w="57" w:type="dxa"/>
            </w:tcMar>
            <w:vAlign w:val="center"/>
          </w:tcPr>
          <w:p>
            <w:pPr>
              <w:adjustRightInd/>
              <w:snapToGrid/>
              <w:spacing w:line="240" w:lineRule="auto"/>
              <w:ind w:firstLine="0" w:firstLineChars="0"/>
              <w:jc w:val="center"/>
              <w:rPr>
                <w:sz w:val="21"/>
              </w:rPr>
            </w:pPr>
          </w:p>
        </w:tc>
        <w:tc>
          <w:tcPr>
            <w:tcW w:w="715" w:type="dxa"/>
            <w:vMerge w:val="continue"/>
            <w:shd w:val="clear" w:color="auto" w:fill="auto"/>
            <w:noWrap w:val="0"/>
            <w:vAlign w:val="center"/>
          </w:tcPr>
          <w:p>
            <w:pPr>
              <w:adjustRightInd/>
              <w:snapToGrid/>
              <w:spacing w:line="240" w:lineRule="auto"/>
              <w:ind w:firstLine="0" w:firstLineChars="0"/>
              <w:jc w:val="center"/>
              <w:rPr>
                <w:sz w:val="21"/>
              </w:rPr>
            </w:pPr>
          </w:p>
        </w:tc>
        <w:tc>
          <w:tcPr>
            <w:tcW w:w="1560" w:type="dxa"/>
            <w:tcBorders>
              <w:left w:val="single" w:color="auto" w:sz="4" w:space="0"/>
            </w:tcBorders>
            <w:shd w:val="clear" w:color="auto" w:fill="auto"/>
            <w:noWrap w:val="0"/>
            <w:vAlign w:val="center"/>
          </w:tcPr>
          <w:p>
            <w:pPr>
              <w:adjustRightInd/>
              <w:snapToGrid/>
              <w:spacing w:line="240" w:lineRule="auto"/>
              <w:ind w:firstLine="0" w:firstLineChars="0"/>
              <w:jc w:val="center"/>
              <w:rPr>
                <w:color w:val="000000"/>
                <w:sz w:val="21"/>
                <w:szCs w:val="21"/>
              </w:rPr>
            </w:pPr>
            <w:r>
              <w:rPr>
                <w:rFonts w:hint="eastAsia"/>
                <w:color w:val="000000"/>
                <w:sz w:val="21"/>
                <w:szCs w:val="21"/>
              </w:rPr>
              <w:t>填空</w:t>
            </w:r>
            <w:r>
              <w:rPr>
                <w:color w:val="000000"/>
                <w:sz w:val="21"/>
                <w:szCs w:val="21"/>
              </w:rPr>
              <w:t>题</w:t>
            </w:r>
          </w:p>
        </w:tc>
        <w:tc>
          <w:tcPr>
            <w:tcW w:w="3260" w:type="dxa"/>
            <w:tcBorders>
              <w:left w:val="single" w:color="auto" w:sz="4" w:space="0"/>
            </w:tcBorders>
            <w:shd w:val="clear" w:color="auto" w:fill="auto"/>
            <w:noWrap w:val="0"/>
            <w:vAlign w:val="center"/>
          </w:tcPr>
          <w:p>
            <w:pPr>
              <w:adjustRightInd/>
              <w:snapToGrid/>
              <w:spacing w:line="240" w:lineRule="auto"/>
              <w:ind w:firstLine="0" w:firstLineChars="0"/>
              <w:rPr>
                <w:color w:val="000000"/>
                <w:sz w:val="21"/>
                <w:szCs w:val="21"/>
              </w:rPr>
            </w:pPr>
            <w:r>
              <w:rPr>
                <w:rFonts w:hint="eastAsia"/>
                <w:color w:val="000000"/>
                <w:sz w:val="21"/>
                <w:szCs w:val="21"/>
              </w:rPr>
              <w:t>主要考核汽液相平衡关系的定量表达、精馏塔操作压力的确定、化学吸收的相平衡、传质系数关联式、传质速率与增强因子、萃取的基本原理、萃取塔中的传质单元数和单元高度的确定</w:t>
            </w:r>
          </w:p>
        </w:tc>
        <w:tc>
          <w:tcPr>
            <w:tcW w:w="638" w:type="dxa"/>
            <w:shd w:val="clear" w:color="auto" w:fill="FFFFFF"/>
            <w:noWrap w:val="0"/>
            <w:vAlign w:val="center"/>
          </w:tcPr>
          <w:p>
            <w:pPr>
              <w:adjustRightInd/>
              <w:snapToGrid/>
              <w:spacing w:line="240" w:lineRule="auto"/>
              <w:ind w:firstLine="0" w:firstLineChars="0"/>
              <w:jc w:val="center"/>
              <w:rPr>
                <w:color w:val="000000"/>
                <w:sz w:val="21"/>
                <w:szCs w:val="21"/>
              </w:rPr>
            </w:pPr>
            <w:r>
              <w:rPr>
                <w:rFonts w:hint="eastAsia"/>
                <w:color w:val="000000"/>
                <w:sz w:val="21"/>
                <w:szCs w:val="21"/>
              </w:rPr>
              <w:t>5%</w:t>
            </w:r>
          </w:p>
        </w:tc>
        <w:tc>
          <w:tcPr>
            <w:tcW w:w="638" w:type="dxa"/>
            <w:shd w:val="clear" w:color="auto" w:fill="FFFFFF"/>
            <w:noWrap w:val="0"/>
            <w:vAlign w:val="center"/>
          </w:tcPr>
          <w:p>
            <w:pPr>
              <w:adjustRightInd/>
              <w:snapToGrid/>
              <w:spacing w:line="240" w:lineRule="auto"/>
              <w:ind w:firstLine="0" w:firstLineChars="0"/>
              <w:jc w:val="center"/>
              <w:rPr>
                <w:color w:val="000000"/>
                <w:sz w:val="21"/>
                <w:szCs w:val="21"/>
              </w:rPr>
            </w:pPr>
            <w:r>
              <w:rPr>
                <w:color w:val="000000"/>
                <w:sz w:val="21"/>
                <w:szCs w:val="21"/>
              </w:rPr>
              <w:t>5%</w:t>
            </w:r>
          </w:p>
        </w:tc>
        <w:tc>
          <w:tcPr>
            <w:tcW w:w="638" w:type="dxa"/>
            <w:shd w:val="clear" w:color="auto" w:fill="FFFFFF"/>
            <w:noWrap w:val="0"/>
            <w:vAlign w:val="center"/>
          </w:tcPr>
          <w:p>
            <w:pPr>
              <w:adjustRightInd/>
              <w:snapToGrid/>
              <w:spacing w:line="240" w:lineRule="auto"/>
              <w:ind w:firstLine="0" w:firstLineChars="0"/>
              <w:jc w:val="center"/>
              <w:rPr>
                <w:color w:val="000000"/>
                <w:sz w:val="21"/>
                <w:szCs w:val="21"/>
              </w:rPr>
            </w:pPr>
          </w:p>
        </w:tc>
        <w:tc>
          <w:tcPr>
            <w:tcW w:w="638" w:type="dxa"/>
            <w:shd w:val="clear" w:color="auto" w:fill="FFFFFF"/>
            <w:noWrap w:val="0"/>
            <w:vAlign w:val="center"/>
          </w:tcPr>
          <w:p>
            <w:pPr>
              <w:adjustRightInd/>
              <w:snapToGrid/>
              <w:spacing w:line="240" w:lineRule="auto"/>
              <w:ind w:firstLine="0" w:firstLineChars="0"/>
              <w:jc w:val="center"/>
              <w:rPr>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43" w:type="dxa"/>
            <w:vMerge w:val="continue"/>
            <w:shd w:val="clear" w:color="auto" w:fill="auto"/>
            <w:noWrap w:val="0"/>
            <w:tcMar>
              <w:left w:w="57" w:type="dxa"/>
              <w:right w:w="57" w:type="dxa"/>
            </w:tcMar>
            <w:vAlign w:val="center"/>
          </w:tcPr>
          <w:p>
            <w:pPr>
              <w:adjustRightInd/>
              <w:snapToGrid/>
              <w:spacing w:line="240" w:lineRule="auto"/>
              <w:ind w:firstLine="0" w:firstLineChars="0"/>
              <w:jc w:val="center"/>
              <w:rPr>
                <w:sz w:val="21"/>
              </w:rPr>
            </w:pPr>
          </w:p>
        </w:tc>
        <w:tc>
          <w:tcPr>
            <w:tcW w:w="715" w:type="dxa"/>
            <w:vMerge w:val="continue"/>
            <w:shd w:val="clear" w:color="auto" w:fill="auto"/>
            <w:noWrap w:val="0"/>
            <w:vAlign w:val="center"/>
          </w:tcPr>
          <w:p>
            <w:pPr>
              <w:adjustRightInd/>
              <w:snapToGrid/>
              <w:spacing w:line="240" w:lineRule="auto"/>
              <w:ind w:firstLine="0" w:firstLineChars="0"/>
              <w:jc w:val="center"/>
              <w:rPr>
                <w:sz w:val="21"/>
              </w:rPr>
            </w:pPr>
          </w:p>
        </w:tc>
        <w:tc>
          <w:tcPr>
            <w:tcW w:w="1560" w:type="dxa"/>
            <w:tcBorders>
              <w:left w:val="single" w:color="auto" w:sz="4" w:space="0"/>
            </w:tcBorders>
            <w:shd w:val="clear" w:color="auto" w:fill="auto"/>
            <w:noWrap w:val="0"/>
            <w:vAlign w:val="center"/>
          </w:tcPr>
          <w:p>
            <w:pPr>
              <w:adjustRightInd/>
              <w:snapToGrid/>
              <w:spacing w:line="240" w:lineRule="auto"/>
              <w:ind w:firstLine="0" w:firstLineChars="0"/>
              <w:jc w:val="center"/>
              <w:rPr>
                <w:color w:val="000000"/>
                <w:sz w:val="21"/>
                <w:szCs w:val="21"/>
              </w:rPr>
            </w:pPr>
            <w:r>
              <w:rPr>
                <w:rFonts w:hint="eastAsia"/>
                <w:color w:val="000000"/>
                <w:sz w:val="21"/>
                <w:szCs w:val="21"/>
              </w:rPr>
              <w:t>计算</w:t>
            </w:r>
            <w:r>
              <w:rPr>
                <w:color w:val="000000"/>
                <w:sz w:val="21"/>
                <w:szCs w:val="21"/>
              </w:rPr>
              <w:t>题</w:t>
            </w:r>
          </w:p>
        </w:tc>
        <w:tc>
          <w:tcPr>
            <w:tcW w:w="3260" w:type="dxa"/>
            <w:tcBorders>
              <w:left w:val="single" w:color="auto" w:sz="4" w:space="0"/>
              <w:bottom w:val="single" w:color="auto" w:sz="4" w:space="0"/>
            </w:tcBorders>
            <w:shd w:val="clear" w:color="auto" w:fill="auto"/>
            <w:noWrap w:val="0"/>
            <w:vAlign w:val="center"/>
          </w:tcPr>
          <w:p>
            <w:pPr>
              <w:adjustRightInd/>
              <w:snapToGrid/>
              <w:spacing w:line="240" w:lineRule="auto"/>
              <w:ind w:firstLine="0" w:firstLineChars="0"/>
              <w:rPr>
                <w:color w:val="000000"/>
                <w:sz w:val="21"/>
                <w:szCs w:val="21"/>
              </w:rPr>
            </w:pPr>
            <w:r>
              <w:rPr>
                <w:rFonts w:hint="eastAsia"/>
                <w:color w:val="000000"/>
                <w:sz w:val="21"/>
                <w:szCs w:val="21"/>
              </w:rPr>
              <w:t>主要考核单级平衡分离过程的计算、多组分精馏过程的严格计算、多组分精馏过程的简捷计算、吸收和解吸过程的简捷计算、化学吸收过程的分析与计算</w:t>
            </w:r>
          </w:p>
        </w:tc>
        <w:tc>
          <w:tcPr>
            <w:tcW w:w="638" w:type="dxa"/>
            <w:shd w:val="clear" w:color="auto" w:fill="FFFFFF"/>
            <w:noWrap w:val="0"/>
            <w:vAlign w:val="center"/>
          </w:tcPr>
          <w:p>
            <w:pPr>
              <w:adjustRightInd/>
              <w:snapToGrid/>
              <w:spacing w:line="240" w:lineRule="auto"/>
              <w:ind w:firstLine="0" w:firstLineChars="0"/>
              <w:jc w:val="center"/>
              <w:rPr>
                <w:color w:val="000000"/>
                <w:sz w:val="21"/>
                <w:szCs w:val="21"/>
              </w:rPr>
            </w:pPr>
            <w:r>
              <w:rPr>
                <w:color w:val="000000"/>
                <w:sz w:val="21"/>
                <w:szCs w:val="21"/>
              </w:rPr>
              <w:t>15</w:t>
            </w:r>
            <w:r>
              <w:rPr>
                <w:rFonts w:hint="eastAsia"/>
                <w:color w:val="000000"/>
                <w:sz w:val="21"/>
                <w:szCs w:val="21"/>
              </w:rPr>
              <w:t>%</w:t>
            </w:r>
          </w:p>
        </w:tc>
        <w:tc>
          <w:tcPr>
            <w:tcW w:w="638" w:type="dxa"/>
            <w:shd w:val="clear" w:color="auto" w:fill="FFFFFF"/>
            <w:noWrap w:val="0"/>
            <w:vAlign w:val="center"/>
          </w:tcPr>
          <w:p>
            <w:pPr>
              <w:adjustRightInd/>
              <w:snapToGrid/>
              <w:spacing w:line="240" w:lineRule="auto"/>
              <w:ind w:firstLine="0" w:firstLineChars="0"/>
              <w:jc w:val="center"/>
              <w:rPr>
                <w:color w:val="000000"/>
                <w:sz w:val="21"/>
                <w:szCs w:val="21"/>
              </w:rPr>
            </w:pPr>
            <w:r>
              <w:rPr>
                <w:color w:val="000000"/>
                <w:sz w:val="21"/>
                <w:szCs w:val="21"/>
              </w:rPr>
              <w:t>15</w:t>
            </w:r>
            <w:r>
              <w:rPr>
                <w:rFonts w:hint="eastAsia"/>
                <w:color w:val="000000"/>
                <w:sz w:val="21"/>
                <w:szCs w:val="21"/>
              </w:rPr>
              <w:t>%</w:t>
            </w:r>
          </w:p>
        </w:tc>
        <w:tc>
          <w:tcPr>
            <w:tcW w:w="638" w:type="dxa"/>
            <w:shd w:val="clear" w:color="auto" w:fill="FFFFFF"/>
            <w:noWrap w:val="0"/>
            <w:vAlign w:val="center"/>
          </w:tcPr>
          <w:p>
            <w:pPr>
              <w:adjustRightInd/>
              <w:snapToGrid/>
              <w:spacing w:line="240" w:lineRule="auto"/>
              <w:ind w:firstLine="0" w:firstLineChars="0"/>
              <w:jc w:val="center"/>
              <w:rPr>
                <w:color w:val="000000"/>
                <w:sz w:val="21"/>
                <w:szCs w:val="21"/>
              </w:rPr>
            </w:pPr>
          </w:p>
        </w:tc>
        <w:tc>
          <w:tcPr>
            <w:tcW w:w="638" w:type="dxa"/>
            <w:shd w:val="clear" w:color="auto" w:fill="FFFFFF"/>
            <w:noWrap w:val="0"/>
            <w:vAlign w:val="center"/>
          </w:tcPr>
          <w:p>
            <w:pPr>
              <w:adjustRightInd/>
              <w:snapToGrid/>
              <w:spacing w:line="240" w:lineRule="auto"/>
              <w:ind w:firstLine="0" w:firstLineChars="0"/>
              <w:jc w:val="center"/>
              <w:rPr>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043" w:type="dxa"/>
            <w:shd w:val="clear" w:color="auto" w:fill="auto"/>
            <w:noWrap w:val="0"/>
            <w:tcMar>
              <w:left w:w="57" w:type="dxa"/>
              <w:right w:w="57" w:type="dxa"/>
            </w:tcMar>
            <w:vAlign w:val="center"/>
          </w:tcPr>
          <w:p>
            <w:pPr>
              <w:adjustRightInd/>
              <w:snapToGrid/>
              <w:spacing w:line="240" w:lineRule="auto"/>
              <w:ind w:firstLine="0" w:firstLineChars="0"/>
              <w:jc w:val="center"/>
              <w:rPr>
                <w:sz w:val="21"/>
              </w:rPr>
            </w:pPr>
            <w:r>
              <w:rPr>
                <w:rFonts w:hint="eastAsia"/>
                <w:sz w:val="21"/>
              </w:rPr>
              <w:t>合    计</w:t>
            </w:r>
          </w:p>
        </w:tc>
        <w:tc>
          <w:tcPr>
            <w:tcW w:w="715" w:type="dxa"/>
            <w:shd w:val="clear" w:color="auto" w:fill="auto"/>
            <w:noWrap w:val="0"/>
            <w:vAlign w:val="center"/>
          </w:tcPr>
          <w:p>
            <w:pPr>
              <w:adjustRightInd/>
              <w:snapToGrid/>
              <w:spacing w:line="240" w:lineRule="auto"/>
              <w:ind w:firstLine="0" w:firstLineChars="0"/>
              <w:jc w:val="center"/>
              <w:rPr>
                <w:sz w:val="21"/>
              </w:rPr>
            </w:pPr>
            <w:r>
              <w:rPr>
                <w:rFonts w:hint="eastAsia"/>
                <w:sz w:val="21"/>
              </w:rPr>
              <w:t>100%</w:t>
            </w:r>
          </w:p>
        </w:tc>
        <w:tc>
          <w:tcPr>
            <w:tcW w:w="4820" w:type="dxa"/>
            <w:gridSpan w:val="2"/>
            <w:tcBorders>
              <w:left w:val="single" w:color="auto" w:sz="4" w:space="0"/>
            </w:tcBorders>
            <w:shd w:val="clear" w:color="auto" w:fill="auto"/>
            <w:noWrap w:val="0"/>
            <w:vAlign w:val="center"/>
          </w:tcPr>
          <w:p>
            <w:pPr>
              <w:adjustRightInd/>
              <w:snapToGrid/>
              <w:spacing w:line="240" w:lineRule="auto"/>
              <w:ind w:firstLine="0" w:firstLineChars="0"/>
              <w:rPr>
                <w:color w:val="000000"/>
                <w:sz w:val="21"/>
                <w:szCs w:val="21"/>
              </w:rPr>
            </w:pPr>
          </w:p>
        </w:tc>
        <w:tc>
          <w:tcPr>
            <w:tcW w:w="638" w:type="dxa"/>
            <w:shd w:val="clear" w:color="auto" w:fill="FFFFFF"/>
            <w:noWrap w:val="0"/>
            <w:vAlign w:val="center"/>
          </w:tcPr>
          <w:p>
            <w:pPr>
              <w:adjustRightInd/>
              <w:snapToGrid/>
              <w:spacing w:line="240" w:lineRule="auto"/>
              <w:ind w:firstLine="0" w:firstLineChars="0"/>
              <w:jc w:val="center"/>
              <w:rPr>
                <w:color w:val="000000"/>
                <w:sz w:val="21"/>
                <w:szCs w:val="21"/>
              </w:rPr>
            </w:pPr>
            <w:r>
              <w:rPr>
                <w:color w:val="000000"/>
                <w:sz w:val="21"/>
                <w:szCs w:val="21"/>
              </w:rPr>
              <w:t>50</w:t>
            </w:r>
            <w:r>
              <w:rPr>
                <w:rFonts w:hint="eastAsia"/>
                <w:color w:val="000000"/>
                <w:sz w:val="21"/>
                <w:szCs w:val="21"/>
              </w:rPr>
              <w:t>%</w:t>
            </w:r>
          </w:p>
        </w:tc>
        <w:tc>
          <w:tcPr>
            <w:tcW w:w="638" w:type="dxa"/>
            <w:shd w:val="clear" w:color="auto" w:fill="FFFFFF"/>
            <w:noWrap w:val="0"/>
            <w:vAlign w:val="center"/>
          </w:tcPr>
          <w:p>
            <w:pPr>
              <w:adjustRightInd/>
              <w:snapToGrid/>
              <w:spacing w:line="240" w:lineRule="auto"/>
              <w:ind w:firstLine="0" w:firstLineChars="0"/>
              <w:jc w:val="center"/>
              <w:rPr>
                <w:color w:val="000000"/>
                <w:sz w:val="21"/>
                <w:szCs w:val="21"/>
              </w:rPr>
            </w:pPr>
            <w:r>
              <w:rPr>
                <w:color w:val="000000"/>
                <w:sz w:val="21"/>
                <w:szCs w:val="21"/>
              </w:rPr>
              <w:t>50</w:t>
            </w:r>
            <w:r>
              <w:rPr>
                <w:rFonts w:hint="eastAsia"/>
                <w:color w:val="000000"/>
                <w:sz w:val="21"/>
                <w:szCs w:val="21"/>
              </w:rPr>
              <w:t>%</w:t>
            </w:r>
          </w:p>
        </w:tc>
        <w:tc>
          <w:tcPr>
            <w:tcW w:w="638" w:type="dxa"/>
            <w:shd w:val="clear" w:color="auto" w:fill="FFFFFF"/>
            <w:noWrap w:val="0"/>
            <w:vAlign w:val="center"/>
          </w:tcPr>
          <w:p>
            <w:pPr>
              <w:adjustRightInd/>
              <w:snapToGrid/>
              <w:spacing w:line="240" w:lineRule="auto"/>
              <w:ind w:firstLine="0" w:firstLineChars="0"/>
              <w:jc w:val="center"/>
              <w:rPr>
                <w:color w:val="000000"/>
                <w:sz w:val="21"/>
                <w:szCs w:val="21"/>
              </w:rPr>
            </w:pPr>
          </w:p>
        </w:tc>
        <w:tc>
          <w:tcPr>
            <w:tcW w:w="638" w:type="dxa"/>
            <w:shd w:val="clear" w:color="auto" w:fill="FFFFFF"/>
            <w:noWrap w:val="0"/>
            <w:vAlign w:val="center"/>
          </w:tcPr>
          <w:p>
            <w:pPr>
              <w:adjustRightInd/>
              <w:snapToGrid/>
              <w:spacing w:line="240" w:lineRule="auto"/>
              <w:ind w:firstLine="0" w:firstLineChars="0"/>
              <w:jc w:val="center"/>
              <w:rPr>
                <w:color w:val="000000"/>
                <w:sz w:val="21"/>
                <w:szCs w:val="21"/>
              </w:rPr>
            </w:pPr>
          </w:p>
        </w:tc>
      </w:tr>
    </w:tbl>
    <w:p>
      <w:pPr>
        <w:spacing w:line="360" w:lineRule="auto"/>
        <w:ind w:firstLine="0" w:firstLineChars="0"/>
        <w:rPr>
          <w:rFonts w:hint="eastAsia"/>
        </w:rPr>
      </w:pPr>
    </w:p>
    <w:p>
      <w:pPr>
        <w:spacing w:line="360" w:lineRule="auto"/>
        <w:ind w:firstLine="480"/>
        <w:rPr>
          <w:szCs w:val="22"/>
        </w:rPr>
      </w:pPr>
      <w:r>
        <w:rPr>
          <w:szCs w:val="22"/>
        </w:rPr>
        <w:t>（三）所有课程目标均</w:t>
      </w:r>
      <w:r>
        <w:rPr>
          <w:rFonts w:hint="eastAsia"/>
          <w:szCs w:val="22"/>
        </w:rPr>
        <w:t>需</w:t>
      </w:r>
      <w:r>
        <w:rPr>
          <w:szCs w:val="22"/>
        </w:rPr>
        <w:t>大于等于0.6，否则总评成绩不及格，需要补考或重</w:t>
      </w:r>
      <w:r>
        <w:rPr>
          <w:rFonts w:hint="eastAsia"/>
          <w:szCs w:val="22"/>
        </w:rPr>
        <w:t>修。</w:t>
      </w:r>
      <w:r>
        <w:rPr>
          <w:szCs w:val="22"/>
        </w:rPr>
        <w:t>每</w:t>
      </w:r>
      <w:r>
        <w:rPr>
          <w:rFonts w:hint="eastAsia"/>
          <w:szCs w:val="22"/>
        </w:rPr>
        <w:t>个</w:t>
      </w:r>
      <w:r>
        <w:rPr>
          <w:szCs w:val="22"/>
        </w:rPr>
        <w:t>课程目标达成度计算方法如下：</w:t>
      </w:r>
    </w:p>
    <w:p>
      <w:pPr>
        <w:widowControl/>
        <w:spacing w:line="360" w:lineRule="auto"/>
        <w:ind w:firstLine="480"/>
        <w:jc w:val="center"/>
        <w:textAlignment w:val="baseline"/>
        <w:rPr>
          <w:rFonts w:hint="eastAsia"/>
          <w:kern w:val="0"/>
          <w:position w:val="-22"/>
          <w:szCs w:val="21"/>
        </w:rPr>
      </w:pPr>
      <w:r>
        <w:rPr>
          <w:kern w:val="0"/>
          <w:position w:val="-22"/>
          <w:szCs w:val="21"/>
        </w:rPr>
        <w:pict>
          <v:shape id="_x0000_s2057" o:spid="_x0000_s2057" o:spt="75" type="#_x0000_t75" style="position:absolute;left:0pt;margin-left:42.7pt;margin-top:7.85pt;height:32.65pt;width:360pt;mso-wrap-distance-bottom:0pt;mso-wrap-distance-left:9pt;mso-wrap-distance-right:9pt;mso-wrap-distance-top:0pt;z-index:251664384;mso-width-relative:page;mso-height-relative:page;" o:ole="t" filled="f" o:preferrelative="t" stroked="f" coordsize="21600,21600">
            <v:path/>
            <v:fill on="f" alignshape="1" focussize="0,0"/>
            <v:stroke on="f"/>
            <v:imagedata r:id="rId28" o:title=""/>
            <o:lock v:ext="edit" aspectratio="t"/>
            <w10:wrap type="square"/>
          </v:shape>
          <o:OLEObject Type="Embed" ProgID="Equation.3" ShapeID="_x0000_s2057" DrawAspect="Content" ObjectID="_1468075740" r:id="rId39">
            <o:LockedField>false</o:LockedField>
          </o:OLEObject>
        </w:pict>
      </w:r>
    </w:p>
    <w:p>
      <w:pPr>
        <w:widowControl/>
        <w:spacing w:line="360" w:lineRule="auto"/>
        <w:ind w:firstLine="480"/>
        <w:jc w:val="center"/>
        <w:textAlignment w:val="baseline"/>
        <w:rPr>
          <w:rFonts w:hint="eastAsia"/>
          <w:kern w:val="0"/>
          <w:position w:val="-22"/>
          <w:szCs w:val="21"/>
        </w:rPr>
      </w:pPr>
    </w:p>
    <w:p>
      <w:pPr>
        <w:spacing w:line="360" w:lineRule="auto"/>
        <w:ind w:firstLine="480"/>
        <w:rPr>
          <w:szCs w:val="22"/>
        </w:rPr>
      </w:pPr>
      <w:r>
        <w:rPr>
          <w:szCs w:val="22"/>
        </w:rPr>
        <w:t>式中：Ai=平时成绩占总评成绩的权重×课程目标i在平时成绩中的权重，</w:t>
      </w:r>
    </w:p>
    <w:p>
      <w:pPr>
        <w:spacing w:line="360" w:lineRule="auto"/>
        <w:ind w:firstLine="630" w:firstLineChars="300"/>
        <w:rPr>
          <w:szCs w:val="22"/>
        </w:rPr>
      </w:pPr>
      <w:r>
        <w:rPr>
          <w:szCs w:val="22"/>
        </w:rPr>
        <w:t>Bi=实</w:t>
      </w:r>
      <w:r>
        <w:rPr>
          <w:rFonts w:hint="eastAsia"/>
          <w:szCs w:val="22"/>
        </w:rPr>
        <w:t>验</w:t>
      </w:r>
      <w:r>
        <w:rPr>
          <w:szCs w:val="22"/>
        </w:rPr>
        <w:t>成绩占总评成绩的权重×课程目标i在实</w:t>
      </w:r>
      <w:r>
        <w:rPr>
          <w:rFonts w:hint="eastAsia"/>
          <w:szCs w:val="22"/>
        </w:rPr>
        <w:t>验</w:t>
      </w:r>
      <w:r>
        <w:rPr>
          <w:szCs w:val="22"/>
        </w:rPr>
        <w:t>成绩中的权重，</w:t>
      </w:r>
    </w:p>
    <w:p>
      <w:pPr>
        <w:spacing w:line="360" w:lineRule="auto"/>
        <w:ind w:firstLine="630" w:firstLineChars="300"/>
        <w:rPr>
          <w:szCs w:val="22"/>
        </w:rPr>
      </w:pPr>
      <w:r>
        <w:rPr>
          <w:szCs w:val="22"/>
        </w:rPr>
        <w:t>Ci=</w:t>
      </w:r>
      <w:r>
        <w:rPr>
          <w:rFonts w:hint="eastAsia"/>
          <w:szCs w:val="22"/>
        </w:rPr>
        <w:t>期末</w:t>
      </w:r>
      <w:r>
        <w:rPr>
          <w:szCs w:val="22"/>
        </w:rPr>
        <w:t>成绩占总评成绩的权重×课程目标i在</w:t>
      </w:r>
      <w:r>
        <w:rPr>
          <w:rFonts w:hint="eastAsia"/>
          <w:szCs w:val="22"/>
        </w:rPr>
        <w:t>期末</w:t>
      </w:r>
      <w:r>
        <w:rPr>
          <w:szCs w:val="22"/>
        </w:rPr>
        <w:t>成绩中的权重。</w:t>
      </w:r>
    </w:p>
    <w:p>
      <w:pPr>
        <w:bidi w:val="0"/>
        <w:rPr>
          <w:rFonts w:hint="eastAsia"/>
          <w:b/>
          <w:bCs/>
          <w:sz w:val="28"/>
          <w:szCs w:val="28"/>
          <w:lang w:val="en-US" w:eastAsia="zh-CN"/>
        </w:rPr>
      </w:pPr>
      <w:bookmarkStart w:id="279" w:name="_Toc29673"/>
      <w:r>
        <w:rPr>
          <w:rFonts w:hint="eastAsia"/>
          <w:b/>
          <w:bCs/>
          <w:sz w:val="28"/>
          <w:szCs w:val="28"/>
          <w:lang w:val="en-US" w:eastAsia="zh-CN"/>
        </w:rPr>
        <w:t>七、有关说明</w:t>
      </w:r>
      <w:bookmarkEnd w:id="279"/>
    </w:p>
    <w:p>
      <w:pPr>
        <w:bidi w:val="0"/>
        <w:rPr>
          <w:rFonts w:hint="eastAsia"/>
          <w:b/>
          <w:bCs/>
          <w:sz w:val="28"/>
          <w:szCs w:val="28"/>
        </w:rPr>
      </w:pPr>
      <w:bookmarkStart w:id="280" w:name="_Toc13609"/>
      <w:r>
        <w:rPr>
          <w:rFonts w:hint="eastAsia"/>
          <w:b/>
          <w:bCs/>
          <w:sz w:val="28"/>
          <w:szCs w:val="28"/>
        </w:rPr>
        <w:t>持续改进</w:t>
      </w:r>
      <w:bookmarkEnd w:id="280"/>
    </w:p>
    <w:p>
      <w:pPr>
        <w:spacing w:line="360" w:lineRule="auto"/>
        <w:ind w:firstLine="480"/>
        <w:rPr>
          <w:szCs w:val="22"/>
        </w:rPr>
      </w:pPr>
      <w:r>
        <w:rPr>
          <w:szCs w:val="22"/>
        </w:rPr>
        <w:t>本课程根据学生作业、课堂讨论、实验环节、平时考核情况和学生、教学督导等</w:t>
      </w:r>
      <w:r>
        <w:rPr>
          <w:rFonts w:hint="eastAsia"/>
          <w:szCs w:val="22"/>
        </w:rPr>
        <w:t>的</w:t>
      </w:r>
      <w:r>
        <w:rPr>
          <w:szCs w:val="22"/>
        </w:rPr>
        <w:t>反馈，及时对教学中</w:t>
      </w:r>
      <w:r>
        <w:rPr>
          <w:rFonts w:hint="eastAsia"/>
          <w:szCs w:val="22"/>
        </w:rPr>
        <w:t>的</w:t>
      </w:r>
      <w:r>
        <w:rPr>
          <w:szCs w:val="22"/>
        </w:rPr>
        <w:t>不足之处进行改进，并在下一轮课程教学中</w:t>
      </w:r>
      <w:r>
        <w:rPr>
          <w:rFonts w:hint="eastAsia"/>
          <w:szCs w:val="22"/>
        </w:rPr>
        <w:t>整改完善</w:t>
      </w:r>
      <w:r>
        <w:rPr>
          <w:szCs w:val="22"/>
        </w:rPr>
        <w:t>，确保相应毕业要求指标点达成。</w:t>
      </w:r>
    </w:p>
    <w:p>
      <w:pPr>
        <w:bidi w:val="0"/>
        <w:rPr>
          <w:rFonts w:hint="eastAsia"/>
          <w:b/>
          <w:bCs/>
          <w:sz w:val="28"/>
          <w:szCs w:val="28"/>
          <w:lang w:val="en-US" w:eastAsia="zh-CN"/>
        </w:rPr>
      </w:pPr>
      <w:bookmarkStart w:id="281" w:name="_Toc30381"/>
      <w:r>
        <w:rPr>
          <w:rFonts w:hint="eastAsia"/>
          <w:b/>
          <w:bCs/>
          <w:sz w:val="28"/>
          <w:szCs w:val="28"/>
          <w:lang w:val="en-US" w:eastAsia="zh-CN"/>
        </w:rPr>
        <w:t>八、参考书目及学习资料</w:t>
      </w:r>
      <w:bookmarkEnd w:id="281"/>
    </w:p>
    <w:p>
      <w:pPr>
        <w:numPr>
          <w:ilvl w:val="0"/>
          <w:numId w:val="2"/>
        </w:numPr>
        <w:adjustRightInd/>
        <w:snapToGrid/>
        <w:ind w:firstLine="480" w:firstLineChars="0"/>
        <w:jc w:val="left"/>
      </w:pPr>
      <w:r>
        <w:rPr>
          <w:rFonts w:hint="eastAsia"/>
        </w:rPr>
        <w:t>朱家文、吴艳阳等. 分离工程. 北京：化学工业出版社,201</w:t>
      </w:r>
      <w:r>
        <w:t>9</w:t>
      </w:r>
      <w:r>
        <w:rPr>
          <w:rFonts w:hint="eastAsia"/>
        </w:rPr>
        <w:t>年</w:t>
      </w:r>
    </w:p>
    <w:p>
      <w:pPr>
        <w:numPr>
          <w:ilvl w:val="0"/>
          <w:numId w:val="2"/>
        </w:numPr>
        <w:adjustRightInd/>
        <w:snapToGrid/>
        <w:ind w:firstLine="480"/>
        <w:jc w:val="left"/>
        <w:rPr>
          <w:rFonts w:hint="eastAsia"/>
        </w:rPr>
      </w:pPr>
      <w:r>
        <w:rPr>
          <w:rFonts w:hint="eastAsia"/>
        </w:rPr>
        <w:t>陈家钫、刘家祺等. 化工分离过程. 北京：化学工业出版社，2014年</w:t>
      </w:r>
    </w:p>
    <w:p>
      <w:pPr>
        <w:numPr>
          <w:ilvl w:val="0"/>
          <w:numId w:val="2"/>
        </w:numPr>
        <w:adjustRightInd/>
        <w:snapToGrid/>
        <w:ind w:firstLine="480"/>
        <w:jc w:val="left"/>
        <w:rPr>
          <w:rFonts w:hint="eastAsia"/>
        </w:rPr>
      </w:pPr>
      <w:r>
        <w:rPr>
          <w:rFonts w:hint="eastAsia"/>
        </w:rPr>
        <w:t>陈欢林等. 新型分离技术(第2版). 北京：化学工业出版社，2013年.</w:t>
      </w:r>
    </w:p>
    <w:p>
      <w:pPr>
        <w:numPr>
          <w:ilvl w:val="0"/>
          <w:numId w:val="2"/>
        </w:numPr>
        <w:adjustRightInd/>
        <w:snapToGrid/>
        <w:ind w:firstLine="480"/>
        <w:jc w:val="left"/>
        <w:rPr>
          <w:rFonts w:hint="eastAsia"/>
        </w:rPr>
      </w:pPr>
      <w:r>
        <w:rPr>
          <w:rFonts w:hint="eastAsia"/>
        </w:rPr>
        <w:t>贾绍义. 化工传质与分离过程. 北京：化学工业出版社，2010年.</w:t>
      </w:r>
    </w:p>
    <w:p>
      <w:pPr>
        <w:adjustRightInd/>
        <w:snapToGrid/>
        <w:ind w:left="480" w:firstLine="0" w:firstLineChars="0"/>
        <w:jc w:val="left"/>
        <w:rPr>
          <w:rFonts w:hint="eastAsia"/>
        </w:rPr>
      </w:pPr>
    </w:p>
    <w:p>
      <w:pPr>
        <w:autoSpaceDE w:val="0"/>
        <w:autoSpaceDN w:val="0"/>
        <w:spacing w:line="360" w:lineRule="auto"/>
        <w:ind w:firstLine="480"/>
        <w:jc w:val="left"/>
        <w:rPr>
          <w:rFonts w:hint="eastAsia"/>
          <w:kern w:val="0"/>
          <w:szCs w:val="21"/>
        </w:rPr>
      </w:pPr>
    </w:p>
    <w:p>
      <w:pPr>
        <w:autoSpaceDE w:val="0"/>
        <w:autoSpaceDN w:val="0"/>
        <w:spacing w:line="360" w:lineRule="auto"/>
        <w:ind w:firstLine="6405" w:firstLineChars="3050"/>
        <w:jc w:val="left"/>
        <w:rPr>
          <w:kern w:val="0"/>
          <w:szCs w:val="21"/>
        </w:rPr>
      </w:pPr>
      <w:r>
        <w:rPr>
          <w:kern w:val="0"/>
          <w:szCs w:val="21"/>
        </w:rPr>
        <w:t>执笔人：</w:t>
      </w:r>
      <w:r>
        <w:rPr>
          <w:rFonts w:hint="eastAsia"/>
          <w:kern w:val="0"/>
          <w:szCs w:val="21"/>
        </w:rPr>
        <w:t>董爽</w:t>
      </w:r>
    </w:p>
    <w:p>
      <w:pPr>
        <w:autoSpaceDE w:val="0"/>
        <w:autoSpaceDN w:val="0"/>
        <w:spacing w:line="360" w:lineRule="auto"/>
        <w:ind w:firstLine="6405" w:firstLineChars="3050"/>
        <w:jc w:val="left"/>
        <w:rPr>
          <w:rFonts w:hint="eastAsia"/>
          <w:kern w:val="0"/>
          <w:szCs w:val="21"/>
        </w:rPr>
      </w:pPr>
      <w:r>
        <w:rPr>
          <w:kern w:val="0"/>
          <w:szCs w:val="21"/>
        </w:rPr>
        <w:t>审定人：</w:t>
      </w:r>
      <w:r>
        <w:rPr>
          <w:rFonts w:hint="eastAsia"/>
          <w:kern w:val="0"/>
          <w:szCs w:val="21"/>
        </w:rPr>
        <w:t>魏雪姣</w:t>
      </w:r>
    </w:p>
    <w:p>
      <w:pPr>
        <w:autoSpaceDE w:val="0"/>
        <w:autoSpaceDN w:val="0"/>
        <w:spacing w:line="360" w:lineRule="auto"/>
        <w:ind w:firstLine="6405" w:firstLineChars="3050"/>
        <w:jc w:val="left"/>
        <w:rPr>
          <w:rFonts w:hint="eastAsia"/>
          <w:kern w:val="0"/>
          <w:szCs w:val="21"/>
        </w:rPr>
      </w:pPr>
      <w:r>
        <w:rPr>
          <w:rFonts w:hint="eastAsia"/>
          <w:kern w:val="0"/>
          <w:szCs w:val="21"/>
        </w:rPr>
        <w:t>审批</w:t>
      </w:r>
      <w:r>
        <w:rPr>
          <w:kern w:val="0"/>
          <w:szCs w:val="21"/>
        </w:rPr>
        <w:t>人：</w:t>
      </w:r>
      <w:r>
        <w:rPr>
          <w:rFonts w:hint="eastAsia"/>
          <w:kern w:val="0"/>
          <w:szCs w:val="21"/>
        </w:rPr>
        <w:t>吴泽颖</w:t>
      </w:r>
    </w:p>
    <w:p>
      <w:pPr>
        <w:autoSpaceDE w:val="0"/>
        <w:autoSpaceDN w:val="0"/>
        <w:spacing w:line="360" w:lineRule="auto"/>
        <w:ind w:firstLine="6405" w:firstLineChars="3050"/>
        <w:jc w:val="left"/>
        <w:rPr>
          <w:rFonts w:hint="default" w:eastAsia="宋体"/>
          <w:kern w:val="0"/>
          <w:szCs w:val="21"/>
          <w:lang w:val="en-US" w:eastAsia="zh-CN"/>
        </w:rPr>
      </w:pPr>
      <w:r>
        <w:rPr>
          <w:rFonts w:hint="eastAsia"/>
          <w:kern w:val="0"/>
          <w:szCs w:val="21"/>
          <w:lang w:eastAsia="zh-CN"/>
        </w:rPr>
        <w:t>批准时间：</w:t>
      </w:r>
      <w:r>
        <w:rPr>
          <w:rFonts w:hint="eastAsia"/>
          <w:kern w:val="0"/>
          <w:szCs w:val="21"/>
          <w:lang w:val="en-US" w:eastAsia="zh-CN"/>
        </w:rPr>
        <w:t>2021.9.1</w:t>
      </w:r>
    </w:p>
    <w:p>
      <w:pPr>
        <w:autoSpaceDE w:val="0"/>
        <w:autoSpaceDN w:val="0"/>
        <w:spacing w:line="360" w:lineRule="auto"/>
        <w:ind w:firstLine="6405" w:firstLineChars="3050"/>
        <w:jc w:val="left"/>
        <w:rPr>
          <w:rFonts w:hint="eastAsia"/>
        </w:rPr>
      </w:pPr>
    </w:p>
    <w:p>
      <w:pPr>
        <w:autoSpaceDE w:val="0"/>
        <w:autoSpaceDN w:val="0"/>
        <w:adjustRightInd w:val="0"/>
        <w:spacing w:line="360" w:lineRule="auto"/>
        <w:ind w:firstLine="6240" w:firstLineChars="2600"/>
        <w:jc w:val="left"/>
        <w:rPr>
          <w:kern w:val="0"/>
          <w:sz w:val="24"/>
          <w:szCs w:val="21"/>
        </w:rPr>
      </w:pPr>
    </w:p>
    <w:p>
      <w:pPr>
        <w:autoSpaceDE w:val="0"/>
        <w:autoSpaceDN w:val="0"/>
        <w:adjustRightInd w:val="0"/>
        <w:spacing w:line="360" w:lineRule="auto"/>
        <w:ind w:firstLine="6240" w:firstLineChars="2600"/>
        <w:jc w:val="left"/>
        <w:rPr>
          <w:kern w:val="0"/>
          <w:sz w:val="24"/>
          <w:szCs w:val="21"/>
        </w:rPr>
      </w:pPr>
    </w:p>
    <w:p>
      <w:pPr>
        <w:autoSpaceDE w:val="0"/>
        <w:autoSpaceDN w:val="0"/>
        <w:adjustRightInd w:val="0"/>
        <w:spacing w:line="360" w:lineRule="auto"/>
        <w:ind w:firstLine="6240" w:firstLineChars="2600"/>
        <w:jc w:val="left"/>
        <w:rPr>
          <w:kern w:val="0"/>
          <w:sz w:val="24"/>
          <w:szCs w:val="21"/>
        </w:rPr>
      </w:pPr>
    </w:p>
    <w:p>
      <w:pPr>
        <w:pStyle w:val="3"/>
        <w:bidi w:val="0"/>
        <w:jc w:val="center"/>
        <w:rPr>
          <w:rFonts w:hint="eastAsia"/>
        </w:rPr>
      </w:pPr>
      <w:bookmarkStart w:id="282" w:name="_Toc9542"/>
    </w:p>
    <w:p>
      <w:pPr>
        <w:pStyle w:val="3"/>
        <w:bidi w:val="0"/>
        <w:jc w:val="center"/>
        <w:rPr>
          <w:rFonts w:hint="eastAsia"/>
        </w:rPr>
      </w:pPr>
    </w:p>
    <w:p>
      <w:pPr>
        <w:pStyle w:val="3"/>
        <w:bidi w:val="0"/>
        <w:jc w:val="center"/>
        <w:rPr>
          <w:rFonts w:hint="eastAsia"/>
        </w:rPr>
      </w:pPr>
    </w:p>
    <w:p>
      <w:pPr>
        <w:pStyle w:val="3"/>
        <w:bidi w:val="0"/>
        <w:jc w:val="center"/>
        <w:rPr>
          <w:rFonts w:hint="eastAsia"/>
        </w:rPr>
      </w:pPr>
    </w:p>
    <w:p>
      <w:pPr>
        <w:pStyle w:val="3"/>
        <w:bidi w:val="0"/>
        <w:jc w:val="center"/>
        <w:rPr>
          <w:rFonts w:hint="eastAsia"/>
        </w:rPr>
      </w:pPr>
    </w:p>
    <w:p>
      <w:pPr>
        <w:pStyle w:val="3"/>
        <w:bidi w:val="0"/>
        <w:jc w:val="center"/>
      </w:pPr>
      <w:bookmarkStart w:id="283" w:name="_Toc18994"/>
      <w:r>
        <w:rPr>
          <w:rFonts w:hint="eastAsia"/>
        </w:rPr>
        <w:t>纳米药物学</w:t>
      </w:r>
      <w:r>
        <w:t>课程教学大纲</w:t>
      </w:r>
      <w:bookmarkEnd w:id="282"/>
      <w:bookmarkEnd w:id="283"/>
    </w:p>
    <w:p>
      <w:pPr>
        <w:jc w:val="center"/>
        <w:rPr>
          <w:b/>
          <w:bCs/>
          <w:sz w:val="30"/>
        </w:rPr>
      </w:pPr>
      <w:r>
        <w:rPr>
          <w:b/>
          <w:bCs/>
          <w:sz w:val="30"/>
        </w:rPr>
        <w:t>（</w:t>
      </w:r>
      <w:r>
        <w:rPr>
          <w:rFonts w:hint="eastAsia"/>
          <w:b/>
          <w:bCs/>
          <w:sz w:val="30"/>
        </w:rPr>
        <w:t>Nano Pharmacology</w:t>
      </w:r>
      <w:r>
        <w:rPr>
          <w:b/>
          <w:bCs/>
          <w:sz w:val="30"/>
        </w:rPr>
        <w:t>）</w:t>
      </w:r>
    </w:p>
    <w:p>
      <w:pPr>
        <w:spacing w:line="360" w:lineRule="auto"/>
        <w:rPr>
          <w:b/>
          <w:sz w:val="28"/>
          <w:szCs w:val="28"/>
        </w:rPr>
      </w:pPr>
      <w:r>
        <w:rPr>
          <w:b/>
          <w:sz w:val="28"/>
          <w:szCs w:val="28"/>
        </w:rPr>
        <w:t>一、课程概况</w:t>
      </w:r>
    </w:p>
    <w:p>
      <w:pPr>
        <w:spacing w:line="360" w:lineRule="auto"/>
        <w:ind w:firstLine="482" w:firstLineChars="200"/>
        <w:rPr>
          <w:b/>
          <w:sz w:val="28"/>
          <w:szCs w:val="28"/>
        </w:rPr>
      </w:pPr>
      <w:r>
        <w:rPr>
          <w:b/>
          <w:bCs/>
          <w:kern w:val="0"/>
          <w:sz w:val="24"/>
        </w:rPr>
        <w:t>课程代码</w:t>
      </w:r>
      <w:r>
        <w:rPr>
          <w:b/>
          <w:kern w:val="0"/>
          <w:sz w:val="24"/>
        </w:rPr>
        <w:t>：</w:t>
      </w:r>
      <w:r>
        <w:rPr>
          <w:rFonts w:hint="eastAsia"/>
          <w:b/>
          <w:kern w:val="0"/>
          <w:sz w:val="24"/>
        </w:rPr>
        <w:t>2501051</w:t>
      </w:r>
    </w:p>
    <w:p>
      <w:pPr>
        <w:spacing w:line="360" w:lineRule="auto"/>
        <w:ind w:firstLine="482" w:firstLineChars="200"/>
        <w:rPr>
          <w:kern w:val="0"/>
          <w:sz w:val="24"/>
        </w:rPr>
      </w:pPr>
      <w:r>
        <w:rPr>
          <w:b/>
          <w:bCs/>
          <w:kern w:val="0"/>
          <w:sz w:val="24"/>
        </w:rPr>
        <w:t>学    分</w:t>
      </w:r>
      <w:r>
        <w:rPr>
          <w:b/>
          <w:kern w:val="0"/>
          <w:sz w:val="24"/>
        </w:rPr>
        <w:t>：</w:t>
      </w:r>
      <w:r>
        <w:rPr>
          <w:rFonts w:hint="eastAsia"/>
          <w:b/>
          <w:kern w:val="0"/>
          <w:sz w:val="24"/>
        </w:rPr>
        <w:t>2</w:t>
      </w:r>
    </w:p>
    <w:p>
      <w:pPr>
        <w:spacing w:line="360" w:lineRule="auto"/>
        <w:ind w:firstLine="482" w:firstLineChars="200"/>
        <w:rPr>
          <w:b/>
          <w:kern w:val="0"/>
          <w:sz w:val="24"/>
        </w:rPr>
      </w:pPr>
      <w:r>
        <w:rPr>
          <w:b/>
          <w:bCs/>
          <w:kern w:val="0"/>
          <w:sz w:val="24"/>
        </w:rPr>
        <w:t>学    时</w:t>
      </w:r>
      <w:r>
        <w:rPr>
          <w:b/>
          <w:kern w:val="0"/>
          <w:sz w:val="24"/>
        </w:rPr>
        <w:t>：</w:t>
      </w:r>
      <w:r>
        <w:rPr>
          <w:rFonts w:hint="eastAsia"/>
          <w:b/>
          <w:kern w:val="0"/>
          <w:sz w:val="24"/>
        </w:rPr>
        <w:t>32</w:t>
      </w:r>
    </w:p>
    <w:p>
      <w:pPr>
        <w:spacing w:line="360" w:lineRule="auto"/>
        <w:ind w:firstLine="482" w:firstLineChars="200"/>
        <w:rPr>
          <w:bCs/>
          <w:sz w:val="24"/>
        </w:rPr>
      </w:pPr>
      <w:r>
        <w:rPr>
          <w:b/>
          <w:bCs/>
          <w:kern w:val="0"/>
          <w:sz w:val="24"/>
        </w:rPr>
        <w:t>先修课程</w:t>
      </w:r>
      <w:r>
        <w:rPr>
          <w:b/>
          <w:kern w:val="0"/>
          <w:sz w:val="24"/>
        </w:rPr>
        <w:t>：</w:t>
      </w:r>
      <w:r>
        <w:rPr>
          <w:rFonts w:hint="eastAsia"/>
          <w:bCs/>
          <w:kern w:val="0"/>
          <w:sz w:val="24"/>
        </w:rPr>
        <w:t>无机化学</w:t>
      </w:r>
      <w:r>
        <w:rPr>
          <w:bCs/>
          <w:kern w:val="0"/>
          <w:sz w:val="24"/>
        </w:rPr>
        <w:t>、物理</w:t>
      </w:r>
      <w:r>
        <w:rPr>
          <w:rFonts w:hint="eastAsia"/>
          <w:bCs/>
          <w:kern w:val="0"/>
          <w:sz w:val="24"/>
        </w:rPr>
        <w:t>化学</w:t>
      </w:r>
      <w:r>
        <w:rPr>
          <w:bCs/>
          <w:kern w:val="0"/>
          <w:sz w:val="24"/>
        </w:rPr>
        <w:t>、</w:t>
      </w:r>
      <w:r>
        <w:rPr>
          <w:rFonts w:hint="eastAsia"/>
          <w:bCs/>
          <w:kern w:val="0"/>
          <w:sz w:val="24"/>
        </w:rPr>
        <w:t>仪器分析</w:t>
      </w:r>
    </w:p>
    <w:p>
      <w:pPr>
        <w:spacing w:line="360" w:lineRule="auto"/>
        <w:ind w:firstLine="482" w:firstLineChars="200"/>
        <w:rPr>
          <w:kern w:val="0"/>
          <w:sz w:val="24"/>
        </w:rPr>
      </w:pPr>
      <w:r>
        <w:rPr>
          <w:b/>
          <w:bCs/>
          <w:kern w:val="0"/>
          <w:sz w:val="24"/>
        </w:rPr>
        <w:t>适用专业</w:t>
      </w:r>
      <w:r>
        <w:rPr>
          <w:b/>
          <w:kern w:val="0"/>
          <w:sz w:val="24"/>
        </w:rPr>
        <w:t>：</w:t>
      </w:r>
      <w:r>
        <w:rPr>
          <w:rFonts w:hint="eastAsia"/>
          <w:sz w:val="24"/>
        </w:rPr>
        <w:t>化学工程与工艺</w:t>
      </w:r>
    </w:p>
    <w:p>
      <w:pPr>
        <w:spacing w:line="360" w:lineRule="auto"/>
        <w:ind w:firstLine="482" w:firstLineChars="200"/>
        <w:rPr>
          <w:sz w:val="24"/>
        </w:rPr>
      </w:pPr>
      <w:r>
        <w:rPr>
          <w:b/>
          <w:bCs/>
          <w:kern w:val="0"/>
          <w:sz w:val="24"/>
        </w:rPr>
        <w:t>教    材</w:t>
      </w:r>
      <w:r>
        <w:rPr>
          <w:b/>
          <w:kern w:val="0"/>
          <w:sz w:val="24"/>
        </w:rPr>
        <w:t>：</w:t>
      </w:r>
      <w:r>
        <w:rPr>
          <w:kern w:val="0"/>
          <w:sz w:val="24"/>
        </w:rPr>
        <w:t>《</w:t>
      </w:r>
      <w:r>
        <w:rPr>
          <w:rFonts w:hint="eastAsia"/>
          <w:kern w:val="0"/>
          <w:sz w:val="24"/>
        </w:rPr>
        <w:t>纳米药物学</w:t>
      </w:r>
      <w:r>
        <w:rPr>
          <w:kern w:val="0"/>
          <w:sz w:val="24"/>
        </w:rPr>
        <w:t>》，</w:t>
      </w:r>
      <w:r>
        <w:rPr>
          <w:rFonts w:hint="eastAsia"/>
          <w:bCs/>
          <w:kern w:val="0"/>
          <w:sz w:val="24"/>
        </w:rPr>
        <w:t>张阳德</w:t>
      </w:r>
      <w:r>
        <w:rPr>
          <w:kern w:val="0"/>
          <w:sz w:val="24"/>
        </w:rPr>
        <w:t>编</w:t>
      </w:r>
      <w:r>
        <w:rPr>
          <w:rFonts w:hint="eastAsia"/>
          <w:kern w:val="0"/>
          <w:sz w:val="24"/>
        </w:rPr>
        <w:t>著</w:t>
      </w:r>
      <w:r>
        <w:rPr>
          <w:sz w:val="24"/>
        </w:rPr>
        <w:t>，</w:t>
      </w:r>
      <w:r>
        <w:rPr>
          <w:rFonts w:hint="eastAsia"/>
          <w:sz w:val="24"/>
        </w:rPr>
        <w:t>化学工业</w:t>
      </w:r>
      <w:r>
        <w:rPr>
          <w:kern w:val="0"/>
          <w:sz w:val="24"/>
        </w:rPr>
        <w:t>出版社</w:t>
      </w:r>
      <w:r>
        <w:rPr>
          <w:sz w:val="24"/>
        </w:rPr>
        <w:t>，20</w:t>
      </w:r>
      <w:r>
        <w:rPr>
          <w:rFonts w:hint="eastAsia"/>
          <w:sz w:val="24"/>
        </w:rPr>
        <w:t>06</w:t>
      </w:r>
    </w:p>
    <w:p>
      <w:pPr>
        <w:spacing w:line="360" w:lineRule="auto"/>
        <w:ind w:firstLine="482" w:firstLineChars="200"/>
        <w:rPr>
          <w:kern w:val="0"/>
          <w:sz w:val="24"/>
        </w:rPr>
      </w:pPr>
      <w:r>
        <w:rPr>
          <w:b/>
          <w:bCs/>
          <w:kern w:val="0"/>
          <w:sz w:val="24"/>
        </w:rPr>
        <w:t>课程归口：</w:t>
      </w:r>
      <w:r>
        <w:rPr>
          <w:rFonts w:hint="eastAsia"/>
          <w:kern w:val="0"/>
          <w:sz w:val="24"/>
        </w:rPr>
        <w:t>化工与材料</w:t>
      </w:r>
      <w:r>
        <w:rPr>
          <w:kern w:val="0"/>
          <w:sz w:val="24"/>
        </w:rPr>
        <w:t>学院</w:t>
      </w:r>
    </w:p>
    <w:p>
      <w:pPr>
        <w:spacing w:line="360" w:lineRule="auto"/>
        <w:ind w:firstLine="482" w:firstLineChars="200"/>
        <w:rPr>
          <w:bCs/>
          <w:kern w:val="0"/>
          <w:sz w:val="24"/>
        </w:rPr>
      </w:pPr>
      <w:r>
        <w:rPr>
          <w:b/>
          <w:bCs/>
          <w:kern w:val="0"/>
          <w:sz w:val="24"/>
        </w:rPr>
        <w:t>课程团队：</w:t>
      </w:r>
      <w:r>
        <w:rPr>
          <w:rFonts w:hint="eastAsia"/>
          <w:kern w:val="0"/>
          <w:sz w:val="24"/>
        </w:rPr>
        <w:t>壮亚峰、刘福燕、张微、吴泽颖、王文娟、丁琳琳、邓瑶瑶、陈建欣、向梅、张震威等</w:t>
      </w:r>
    </w:p>
    <w:p>
      <w:pPr>
        <w:spacing w:line="300" w:lineRule="auto"/>
        <w:ind w:firstLine="482" w:firstLineChars="200"/>
        <w:rPr>
          <w:bCs/>
          <w:color w:val="000000"/>
          <w:sz w:val="24"/>
        </w:rPr>
      </w:pPr>
      <w:r>
        <w:rPr>
          <w:b/>
          <w:bCs/>
          <w:kern w:val="0"/>
          <w:sz w:val="24"/>
        </w:rPr>
        <w:t>课程</w:t>
      </w:r>
      <w:r>
        <w:rPr>
          <w:rFonts w:hint="eastAsia"/>
          <w:b/>
          <w:bCs/>
          <w:kern w:val="0"/>
          <w:sz w:val="24"/>
        </w:rPr>
        <w:t>性质与</w:t>
      </w:r>
      <w:r>
        <w:rPr>
          <w:b/>
          <w:bCs/>
          <w:kern w:val="0"/>
          <w:sz w:val="24"/>
        </w:rPr>
        <w:t>任务：</w:t>
      </w:r>
      <w:r>
        <w:rPr>
          <w:rFonts w:hint="eastAsia"/>
          <w:kern w:val="0"/>
          <w:sz w:val="24"/>
        </w:rPr>
        <w:t>本课程</w:t>
      </w:r>
      <w:r>
        <w:rPr>
          <w:kern w:val="0"/>
          <w:sz w:val="24"/>
        </w:rPr>
        <w:t>是</w:t>
      </w:r>
      <w:r>
        <w:rPr>
          <w:rFonts w:hint="eastAsia"/>
          <w:kern w:val="0"/>
          <w:sz w:val="24"/>
        </w:rPr>
        <w:t>化学工程与工艺</w:t>
      </w:r>
      <w:r>
        <w:rPr>
          <w:kern w:val="0"/>
          <w:sz w:val="24"/>
        </w:rPr>
        <w:t>专业的</w:t>
      </w:r>
      <w:r>
        <w:rPr>
          <w:rFonts w:hint="eastAsia"/>
          <w:kern w:val="0"/>
          <w:sz w:val="24"/>
        </w:rPr>
        <w:t>专业选修</w:t>
      </w:r>
      <w:r>
        <w:rPr>
          <w:kern w:val="0"/>
          <w:sz w:val="24"/>
        </w:rPr>
        <w:t>课，药学、生物制药、医学、生物医学工程、生物技术、纳米科学等领域的科学研究人员提供参考和帮助</w:t>
      </w:r>
      <w:r>
        <w:rPr>
          <w:rFonts w:hint="eastAsia"/>
          <w:kern w:val="0"/>
          <w:sz w:val="24"/>
        </w:rPr>
        <w:t>。</w:t>
      </w:r>
      <w:r>
        <w:rPr>
          <w:rFonts w:hint="eastAsia"/>
          <w:sz w:val="24"/>
        </w:rPr>
        <w:t>本课程</w:t>
      </w:r>
      <w:r>
        <w:rPr>
          <w:rFonts w:hint="eastAsia"/>
          <w:kern w:val="0"/>
          <w:sz w:val="24"/>
        </w:rPr>
        <w:t>详细阐述了纳米技术在药物学研究与药物开发中的应用，详细介绍了</w:t>
      </w:r>
      <w:r>
        <w:rPr>
          <w:sz w:val="24"/>
        </w:rPr>
        <w:t>纳米药物的概念、原理、制作方法、临床应用等。通过本课程的学习，</w:t>
      </w:r>
      <w:r>
        <w:rPr>
          <w:rFonts w:hint="eastAsia"/>
          <w:kern w:val="0"/>
          <w:sz w:val="24"/>
        </w:rPr>
        <w:t>让学生认识纳米技术及纳米技术在医学和药学领域的应用和发展概况，拓宽本专业学生的知识面，为将来有可能从事纳米科学与纳米技术方面生产和研究工作打好基础。</w:t>
      </w:r>
    </w:p>
    <w:p>
      <w:pPr>
        <w:numPr>
          <w:ilvl w:val="0"/>
          <w:numId w:val="9"/>
        </w:numPr>
        <w:spacing w:line="360" w:lineRule="auto"/>
        <w:rPr>
          <w:b/>
          <w:sz w:val="28"/>
          <w:szCs w:val="28"/>
        </w:rPr>
      </w:pPr>
      <w:r>
        <w:rPr>
          <w:b/>
          <w:sz w:val="28"/>
          <w:szCs w:val="28"/>
        </w:rPr>
        <w:t>课程目标及对毕业要求观测点的支撑</w:t>
      </w:r>
    </w:p>
    <w:tbl>
      <w:tblPr>
        <w:tblStyle w:val="1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118"/>
        <w:gridCol w:w="2292"/>
        <w:gridCol w:w="3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38" w:type="dxa"/>
            <w:shd w:val="clear" w:color="auto" w:fill="auto"/>
            <w:noWrap/>
            <w:vAlign w:val="center"/>
          </w:tcPr>
          <w:p>
            <w:pPr>
              <w:widowControl/>
              <w:jc w:val="center"/>
              <w:rPr>
                <w:b/>
                <w:bCs/>
                <w:kern w:val="0"/>
                <w:szCs w:val="21"/>
              </w:rPr>
            </w:pPr>
            <w:r>
              <w:rPr>
                <w:b/>
                <w:bCs/>
                <w:kern w:val="0"/>
                <w:szCs w:val="21"/>
              </w:rPr>
              <w:t>序号</w:t>
            </w:r>
          </w:p>
        </w:tc>
        <w:tc>
          <w:tcPr>
            <w:tcW w:w="3118" w:type="dxa"/>
            <w:shd w:val="clear" w:color="auto" w:fill="auto"/>
            <w:noWrap/>
            <w:vAlign w:val="center"/>
          </w:tcPr>
          <w:p>
            <w:pPr>
              <w:widowControl/>
              <w:jc w:val="center"/>
              <w:rPr>
                <w:b/>
                <w:bCs/>
                <w:kern w:val="0"/>
                <w:szCs w:val="21"/>
              </w:rPr>
            </w:pPr>
            <w:r>
              <w:rPr>
                <w:b/>
                <w:bCs/>
                <w:kern w:val="0"/>
                <w:szCs w:val="21"/>
              </w:rPr>
              <w:t>课程目标</w:t>
            </w:r>
          </w:p>
          <w:p>
            <w:pPr>
              <w:widowControl/>
              <w:jc w:val="center"/>
              <w:rPr>
                <w:b/>
                <w:bCs/>
                <w:kern w:val="0"/>
                <w:szCs w:val="21"/>
              </w:rPr>
            </w:pPr>
          </w:p>
        </w:tc>
        <w:tc>
          <w:tcPr>
            <w:tcW w:w="2292" w:type="dxa"/>
            <w:shd w:val="clear" w:color="auto" w:fill="auto"/>
            <w:noWrap/>
            <w:vAlign w:val="center"/>
          </w:tcPr>
          <w:p>
            <w:pPr>
              <w:widowControl/>
              <w:jc w:val="center"/>
              <w:rPr>
                <w:b/>
                <w:bCs/>
                <w:kern w:val="0"/>
                <w:szCs w:val="21"/>
              </w:rPr>
            </w:pPr>
            <w:r>
              <w:rPr>
                <w:b/>
                <w:bCs/>
                <w:kern w:val="0"/>
                <w:szCs w:val="21"/>
              </w:rPr>
              <w:t>支撑毕业要求观测点</w:t>
            </w:r>
          </w:p>
        </w:tc>
        <w:tc>
          <w:tcPr>
            <w:tcW w:w="3066" w:type="dxa"/>
            <w:shd w:val="clear" w:color="auto" w:fill="auto"/>
            <w:noWrap/>
            <w:vAlign w:val="center"/>
          </w:tcPr>
          <w:p>
            <w:pPr>
              <w:widowControl/>
              <w:jc w:val="center"/>
              <w:rPr>
                <w:b/>
                <w:bCs/>
                <w:kern w:val="0"/>
                <w:szCs w:val="21"/>
              </w:rPr>
            </w:pPr>
            <w:r>
              <w:rPr>
                <w:b/>
                <w:bCs/>
                <w:kern w:val="0"/>
                <w:szCs w:val="21"/>
              </w:rPr>
              <w:t>毕业要求</w:t>
            </w:r>
          </w:p>
          <w:p>
            <w:pPr>
              <w:widowControl/>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38" w:type="dxa"/>
            <w:shd w:val="clear" w:color="auto" w:fill="auto"/>
            <w:noWrap/>
            <w:vAlign w:val="center"/>
          </w:tcPr>
          <w:p>
            <w:pPr>
              <w:widowControl/>
              <w:jc w:val="center"/>
              <w:rPr>
                <w:kern w:val="0"/>
                <w:szCs w:val="21"/>
              </w:rPr>
            </w:pPr>
            <w:r>
              <w:rPr>
                <w:kern w:val="0"/>
                <w:szCs w:val="21"/>
              </w:rPr>
              <w:t>1</w:t>
            </w:r>
          </w:p>
        </w:tc>
        <w:tc>
          <w:tcPr>
            <w:tcW w:w="3118" w:type="dxa"/>
            <w:shd w:val="clear" w:color="auto" w:fill="auto"/>
            <w:noWrap/>
            <w:vAlign w:val="center"/>
          </w:tcPr>
          <w:p>
            <w:pPr>
              <w:spacing w:line="300" w:lineRule="auto"/>
              <w:rPr>
                <w:kern w:val="0"/>
                <w:szCs w:val="21"/>
              </w:rPr>
            </w:pPr>
            <w:r>
              <w:rPr>
                <w:b/>
                <w:kern w:val="0"/>
                <w:szCs w:val="21"/>
              </w:rPr>
              <w:t>目标1：</w:t>
            </w:r>
            <w:r>
              <w:rPr>
                <w:rFonts w:hint="eastAsia"/>
                <w:kern w:val="0"/>
                <w:sz w:val="22"/>
              </w:rPr>
              <w:t>能树立比较完整的纳米药物概念，能够掌握常用纳米给药系统的鉴别、各种纳米载体的制备方法及区别与应用，了解基本的纳米药物制剂技术，从纳米技术出发、结合药物合成特性，综合运用所学知识，在纳米药物的给药系统及制备方法的选取上具有一定的能力。</w:t>
            </w:r>
          </w:p>
        </w:tc>
        <w:tc>
          <w:tcPr>
            <w:tcW w:w="2292" w:type="dxa"/>
            <w:shd w:val="clear" w:color="auto" w:fill="auto"/>
            <w:noWrap/>
            <w:vAlign w:val="center"/>
          </w:tcPr>
          <w:p>
            <w:pPr>
              <w:widowControl/>
              <w:rPr>
                <w:kern w:val="0"/>
                <w:szCs w:val="21"/>
              </w:rPr>
            </w:pPr>
          </w:p>
        </w:tc>
        <w:tc>
          <w:tcPr>
            <w:tcW w:w="3066" w:type="dxa"/>
            <w:shd w:val="clear" w:color="auto" w:fill="auto"/>
            <w:noWrap/>
            <w:vAlign w:val="center"/>
          </w:tcPr>
          <w:p>
            <w:pPr>
              <w:widowControl/>
              <w:rPr>
                <w:kern w:val="0"/>
                <w:szCs w:val="21"/>
              </w:rPr>
            </w:pPr>
            <w:r>
              <w:rPr>
                <w:b/>
                <w:szCs w:val="21"/>
              </w:rPr>
              <w:t>毕业要求1</w:t>
            </w:r>
            <w:r>
              <w:rPr>
                <w:rFonts w:hint="eastAsia"/>
                <w:b/>
                <w:szCs w:val="21"/>
              </w:rPr>
              <w:t xml:space="preserve"> </w:t>
            </w:r>
            <w:r>
              <w:rPr>
                <w:rFonts w:hint="eastAsia"/>
                <w:szCs w:val="21"/>
              </w:rPr>
              <w:t>工程知识：能够将数学、自然科学、工程基础和专业知识用于解决</w:t>
            </w:r>
            <w:r>
              <w:rPr>
                <w:szCs w:val="21"/>
              </w:rPr>
              <w:t>化学工程与工艺</w:t>
            </w:r>
            <w:r>
              <w:rPr>
                <w:rFonts w:hint="eastAsia"/>
                <w:szCs w:val="21"/>
              </w:rPr>
              <w:t>领域复杂工程问题。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38" w:type="dxa"/>
            <w:shd w:val="clear" w:color="auto" w:fill="auto"/>
            <w:noWrap/>
            <w:vAlign w:val="center"/>
          </w:tcPr>
          <w:p>
            <w:pPr>
              <w:widowControl/>
              <w:jc w:val="center"/>
              <w:rPr>
                <w:kern w:val="0"/>
                <w:szCs w:val="21"/>
              </w:rPr>
            </w:pPr>
            <w:r>
              <w:rPr>
                <w:kern w:val="0"/>
                <w:szCs w:val="21"/>
              </w:rPr>
              <w:t>2</w:t>
            </w:r>
          </w:p>
        </w:tc>
        <w:tc>
          <w:tcPr>
            <w:tcW w:w="3118" w:type="dxa"/>
            <w:shd w:val="clear" w:color="auto" w:fill="auto"/>
            <w:noWrap/>
            <w:vAlign w:val="center"/>
          </w:tcPr>
          <w:p>
            <w:pPr>
              <w:widowControl/>
              <w:rPr>
                <w:kern w:val="0"/>
                <w:szCs w:val="21"/>
              </w:rPr>
            </w:pPr>
            <w:r>
              <w:rPr>
                <w:b/>
                <w:kern w:val="0"/>
                <w:szCs w:val="21"/>
              </w:rPr>
              <w:t>目标2：</w:t>
            </w:r>
            <w:r>
              <w:rPr>
                <w:rFonts w:hint="eastAsia"/>
                <w:kern w:val="0"/>
                <w:sz w:val="22"/>
              </w:rPr>
              <w:t>具有良好的道德文化、人文科学素养和强烈的社会责任感，在工作中自觉遵守职业道德和规范。以社会主义核心价值观为中心，深入理解专业特色，培养以严谨求实、精益求精为基石的科学精神。</w:t>
            </w:r>
          </w:p>
        </w:tc>
        <w:tc>
          <w:tcPr>
            <w:tcW w:w="2292" w:type="dxa"/>
            <w:shd w:val="clear" w:color="auto" w:fill="auto"/>
            <w:noWrap/>
            <w:vAlign w:val="center"/>
          </w:tcPr>
          <w:p>
            <w:pPr>
              <w:widowControl/>
              <w:rPr>
                <w:kern w:val="0"/>
                <w:szCs w:val="21"/>
              </w:rPr>
            </w:pPr>
          </w:p>
        </w:tc>
        <w:tc>
          <w:tcPr>
            <w:tcW w:w="3066" w:type="dxa"/>
            <w:shd w:val="clear" w:color="auto" w:fill="auto"/>
            <w:noWrap/>
            <w:vAlign w:val="center"/>
          </w:tcPr>
          <w:p>
            <w:pPr>
              <w:widowControl/>
              <w:rPr>
                <w:kern w:val="0"/>
                <w:szCs w:val="21"/>
              </w:rPr>
            </w:pPr>
            <w:r>
              <w:rPr>
                <w:b/>
                <w:color w:val="000000"/>
                <w:kern w:val="0"/>
                <w:szCs w:val="21"/>
              </w:rPr>
              <w:t>毕业要求</w:t>
            </w:r>
            <w:r>
              <w:rPr>
                <w:rFonts w:hint="eastAsia"/>
                <w:b/>
                <w:color w:val="000000"/>
                <w:kern w:val="0"/>
                <w:szCs w:val="21"/>
              </w:rPr>
              <w:t xml:space="preserve">8 </w:t>
            </w:r>
            <w:r>
              <w:rPr>
                <w:rFonts w:hint="eastAsia"/>
                <w:color w:val="000000"/>
                <w:kern w:val="0"/>
                <w:szCs w:val="21"/>
              </w:rPr>
              <w:t>职业规范：具有人文社会科学素养、社会责任感，能够在工程实践中理解并遵守工程职业道德和规范，履行责任。</w:t>
            </w:r>
          </w:p>
        </w:tc>
      </w:tr>
    </w:tbl>
    <w:p>
      <w:pPr>
        <w:numPr>
          <w:ilvl w:val="0"/>
          <w:numId w:val="9"/>
        </w:numPr>
        <w:spacing w:line="360" w:lineRule="auto"/>
        <w:rPr>
          <w:b/>
          <w:sz w:val="28"/>
          <w:szCs w:val="28"/>
        </w:rPr>
      </w:pPr>
      <w:r>
        <w:rPr>
          <w:rFonts w:hint="eastAsia"/>
          <w:b/>
          <w:sz w:val="28"/>
          <w:szCs w:val="28"/>
        </w:rPr>
        <w:t>教学</w:t>
      </w:r>
      <w:r>
        <w:rPr>
          <w:b/>
          <w:sz w:val="28"/>
          <w:szCs w:val="28"/>
        </w:rPr>
        <w:t>内容及要求</w:t>
      </w:r>
    </w:p>
    <w:tbl>
      <w:tblPr>
        <w:tblStyle w:val="10"/>
        <w:tblW w:w="9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2632"/>
        <w:gridCol w:w="1134"/>
        <w:gridCol w:w="2028"/>
        <w:gridCol w:w="699"/>
        <w:gridCol w:w="975"/>
        <w:gridCol w:w="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vAlign w:val="center"/>
          </w:tcPr>
          <w:p>
            <w:pPr>
              <w:jc w:val="center"/>
              <w:rPr>
                <w:b/>
                <w:bCs/>
                <w:szCs w:val="21"/>
              </w:rPr>
            </w:pPr>
            <w:r>
              <w:rPr>
                <w:b/>
                <w:bCs/>
                <w:szCs w:val="21"/>
              </w:rPr>
              <w:t>序号</w:t>
            </w:r>
          </w:p>
        </w:tc>
        <w:tc>
          <w:tcPr>
            <w:tcW w:w="2632" w:type="dxa"/>
            <w:shd w:val="clear" w:color="auto" w:fill="auto"/>
            <w:vAlign w:val="center"/>
          </w:tcPr>
          <w:p>
            <w:pPr>
              <w:jc w:val="center"/>
              <w:rPr>
                <w:b/>
                <w:bCs/>
                <w:szCs w:val="21"/>
              </w:rPr>
            </w:pPr>
            <w:r>
              <w:rPr>
                <w:b/>
                <w:bCs/>
                <w:szCs w:val="21"/>
              </w:rPr>
              <w:t>教学内容</w:t>
            </w:r>
          </w:p>
        </w:tc>
        <w:tc>
          <w:tcPr>
            <w:tcW w:w="1134" w:type="dxa"/>
            <w:shd w:val="clear" w:color="auto" w:fill="auto"/>
            <w:vAlign w:val="center"/>
          </w:tcPr>
          <w:p>
            <w:pPr>
              <w:jc w:val="center"/>
              <w:rPr>
                <w:b/>
                <w:bCs/>
                <w:szCs w:val="21"/>
              </w:rPr>
            </w:pPr>
            <w:r>
              <w:rPr>
                <w:b/>
                <w:bCs/>
                <w:szCs w:val="21"/>
              </w:rPr>
              <w:t>思政元素</w:t>
            </w:r>
          </w:p>
        </w:tc>
        <w:tc>
          <w:tcPr>
            <w:tcW w:w="2028" w:type="dxa"/>
            <w:shd w:val="clear" w:color="auto" w:fill="auto"/>
            <w:vAlign w:val="center"/>
          </w:tcPr>
          <w:p>
            <w:pPr>
              <w:jc w:val="center"/>
              <w:rPr>
                <w:b/>
                <w:bCs/>
                <w:szCs w:val="21"/>
              </w:rPr>
            </w:pPr>
            <w:r>
              <w:rPr>
                <w:b/>
                <w:bCs/>
                <w:szCs w:val="21"/>
              </w:rPr>
              <w:t>预期学习成果</w:t>
            </w:r>
          </w:p>
          <w:p>
            <w:pPr>
              <w:jc w:val="center"/>
              <w:rPr>
                <w:b/>
                <w:bCs/>
                <w:szCs w:val="21"/>
              </w:rPr>
            </w:pPr>
          </w:p>
        </w:tc>
        <w:tc>
          <w:tcPr>
            <w:tcW w:w="699" w:type="dxa"/>
            <w:shd w:val="clear" w:color="auto" w:fill="auto"/>
            <w:vAlign w:val="center"/>
          </w:tcPr>
          <w:p>
            <w:pPr>
              <w:jc w:val="center"/>
              <w:rPr>
                <w:b/>
                <w:bCs/>
                <w:szCs w:val="21"/>
              </w:rPr>
            </w:pPr>
            <w:r>
              <w:rPr>
                <w:b/>
                <w:bCs/>
                <w:szCs w:val="21"/>
              </w:rPr>
              <w:t>教学学时</w:t>
            </w:r>
          </w:p>
        </w:tc>
        <w:tc>
          <w:tcPr>
            <w:tcW w:w="975" w:type="dxa"/>
            <w:shd w:val="clear" w:color="auto" w:fill="auto"/>
            <w:vAlign w:val="center"/>
          </w:tcPr>
          <w:p>
            <w:pPr>
              <w:jc w:val="center"/>
              <w:rPr>
                <w:b/>
                <w:bCs/>
                <w:szCs w:val="21"/>
              </w:rPr>
            </w:pPr>
            <w:r>
              <w:rPr>
                <w:b/>
                <w:bCs/>
                <w:szCs w:val="21"/>
              </w:rPr>
              <w:t>教学方式</w:t>
            </w:r>
          </w:p>
        </w:tc>
        <w:tc>
          <w:tcPr>
            <w:tcW w:w="925" w:type="dxa"/>
            <w:shd w:val="clear" w:color="auto" w:fill="auto"/>
            <w:vAlign w:val="center"/>
          </w:tcPr>
          <w:p>
            <w:pPr>
              <w:jc w:val="center"/>
              <w:rPr>
                <w:b/>
                <w:bCs/>
                <w:szCs w:val="21"/>
              </w:rPr>
            </w:pPr>
            <w:r>
              <w:rPr>
                <w:b/>
                <w:bCs/>
                <w:szCs w:val="21"/>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vAlign w:val="center"/>
          </w:tcPr>
          <w:p>
            <w:pPr>
              <w:jc w:val="center"/>
              <w:rPr>
                <w:szCs w:val="21"/>
              </w:rPr>
            </w:pPr>
            <w:r>
              <w:rPr>
                <w:szCs w:val="21"/>
              </w:rPr>
              <w:t>1</w:t>
            </w:r>
          </w:p>
        </w:tc>
        <w:tc>
          <w:tcPr>
            <w:tcW w:w="2632" w:type="dxa"/>
            <w:shd w:val="clear" w:color="auto" w:fill="auto"/>
            <w:vAlign w:val="center"/>
          </w:tcPr>
          <w:p>
            <w:pPr>
              <w:rPr>
                <w:kern w:val="0"/>
                <w:szCs w:val="21"/>
              </w:rPr>
            </w:pPr>
            <w:r>
              <w:rPr>
                <w:rFonts w:hint="eastAsia"/>
                <w:b/>
                <w:kern w:val="0"/>
                <w:szCs w:val="21"/>
              </w:rPr>
              <w:t>引言：</w:t>
            </w:r>
            <w:r>
              <w:rPr>
                <w:rFonts w:hint="eastAsia"/>
                <w:kern w:val="0"/>
                <w:szCs w:val="21"/>
              </w:rPr>
              <w:t>纳米技术的基本概念、重要地位、国内外纳米技术在产业中的应用、纳米生物技术的现状与发展</w:t>
            </w:r>
          </w:p>
          <w:p>
            <w:pPr>
              <w:rPr>
                <w:kern w:val="0"/>
                <w:szCs w:val="21"/>
              </w:rPr>
            </w:pPr>
          </w:p>
        </w:tc>
        <w:tc>
          <w:tcPr>
            <w:tcW w:w="1134" w:type="dxa"/>
            <w:shd w:val="clear" w:color="auto" w:fill="auto"/>
            <w:vAlign w:val="center"/>
          </w:tcPr>
          <w:p>
            <w:pPr>
              <w:autoSpaceDE w:val="0"/>
              <w:autoSpaceDN w:val="0"/>
              <w:adjustRightInd w:val="0"/>
              <w:rPr>
                <w:kern w:val="0"/>
                <w:szCs w:val="21"/>
              </w:rPr>
            </w:pPr>
            <w:r>
              <w:rPr>
                <w:rFonts w:hint="eastAsia"/>
                <w:kern w:val="0"/>
                <w:szCs w:val="21"/>
              </w:rPr>
              <w:t>立足于现有科技水平与成果，培养以严谨求实、精益求精为基石的科学精神。</w:t>
            </w:r>
          </w:p>
        </w:tc>
        <w:tc>
          <w:tcPr>
            <w:tcW w:w="2028" w:type="dxa"/>
            <w:shd w:val="clear" w:color="auto" w:fill="auto"/>
            <w:vAlign w:val="center"/>
          </w:tcPr>
          <w:p>
            <w:pPr>
              <w:autoSpaceDE w:val="0"/>
              <w:autoSpaceDN w:val="0"/>
              <w:adjustRightInd w:val="0"/>
              <w:rPr>
                <w:kern w:val="0"/>
                <w:szCs w:val="21"/>
              </w:rPr>
            </w:pPr>
            <w:r>
              <w:rPr>
                <w:rFonts w:hint="eastAsia"/>
                <w:kern w:val="0"/>
                <w:szCs w:val="21"/>
              </w:rPr>
              <w:t>能够了解纳米技术的内容与概念、了解纳米技术的发展趋势。</w:t>
            </w:r>
          </w:p>
        </w:tc>
        <w:tc>
          <w:tcPr>
            <w:tcW w:w="699" w:type="dxa"/>
            <w:shd w:val="clear" w:color="auto" w:fill="auto"/>
            <w:vAlign w:val="center"/>
          </w:tcPr>
          <w:p>
            <w:pPr>
              <w:jc w:val="center"/>
              <w:rPr>
                <w:szCs w:val="21"/>
              </w:rPr>
            </w:pPr>
            <w:r>
              <w:rPr>
                <w:rFonts w:hint="eastAsia"/>
                <w:szCs w:val="21"/>
              </w:rPr>
              <w:t>6</w:t>
            </w:r>
          </w:p>
        </w:tc>
        <w:tc>
          <w:tcPr>
            <w:tcW w:w="975" w:type="dxa"/>
            <w:shd w:val="clear" w:color="auto" w:fill="auto"/>
            <w:vAlign w:val="center"/>
          </w:tcPr>
          <w:p>
            <w:pPr>
              <w:rPr>
                <w:szCs w:val="21"/>
              </w:rPr>
            </w:pPr>
            <w:r>
              <w:rPr>
                <w:szCs w:val="21"/>
              </w:rPr>
              <w:t>讲授/讨论/实例教学等</w:t>
            </w:r>
          </w:p>
        </w:tc>
        <w:tc>
          <w:tcPr>
            <w:tcW w:w="925" w:type="dxa"/>
            <w:shd w:val="clear" w:color="auto" w:fill="auto"/>
            <w:vAlign w:val="center"/>
          </w:tcPr>
          <w:p>
            <w:pPr>
              <w:jc w:val="center"/>
              <w:rPr>
                <w:szCs w:val="21"/>
              </w:rPr>
            </w:pPr>
            <w:r>
              <w:rPr>
                <w:b/>
                <w:kern w:val="0"/>
                <w:szCs w:val="21"/>
              </w:rPr>
              <w:t>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vAlign w:val="center"/>
          </w:tcPr>
          <w:p>
            <w:pPr>
              <w:jc w:val="center"/>
              <w:rPr>
                <w:szCs w:val="21"/>
              </w:rPr>
            </w:pPr>
            <w:r>
              <w:rPr>
                <w:szCs w:val="21"/>
              </w:rPr>
              <w:t>2</w:t>
            </w:r>
          </w:p>
        </w:tc>
        <w:tc>
          <w:tcPr>
            <w:tcW w:w="2632" w:type="dxa"/>
            <w:shd w:val="clear" w:color="auto" w:fill="auto"/>
            <w:vAlign w:val="center"/>
          </w:tcPr>
          <w:p>
            <w:pPr>
              <w:rPr>
                <w:kern w:val="0"/>
                <w:szCs w:val="21"/>
              </w:rPr>
            </w:pPr>
            <w:r>
              <w:rPr>
                <w:rFonts w:hint="eastAsia"/>
                <w:b/>
                <w:kern w:val="0"/>
                <w:szCs w:val="21"/>
              </w:rPr>
              <w:t>纳米给药系统：</w:t>
            </w:r>
            <w:r>
              <w:rPr>
                <w:rFonts w:hint="eastAsia"/>
                <w:kern w:val="0"/>
                <w:szCs w:val="21"/>
              </w:rPr>
              <w:t>药物的传递系统、纳米乳与纳米粒给药系统、纳米脂质体与固体脂质纳米粒、磁性、长循环及温度敏感性纳米载体、纳米基因载体、纳米中医药</w:t>
            </w:r>
          </w:p>
          <w:p>
            <w:pPr>
              <w:rPr>
                <w:kern w:val="0"/>
                <w:szCs w:val="21"/>
              </w:rPr>
            </w:pPr>
          </w:p>
        </w:tc>
        <w:tc>
          <w:tcPr>
            <w:tcW w:w="1134" w:type="dxa"/>
            <w:shd w:val="clear" w:color="auto" w:fill="auto"/>
            <w:vAlign w:val="center"/>
          </w:tcPr>
          <w:p>
            <w:pPr>
              <w:rPr>
                <w:szCs w:val="21"/>
              </w:rPr>
            </w:pPr>
          </w:p>
        </w:tc>
        <w:tc>
          <w:tcPr>
            <w:tcW w:w="2028" w:type="dxa"/>
            <w:shd w:val="clear" w:color="auto" w:fill="auto"/>
            <w:vAlign w:val="center"/>
          </w:tcPr>
          <w:p>
            <w:pPr>
              <w:rPr>
                <w:szCs w:val="21"/>
              </w:rPr>
            </w:pPr>
            <w:r>
              <w:rPr>
                <w:kern w:val="0"/>
                <w:szCs w:val="21"/>
              </w:rPr>
              <w:t>能够</w:t>
            </w:r>
            <w:r>
              <w:rPr>
                <w:rFonts w:hint="eastAsia"/>
                <w:kern w:val="0"/>
                <w:szCs w:val="21"/>
              </w:rPr>
              <w:t>掌握药物的传递系统及其分类；掌握纳米乳及纳米粒给药系统的基本概念及其在医药中的应用；了解纳米脂质体与固体脂质纳米粒的基本概念及其制备方法，了解稳定性、毒性与药效学研究；了解磁性纳米载体在生物医学上的应用；了解长循环纳米载体的生理基础、制备方法及其应用；了解热敏性纳米载体的特点及释药原理；掌握纳米基因载体的制备方法、表面修饰、作用机制；了解纳米中药的制备技术及其应用。</w:t>
            </w:r>
          </w:p>
        </w:tc>
        <w:tc>
          <w:tcPr>
            <w:tcW w:w="699" w:type="dxa"/>
            <w:shd w:val="clear" w:color="auto" w:fill="auto"/>
            <w:vAlign w:val="center"/>
          </w:tcPr>
          <w:p>
            <w:pPr>
              <w:jc w:val="center"/>
              <w:rPr>
                <w:szCs w:val="21"/>
              </w:rPr>
            </w:pPr>
            <w:r>
              <w:rPr>
                <w:rFonts w:hint="eastAsia"/>
                <w:szCs w:val="21"/>
              </w:rPr>
              <w:t>16</w:t>
            </w:r>
          </w:p>
        </w:tc>
        <w:tc>
          <w:tcPr>
            <w:tcW w:w="975" w:type="dxa"/>
            <w:shd w:val="clear" w:color="auto" w:fill="auto"/>
            <w:vAlign w:val="center"/>
          </w:tcPr>
          <w:p>
            <w:pPr>
              <w:rPr>
                <w:szCs w:val="21"/>
              </w:rPr>
            </w:pPr>
            <w:r>
              <w:rPr>
                <w:szCs w:val="21"/>
              </w:rPr>
              <w:t>讲授/讨论/等</w:t>
            </w:r>
          </w:p>
        </w:tc>
        <w:tc>
          <w:tcPr>
            <w:tcW w:w="925" w:type="dxa"/>
            <w:shd w:val="clear" w:color="auto" w:fill="auto"/>
            <w:vAlign w:val="center"/>
          </w:tcPr>
          <w:p>
            <w:pPr>
              <w:jc w:val="center"/>
              <w:rPr>
                <w:kern w:val="0"/>
                <w:szCs w:val="21"/>
              </w:rPr>
            </w:pPr>
            <w:r>
              <w:rPr>
                <w:b/>
                <w:kern w:val="0"/>
                <w:szCs w:val="21"/>
              </w:rPr>
              <w:t>目标</w:t>
            </w:r>
            <w:r>
              <w:rPr>
                <w:rFonts w:hint="eastAsia"/>
                <w:b/>
                <w:kern w:val="0"/>
                <w:szCs w:val="21"/>
              </w:rPr>
              <w:t>1</w:t>
            </w:r>
          </w:p>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vAlign w:val="center"/>
          </w:tcPr>
          <w:p>
            <w:pPr>
              <w:jc w:val="center"/>
              <w:rPr>
                <w:szCs w:val="21"/>
              </w:rPr>
            </w:pPr>
            <w:r>
              <w:rPr>
                <w:szCs w:val="21"/>
              </w:rPr>
              <w:t>3</w:t>
            </w:r>
          </w:p>
        </w:tc>
        <w:tc>
          <w:tcPr>
            <w:tcW w:w="2632" w:type="dxa"/>
            <w:shd w:val="clear" w:color="auto" w:fill="auto"/>
            <w:vAlign w:val="center"/>
          </w:tcPr>
          <w:p>
            <w:pPr>
              <w:rPr>
                <w:kern w:val="0"/>
                <w:szCs w:val="21"/>
              </w:rPr>
            </w:pPr>
            <w:r>
              <w:rPr>
                <w:rFonts w:hint="eastAsia"/>
                <w:b/>
                <w:kern w:val="0"/>
                <w:szCs w:val="21"/>
              </w:rPr>
              <w:t>纳米药物制剂技术：</w:t>
            </w:r>
            <w:r>
              <w:rPr>
                <w:rFonts w:hint="eastAsia"/>
                <w:kern w:val="0"/>
                <w:szCs w:val="21"/>
              </w:rPr>
              <w:t>纳米乳与亚纳米乳的制备技术、纳米粒制备技术、固体脂质纳米粒的制备技术</w:t>
            </w:r>
          </w:p>
          <w:p>
            <w:pPr>
              <w:rPr>
                <w:kern w:val="0"/>
                <w:szCs w:val="21"/>
              </w:rPr>
            </w:pPr>
          </w:p>
        </w:tc>
        <w:tc>
          <w:tcPr>
            <w:tcW w:w="1134" w:type="dxa"/>
            <w:shd w:val="clear" w:color="auto" w:fill="auto"/>
            <w:vAlign w:val="center"/>
          </w:tcPr>
          <w:p>
            <w:pPr>
              <w:rPr>
                <w:szCs w:val="21"/>
              </w:rPr>
            </w:pPr>
            <w:r>
              <w:rPr>
                <w:rFonts w:hint="eastAsia"/>
                <w:szCs w:val="21"/>
              </w:rPr>
              <w:t>引入社会责任感，要求学生在工作中自觉遵守职业道德和规范</w:t>
            </w:r>
          </w:p>
        </w:tc>
        <w:tc>
          <w:tcPr>
            <w:tcW w:w="2028" w:type="dxa"/>
            <w:shd w:val="clear" w:color="auto" w:fill="auto"/>
            <w:vAlign w:val="center"/>
          </w:tcPr>
          <w:p>
            <w:pPr>
              <w:rPr>
                <w:szCs w:val="21"/>
              </w:rPr>
            </w:pPr>
            <w:r>
              <w:rPr>
                <w:rFonts w:hint="eastAsia"/>
                <w:kern w:val="0"/>
                <w:szCs w:val="21"/>
              </w:rPr>
              <w:t>掌握纳米乳的形成机理、形成条件及其制备</w:t>
            </w:r>
            <w:r>
              <w:rPr>
                <w:kern w:val="0"/>
                <w:szCs w:val="21"/>
              </w:rPr>
              <w:t>；</w:t>
            </w:r>
            <w:r>
              <w:rPr>
                <w:rFonts w:hint="eastAsia"/>
                <w:kern w:val="0"/>
                <w:szCs w:val="21"/>
              </w:rPr>
              <w:t>掌握纳米粒的制备材料、制备方法及体内分布与应用；了解固体脂质纳米粒的制备方法、动力学类型及安全性问题。</w:t>
            </w:r>
          </w:p>
        </w:tc>
        <w:tc>
          <w:tcPr>
            <w:tcW w:w="699" w:type="dxa"/>
            <w:shd w:val="clear" w:color="auto" w:fill="auto"/>
            <w:vAlign w:val="center"/>
          </w:tcPr>
          <w:p>
            <w:pPr>
              <w:jc w:val="center"/>
              <w:rPr>
                <w:szCs w:val="21"/>
              </w:rPr>
            </w:pPr>
            <w:r>
              <w:rPr>
                <w:rFonts w:hint="eastAsia"/>
                <w:szCs w:val="21"/>
              </w:rPr>
              <w:t>10</w:t>
            </w:r>
          </w:p>
        </w:tc>
        <w:tc>
          <w:tcPr>
            <w:tcW w:w="975" w:type="dxa"/>
            <w:shd w:val="clear" w:color="auto" w:fill="auto"/>
            <w:vAlign w:val="center"/>
          </w:tcPr>
          <w:p>
            <w:pPr>
              <w:rPr>
                <w:szCs w:val="21"/>
              </w:rPr>
            </w:pPr>
            <w:r>
              <w:rPr>
                <w:szCs w:val="21"/>
              </w:rPr>
              <w:t>讲授/讨论/</w:t>
            </w:r>
            <w:r>
              <w:rPr>
                <w:rFonts w:hint="eastAsia"/>
                <w:szCs w:val="21"/>
              </w:rPr>
              <w:t>实例分析</w:t>
            </w:r>
            <w:r>
              <w:rPr>
                <w:szCs w:val="21"/>
              </w:rPr>
              <w:t>等</w:t>
            </w:r>
          </w:p>
        </w:tc>
        <w:tc>
          <w:tcPr>
            <w:tcW w:w="925" w:type="dxa"/>
            <w:shd w:val="clear" w:color="auto" w:fill="auto"/>
            <w:vAlign w:val="center"/>
          </w:tcPr>
          <w:p>
            <w:pPr>
              <w:jc w:val="center"/>
              <w:rPr>
                <w:b/>
                <w:kern w:val="0"/>
                <w:szCs w:val="21"/>
              </w:rPr>
            </w:pPr>
            <w:r>
              <w:rPr>
                <w:b/>
                <w:kern w:val="0"/>
                <w:szCs w:val="21"/>
              </w:rPr>
              <w:t>目标1</w:t>
            </w:r>
          </w:p>
          <w:p>
            <w:pPr>
              <w:jc w:val="center"/>
              <w:rPr>
                <w:b/>
                <w:kern w:val="0"/>
                <w:szCs w:val="21"/>
              </w:rPr>
            </w:pPr>
            <w:r>
              <w:rPr>
                <w:rFonts w:hint="eastAsia"/>
                <w:b/>
                <w:kern w:val="0"/>
                <w:szCs w:val="21"/>
              </w:rPr>
              <w:t>目标8</w:t>
            </w:r>
          </w:p>
        </w:tc>
      </w:tr>
    </w:tbl>
    <w:p>
      <w:pPr>
        <w:spacing w:line="360" w:lineRule="auto"/>
        <w:rPr>
          <w:b/>
          <w:sz w:val="28"/>
          <w:szCs w:val="28"/>
        </w:rPr>
      </w:pPr>
      <w:r>
        <w:rPr>
          <w:rFonts w:hint="eastAsia"/>
          <w:b/>
          <w:sz w:val="28"/>
          <w:szCs w:val="28"/>
        </w:rPr>
        <w:t>四、课程实施</w:t>
      </w:r>
    </w:p>
    <w:p>
      <w:pPr>
        <w:spacing w:line="360" w:lineRule="auto"/>
        <w:ind w:firstLine="482" w:firstLineChars="200"/>
        <w:rPr>
          <w:b/>
          <w:sz w:val="24"/>
        </w:rPr>
      </w:pPr>
      <w:r>
        <w:rPr>
          <w:rFonts w:hint="eastAsia"/>
          <w:b/>
          <w:sz w:val="24"/>
        </w:rPr>
        <w:t>（一）教学方法与教学手段</w:t>
      </w:r>
    </w:p>
    <w:p>
      <w:pPr>
        <w:spacing w:line="360" w:lineRule="auto"/>
        <w:ind w:firstLine="480" w:firstLineChars="200"/>
        <w:rPr>
          <w:color w:val="000000"/>
          <w:sz w:val="24"/>
        </w:rPr>
      </w:pPr>
      <w:r>
        <w:rPr>
          <w:rFonts w:hint="eastAsia"/>
          <w:color w:val="000000"/>
          <w:sz w:val="24"/>
        </w:rPr>
        <w:t>（1）</w:t>
      </w:r>
      <w:r>
        <w:rPr>
          <w:color w:val="000000"/>
          <w:sz w:val="24"/>
        </w:rPr>
        <w:t>采用多媒体教学手段，配合例题的讲解及适当的思考题，保证讲课进度的同时，注意学生的掌握程度和课堂的气氛</w:t>
      </w:r>
      <w:r>
        <w:rPr>
          <w:rFonts w:hint="eastAsia"/>
          <w:color w:val="000000"/>
          <w:sz w:val="24"/>
        </w:rPr>
        <w:t>。</w:t>
      </w:r>
    </w:p>
    <w:p>
      <w:pPr>
        <w:spacing w:line="360" w:lineRule="auto"/>
        <w:ind w:firstLine="480" w:firstLineChars="200"/>
        <w:rPr>
          <w:color w:val="000000"/>
          <w:sz w:val="24"/>
        </w:rPr>
      </w:pPr>
      <w:r>
        <w:rPr>
          <w:rFonts w:hint="eastAsia"/>
          <w:color w:val="000000"/>
          <w:sz w:val="24"/>
        </w:rPr>
        <w:t>（2）引导学生自主性、研究性地学习，进行启发式教学，促进学生独立思考，鼓励学生创新性地学习和思维，积极参与课堂研讨；</w:t>
      </w:r>
      <w:r>
        <w:rPr>
          <w:color w:val="000000"/>
          <w:sz w:val="24"/>
        </w:rPr>
        <w:t> </w:t>
      </w:r>
    </w:p>
    <w:p>
      <w:pPr>
        <w:spacing w:line="360" w:lineRule="auto"/>
        <w:ind w:firstLine="480" w:firstLineChars="200"/>
        <w:rPr>
          <w:color w:val="000000"/>
          <w:sz w:val="24"/>
        </w:rPr>
      </w:pPr>
      <w:r>
        <w:rPr>
          <w:rFonts w:hint="eastAsia"/>
          <w:color w:val="000000"/>
          <w:sz w:val="24"/>
        </w:rPr>
        <w:t>（3）针对纳米药物学课程的特点，在教学中按授课知识点制作课件，开展多媒体教学，针对国际国内制剂学发展的新形势、新案例，及时补充相关知识，争取同步传递学科的发展成果和动向；</w:t>
      </w:r>
    </w:p>
    <w:p>
      <w:pPr>
        <w:spacing w:line="360" w:lineRule="auto"/>
        <w:ind w:firstLine="482" w:firstLineChars="200"/>
        <w:rPr>
          <w:b/>
          <w:sz w:val="24"/>
        </w:rPr>
      </w:pPr>
      <w:r>
        <w:rPr>
          <w:rFonts w:hint="eastAsia"/>
          <w:b/>
          <w:sz w:val="24"/>
        </w:rPr>
        <w:t>（二）课程实施与保障</w:t>
      </w:r>
    </w:p>
    <w:tbl>
      <w:tblPr>
        <w:tblStyle w:val="10"/>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2"/>
        <w:gridCol w:w="1701"/>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3" w:type="dxa"/>
            <w:gridSpan w:val="2"/>
            <w:tcMar>
              <w:left w:w="28" w:type="dxa"/>
              <w:right w:w="28" w:type="dxa"/>
            </w:tcMar>
            <w:vAlign w:val="center"/>
          </w:tcPr>
          <w:p>
            <w:pPr>
              <w:spacing w:line="276" w:lineRule="auto"/>
              <w:jc w:val="center"/>
              <w:rPr>
                <w:szCs w:val="21"/>
              </w:rPr>
            </w:pPr>
            <w:r>
              <w:rPr>
                <w:bCs/>
                <w:szCs w:val="21"/>
              </w:rPr>
              <w:t>主要教学环节</w:t>
            </w:r>
          </w:p>
        </w:tc>
        <w:tc>
          <w:tcPr>
            <w:tcW w:w="6237" w:type="dxa"/>
            <w:vAlign w:val="center"/>
          </w:tcPr>
          <w:p>
            <w:pPr>
              <w:spacing w:line="276" w:lineRule="auto"/>
              <w:jc w:val="center"/>
              <w:rPr>
                <w:szCs w:val="21"/>
              </w:rPr>
            </w:pPr>
            <w:r>
              <w:rPr>
                <w:bCs/>
                <w:szCs w:val="21"/>
              </w:rPr>
              <w:t>质量</w:t>
            </w:r>
            <w:r>
              <w:rPr>
                <w:rFonts w:hint="eastAsia"/>
                <w:bCs/>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582" w:type="dxa"/>
            <w:vAlign w:val="center"/>
          </w:tcPr>
          <w:p>
            <w:pPr>
              <w:spacing w:line="276" w:lineRule="auto"/>
              <w:jc w:val="center"/>
              <w:rPr>
                <w:szCs w:val="21"/>
              </w:rPr>
            </w:pPr>
            <w:r>
              <w:rPr>
                <w:szCs w:val="21"/>
              </w:rPr>
              <w:t>1</w:t>
            </w:r>
          </w:p>
        </w:tc>
        <w:tc>
          <w:tcPr>
            <w:tcW w:w="1701" w:type="dxa"/>
            <w:tcMar>
              <w:left w:w="28" w:type="dxa"/>
              <w:right w:w="28" w:type="dxa"/>
            </w:tcMar>
            <w:vAlign w:val="center"/>
          </w:tcPr>
          <w:p>
            <w:pPr>
              <w:spacing w:line="276" w:lineRule="auto"/>
              <w:jc w:val="center"/>
              <w:rPr>
                <w:szCs w:val="21"/>
              </w:rPr>
            </w:pPr>
            <w:r>
              <w:rPr>
                <w:szCs w:val="21"/>
              </w:rPr>
              <w:t>备课</w:t>
            </w:r>
          </w:p>
        </w:tc>
        <w:tc>
          <w:tcPr>
            <w:tcW w:w="6237" w:type="dxa"/>
            <w:vAlign w:val="center"/>
          </w:tcPr>
          <w:p>
            <w:pPr>
              <w:spacing w:line="276" w:lineRule="auto"/>
              <w:rPr>
                <w:szCs w:val="21"/>
              </w:rPr>
            </w:pPr>
            <w:r>
              <w:rPr>
                <w:rFonts w:hint="eastAsia"/>
                <w:szCs w:val="21"/>
              </w:rPr>
              <w:t>1.</w:t>
            </w:r>
            <w:r>
              <w:rPr>
                <w:szCs w:val="21"/>
              </w:rPr>
              <w:t>掌握本课程教学大纲内容，严格按照教学大纲要求进行课程教学内容的组织。</w:t>
            </w:r>
          </w:p>
          <w:p>
            <w:pPr>
              <w:spacing w:line="276" w:lineRule="auto"/>
              <w:rPr>
                <w:szCs w:val="21"/>
              </w:rPr>
            </w:pPr>
            <w:r>
              <w:rPr>
                <w:rFonts w:hint="eastAsia"/>
                <w:szCs w:val="21"/>
              </w:rPr>
              <w:t>2.</w:t>
            </w:r>
            <w:r>
              <w:rPr>
                <w:szCs w:val="21"/>
              </w:rPr>
              <w:t>熟悉教材各章节，借助专业书籍资料，并依据教学大纲编写授课计划</w:t>
            </w:r>
            <w:r>
              <w:rPr>
                <w:rFonts w:hint="eastAsia"/>
                <w:szCs w:val="21"/>
              </w:rPr>
              <w:t>进度表</w:t>
            </w:r>
          </w:p>
          <w:p>
            <w:pPr>
              <w:spacing w:line="276" w:lineRule="auto"/>
              <w:rPr>
                <w:szCs w:val="21"/>
              </w:rPr>
            </w:pPr>
            <w:r>
              <w:rPr>
                <w:rFonts w:hint="eastAsia"/>
                <w:szCs w:val="21"/>
              </w:rPr>
              <w:t>3.根据</w:t>
            </w:r>
            <w:r>
              <w:rPr>
                <w:szCs w:val="21"/>
              </w:rPr>
              <w:t>各部分</w:t>
            </w:r>
            <w:r>
              <w:rPr>
                <w:rFonts w:hint="eastAsia"/>
                <w:szCs w:val="21"/>
              </w:rPr>
              <w:t>教学</w:t>
            </w:r>
            <w:r>
              <w:rPr>
                <w:szCs w:val="21"/>
              </w:rPr>
              <w:t>内容</w:t>
            </w:r>
            <w:r>
              <w:rPr>
                <w:rFonts w:hint="eastAsia"/>
                <w:szCs w:val="21"/>
              </w:rPr>
              <w:t>，</w:t>
            </w:r>
            <w:r>
              <w:rPr>
                <w:szCs w:val="21"/>
              </w:rPr>
              <w:t>构思授课思路、技巧</w:t>
            </w:r>
            <w:r>
              <w:rPr>
                <w:rFonts w:hint="eastAsia"/>
                <w:szCs w:val="21"/>
              </w:rPr>
              <w:t>，选择合适的</w:t>
            </w:r>
            <w:r>
              <w:rPr>
                <w:szCs w:val="21"/>
              </w:rPr>
              <w:t>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vAlign w:val="center"/>
          </w:tcPr>
          <w:p>
            <w:pPr>
              <w:spacing w:line="276" w:lineRule="auto"/>
              <w:jc w:val="center"/>
              <w:rPr>
                <w:szCs w:val="21"/>
              </w:rPr>
            </w:pPr>
            <w:r>
              <w:rPr>
                <w:szCs w:val="21"/>
              </w:rPr>
              <w:t>2</w:t>
            </w:r>
          </w:p>
        </w:tc>
        <w:tc>
          <w:tcPr>
            <w:tcW w:w="1701" w:type="dxa"/>
            <w:tcMar>
              <w:left w:w="28" w:type="dxa"/>
              <w:right w:w="28" w:type="dxa"/>
            </w:tcMar>
            <w:vAlign w:val="center"/>
          </w:tcPr>
          <w:p>
            <w:pPr>
              <w:spacing w:line="276" w:lineRule="auto"/>
              <w:jc w:val="center"/>
              <w:rPr>
                <w:szCs w:val="21"/>
              </w:rPr>
            </w:pPr>
            <w:r>
              <w:rPr>
                <w:szCs w:val="21"/>
              </w:rPr>
              <w:t>讲授</w:t>
            </w:r>
          </w:p>
        </w:tc>
        <w:tc>
          <w:tcPr>
            <w:tcW w:w="6237" w:type="dxa"/>
            <w:vAlign w:val="center"/>
          </w:tcPr>
          <w:p>
            <w:pPr>
              <w:spacing w:line="276" w:lineRule="auto"/>
              <w:rPr>
                <w:szCs w:val="21"/>
              </w:rPr>
            </w:pPr>
            <w:r>
              <w:rPr>
                <w:rFonts w:hint="eastAsia"/>
                <w:szCs w:val="21"/>
              </w:rPr>
              <w:t>1.</w:t>
            </w:r>
            <w:r>
              <w:rPr>
                <w:szCs w:val="21"/>
              </w:rPr>
              <w:t>要点准确</w:t>
            </w:r>
            <w:r>
              <w:rPr>
                <w:rFonts w:hint="eastAsia"/>
                <w:szCs w:val="21"/>
              </w:rPr>
              <w:t>、</w:t>
            </w:r>
            <w:r>
              <w:rPr>
                <w:szCs w:val="21"/>
              </w:rPr>
              <w:t>推理正确</w:t>
            </w:r>
            <w:r>
              <w:rPr>
                <w:rFonts w:hint="eastAsia"/>
                <w:szCs w:val="21"/>
              </w:rPr>
              <w:t>、</w:t>
            </w:r>
            <w:r>
              <w:rPr>
                <w:szCs w:val="21"/>
              </w:rPr>
              <w:t>条理清晰</w:t>
            </w:r>
            <w:r>
              <w:rPr>
                <w:rFonts w:hint="eastAsia"/>
                <w:szCs w:val="21"/>
              </w:rPr>
              <w:t>、</w:t>
            </w:r>
            <w:r>
              <w:rPr>
                <w:szCs w:val="21"/>
              </w:rPr>
              <w:t>重点突出，</w:t>
            </w:r>
            <w:r>
              <w:rPr>
                <w:rFonts w:hint="eastAsia"/>
                <w:szCs w:val="21"/>
              </w:rPr>
              <w:t>能够</w:t>
            </w:r>
            <w:r>
              <w:rPr>
                <w:szCs w:val="21"/>
              </w:rPr>
              <w:t>理论联系实际，熟练地解答和讲解例题。</w:t>
            </w:r>
          </w:p>
          <w:p>
            <w:pPr>
              <w:spacing w:line="276" w:lineRule="auto"/>
              <w:rPr>
                <w:szCs w:val="21"/>
              </w:rPr>
            </w:pPr>
            <w:r>
              <w:rPr>
                <w:rFonts w:hint="eastAsia"/>
                <w:szCs w:val="21"/>
              </w:rPr>
              <w:t>2.</w:t>
            </w:r>
            <w:r>
              <w:rPr>
                <w:szCs w:val="21"/>
              </w:rPr>
              <w:t>采用多种教学方式（如启发式教学、案例分析教学、讨论式教学、多媒体示范教学等），注重培养学生发现、分析和解决问题的能力。</w:t>
            </w:r>
          </w:p>
          <w:p>
            <w:pPr>
              <w:spacing w:line="276" w:lineRule="auto"/>
              <w:rPr>
                <w:szCs w:val="21"/>
              </w:rPr>
            </w:pPr>
            <w:r>
              <w:rPr>
                <w:rFonts w:hint="eastAsia"/>
                <w:szCs w:val="21"/>
              </w:rPr>
              <w:t>3.能够采用现代信息技术辅助</w:t>
            </w:r>
            <w:r>
              <w:rPr>
                <w:szCs w:val="21"/>
              </w:rPr>
              <w:t>教学。</w:t>
            </w:r>
          </w:p>
          <w:p>
            <w:pPr>
              <w:spacing w:line="276" w:lineRule="auto"/>
              <w:rPr>
                <w:szCs w:val="21"/>
              </w:rPr>
            </w:pPr>
            <w:r>
              <w:rPr>
                <w:rFonts w:hint="eastAsia"/>
                <w:szCs w:val="21"/>
              </w:rPr>
              <w:t>4.</w:t>
            </w:r>
            <w:r>
              <w:rPr>
                <w:szCs w:val="21"/>
              </w:rPr>
              <w:t>表达方式</w:t>
            </w:r>
            <w:r>
              <w:rPr>
                <w:rFonts w:hint="eastAsia"/>
                <w:szCs w:val="21"/>
              </w:rPr>
              <w:t>应能</w:t>
            </w:r>
            <w:r>
              <w:rPr>
                <w:szCs w:val="21"/>
              </w:rPr>
              <w:t>便于学生理解、接受，力求形象生动，使学生在掌握知识的过程中，保持较为浓厚的</w:t>
            </w:r>
            <w:r>
              <w:rPr>
                <w:rFonts w:hint="eastAsia"/>
                <w:szCs w:val="21"/>
              </w:rPr>
              <w:t>学习</w:t>
            </w:r>
            <w:r>
              <w:rPr>
                <w:szCs w:val="21"/>
              </w:rPr>
              <w:t>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4" w:hRule="atLeast"/>
          <w:jc w:val="center"/>
        </w:trPr>
        <w:tc>
          <w:tcPr>
            <w:tcW w:w="582" w:type="dxa"/>
            <w:vAlign w:val="center"/>
          </w:tcPr>
          <w:p>
            <w:pPr>
              <w:spacing w:line="276" w:lineRule="auto"/>
              <w:jc w:val="center"/>
              <w:rPr>
                <w:szCs w:val="21"/>
              </w:rPr>
            </w:pPr>
            <w:r>
              <w:rPr>
                <w:szCs w:val="21"/>
              </w:rPr>
              <w:t>3</w:t>
            </w:r>
          </w:p>
        </w:tc>
        <w:tc>
          <w:tcPr>
            <w:tcW w:w="1701" w:type="dxa"/>
            <w:tcMar>
              <w:left w:w="28" w:type="dxa"/>
              <w:right w:w="28" w:type="dxa"/>
            </w:tcMar>
            <w:vAlign w:val="center"/>
          </w:tcPr>
          <w:p>
            <w:pPr>
              <w:spacing w:line="276" w:lineRule="auto"/>
              <w:jc w:val="center"/>
              <w:rPr>
                <w:szCs w:val="21"/>
              </w:rPr>
            </w:pPr>
            <w:r>
              <w:rPr>
                <w:szCs w:val="21"/>
              </w:rPr>
              <w:t>作业布置与批改</w:t>
            </w:r>
          </w:p>
        </w:tc>
        <w:tc>
          <w:tcPr>
            <w:tcW w:w="6237" w:type="dxa"/>
            <w:vAlign w:val="center"/>
          </w:tcPr>
          <w:p>
            <w:pPr>
              <w:rPr>
                <w:szCs w:val="21"/>
              </w:rPr>
            </w:pPr>
            <w:r>
              <w:rPr>
                <w:rFonts w:hint="eastAsia"/>
                <w:szCs w:val="21"/>
              </w:rPr>
              <w:t>1.布置作业应目的明确、循序渐进、难易适度、数量适中，符合教学大纲要求。</w:t>
            </w:r>
          </w:p>
          <w:p>
            <w:pPr>
              <w:spacing w:line="276" w:lineRule="auto"/>
              <w:rPr>
                <w:szCs w:val="21"/>
              </w:rPr>
            </w:pPr>
            <w:r>
              <w:rPr>
                <w:rFonts w:hint="eastAsia"/>
                <w:szCs w:val="21"/>
              </w:rPr>
              <w:t>2.对学生完成的作业及时认真批改，作业的成绩应作为平时成绩的重要方面，以一定权重计入学生课程终评成绩。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582" w:type="dxa"/>
            <w:vAlign w:val="center"/>
          </w:tcPr>
          <w:p>
            <w:pPr>
              <w:spacing w:line="276" w:lineRule="auto"/>
              <w:jc w:val="center"/>
              <w:rPr>
                <w:szCs w:val="21"/>
              </w:rPr>
            </w:pPr>
            <w:r>
              <w:rPr>
                <w:szCs w:val="21"/>
              </w:rPr>
              <w:t>4</w:t>
            </w:r>
          </w:p>
        </w:tc>
        <w:tc>
          <w:tcPr>
            <w:tcW w:w="1701" w:type="dxa"/>
            <w:tcMar>
              <w:left w:w="28" w:type="dxa"/>
              <w:right w:w="28" w:type="dxa"/>
            </w:tcMar>
            <w:vAlign w:val="center"/>
          </w:tcPr>
          <w:p>
            <w:pPr>
              <w:spacing w:line="276" w:lineRule="auto"/>
              <w:jc w:val="center"/>
              <w:rPr>
                <w:szCs w:val="21"/>
              </w:rPr>
            </w:pPr>
            <w:r>
              <w:rPr>
                <w:szCs w:val="21"/>
              </w:rPr>
              <w:t>课外答疑</w:t>
            </w:r>
          </w:p>
        </w:tc>
        <w:tc>
          <w:tcPr>
            <w:tcW w:w="6237" w:type="dxa"/>
            <w:vAlign w:val="center"/>
          </w:tcPr>
          <w:p>
            <w:pPr>
              <w:spacing w:line="276" w:lineRule="auto"/>
              <w:rPr>
                <w:szCs w:val="21"/>
              </w:rPr>
            </w:pPr>
            <w:r>
              <w:rPr>
                <w:szCs w:val="21"/>
              </w:rPr>
              <w:t>为了解学生的学习情况，帮助学生</w:t>
            </w:r>
            <w:r>
              <w:rPr>
                <w:rFonts w:hint="eastAsia"/>
                <w:szCs w:val="21"/>
              </w:rPr>
              <w:t>更好地</w:t>
            </w:r>
            <w:r>
              <w:rPr>
                <w:szCs w:val="21"/>
              </w:rPr>
              <w:t>理解和消化所学知识、改进学习方法和思维方式，培养其独立思考问题的能力，</w:t>
            </w:r>
            <w:r>
              <w:rPr>
                <w:rFonts w:hint="eastAsia"/>
                <w:szCs w:val="21"/>
              </w:rPr>
              <w:t>课外答疑方式、时间、地点要跟学生商量共同确定，灵活安排。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582" w:type="dxa"/>
            <w:vAlign w:val="center"/>
          </w:tcPr>
          <w:p>
            <w:pPr>
              <w:spacing w:line="276" w:lineRule="auto"/>
              <w:jc w:val="center"/>
              <w:rPr>
                <w:szCs w:val="21"/>
              </w:rPr>
            </w:pPr>
            <w:r>
              <w:rPr>
                <w:szCs w:val="21"/>
              </w:rPr>
              <w:t>5</w:t>
            </w:r>
          </w:p>
        </w:tc>
        <w:tc>
          <w:tcPr>
            <w:tcW w:w="1701" w:type="dxa"/>
            <w:tcMar>
              <w:left w:w="28" w:type="dxa"/>
              <w:right w:w="28" w:type="dxa"/>
            </w:tcMar>
            <w:vAlign w:val="center"/>
          </w:tcPr>
          <w:p>
            <w:pPr>
              <w:spacing w:line="276" w:lineRule="auto"/>
              <w:jc w:val="center"/>
              <w:rPr>
                <w:szCs w:val="21"/>
              </w:rPr>
            </w:pPr>
            <w:r>
              <w:rPr>
                <w:szCs w:val="21"/>
              </w:rPr>
              <w:t>成绩考核</w:t>
            </w:r>
          </w:p>
        </w:tc>
        <w:tc>
          <w:tcPr>
            <w:tcW w:w="6237" w:type="dxa"/>
            <w:vAlign w:val="center"/>
          </w:tcPr>
          <w:p>
            <w:pPr>
              <w:spacing w:line="276" w:lineRule="auto"/>
              <w:rPr>
                <w:szCs w:val="21"/>
              </w:rPr>
            </w:pPr>
            <w:r>
              <w:rPr>
                <w:rFonts w:hint="eastAsia"/>
                <w:szCs w:val="21"/>
              </w:rPr>
              <w:t>1.能促进和巩固教学效果，保证和提高教学质量。</w:t>
            </w:r>
          </w:p>
          <w:p>
            <w:pPr>
              <w:spacing w:line="276" w:lineRule="auto"/>
              <w:rPr>
                <w:szCs w:val="21"/>
              </w:rPr>
            </w:pPr>
            <w:r>
              <w:rPr>
                <w:rFonts w:hint="eastAsia"/>
                <w:szCs w:val="21"/>
              </w:rPr>
              <w:t>2.对教学过程进行调控和平衡。</w:t>
            </w:r>
          </w:p>
          <w:p>
            <w:pPr>
              <w:spacing w:line="276" w:lineRule="auto"/>
              <w:rPr>
                <w:szCs w:val="21"/>
              </w:rPr>
            </w:pPr>
            <w:r>
              <w:rPr>
                <w:rFonts w:hint="eastAsia"/>
                <w:szCs w:val="21"/>
              </w:rPr>
              <w:t>3.通过对考试质量的定性或定量分析，改进以后的考核，使之科学化、合理化。</w:t>
            </w:r>
          </w:p>
        </w:tc>
      </w:tr>
    </w:tbl>
    <w:p>
      <w:pPr>
        <w:spacing w:line="360" w:lineRule="auto"/>
        <w:rPr>
          <w:b/>
          <w:sz w:val="28"/>
          <w:szCs w:val="28"/>
        </w:rPr>
      </w:pPr>
      <w:r>
        <w:rPr>
          <w:rFonts w:hint="eastAsia"/>
          <w:b/>
          <w:sz w:val="28"/>
          <w:szCs w:val="28"/>
        </w:rPr>
        <w:t>五、课程</w:t>
      </w:r>
      <w:r>
        <w:rPr>
          <w:b/>
          <w:sz w:val="28"/>
          <w:szCs w:val="28"/>
        </w:rPr>
        <w:t>考核</w:t>
      </w:r>
    </w:p>
    <w:p>
      <w:pPr>
        <w:spacing w:line="360" w:lineRule="auto"/>
        <w:ind w:firstLine="480" w:firstLineChars="200"/>
        <w:rPr>
          <w:sz w:val="24"/>
        </w:rPr>
      </w:pPr>
      <w:r>
        <w:rPr>
          <w:rFonts w:hint="eastAsia"/>
          <w:sz w:val="24"/>
        </w:rPr>
        <w:t>（一）</w:t>
      </w:r>
      <w:r>
        <w:rPr>
          <w:sz w:val="24"/>
        </w:rPr>
        <w:t>课程考核包括期末考试、平时及作业考核</w:t>
      </w:r>
      <w:r>
        <w:rPr>
          <w:rFonts w:hint="eastAsia"/>
          <w:sz w:val="24"/>
        </w:rPr>
        <w:t>等</w:t>
      </w:r>
      <w:r>
        <w:rPr>
          <w:sz w:val="24"/>
        </w:rPr>
        <w:t>，期</w:t>
      </w:r>
      <w:r>
        <w:rPr>
          <w:rFonts w:hint="eastAsia"/>
          <w:sz w:val="24"/>
        </w:rPr>
        <w:t>末</w:t>
      </w:r>
      <w:r>
        <w:rPr>
          <w:sz w:val="24"/>
        </w:rPr>
        <w:t>考试采用</w:t>
      </w:r>
      <w:r>
        <w:rPr>
          <w:rFonts w:hint="eastAsia"/>
          <w:sz w:val="24"/>
        </w:rPr>
        <w:t>开</w:t>
      </w:r>
      <w:r>
        <w:rPr>
          <w:sz w:val="24"/>
        </w:rPr>
        <w:t>卷</w:t>
      </w:r>
      <w:r>
        <w:rPr>
          <w:rFonts w:hint="eastAsia"/>
          <w:sz w:val="24"/>
        </w:rPr>
        <w:t>考试方式</w:t>
      </w:r>
      <w:r>
        <w:rPr>
          <w:sz w:val="24"/>
        </w:rPr>
        <w:t>。</w:t>
      </w:r>
    </w:p>
    <w:p>
      <w:pPr>
        <w:spacing w:line="360" w:lineRule="auto"/>
        <w:ind w:firstLine="480" w:firstLineChars="200"/>
        <w:rPr>
          <w:sz w:val="24"/>
        </w:rPr>
      </w:pPr>
      <w:r>
        <w:rPr>
          <w:rFonts w:hint="eastAsia"/>
          <w:sz w:val="24"/>
        </w:rPr>
        <w:t>（二）</w:t>
      </w:r>
      <w:r>
        <w:rPr>
          <w:sz w:val="24"/>
        </w:rPr>
        <w:t>课程</w:t>
      </w:r>
      <w:r>
        <w:rPr>
          <w:rFonts w:hint="eastAsia"/>
          <w:sz w:val="24"/>
        </w:rPr>
        <w:t>总评</w:t>
      </w:r>
      <w:r>
        <w:rPr>
          <w:sz w:val="24"/>
        </w:rPr>
        <w:t>成绩=平时成绩×2</w:t>
      </w:r>
      <w:r>
        <w:rPr>
          <w:rFonts w:hint="eastAsia"/>
          <w:sz w:val="24"/>
        </w:rPr>
        <w:t>0</w:t>
      </w:r>
      <w:r>
        <w:rPr>
          <w:sz w:val="24"/>
        </w:rPr>
        <w:t>% +</w:t>
      </w:r>
      <w:r>
        <w:rPr>
          <w:rFonts w:hint="eastAsia"/>
          <w:sz w:val="24"/>
        </w:rPr>
        <w:t>作业</w:t>
      </w:r>
      <w:r>
        <w:rPr>
          <w:sz w:val="24"/>
        </w:rPr>
        <w:t>×</w:t>
      </w:r>
      <w:r>
        <w:rPr>
          <w:rFonts w:hint="eastAsia"/>
          <w:sz w:val="24"/>
        </w:rPr>
        <w:t>20</w:t>
      </w:r>
      <w:r>
        <w:rPr>
          <w:sz w:val="24"/>
        </w:rPr>
        <w:t xml:space="preserve">% </w:t>
      </w:r>
      <w:r>
        <w:rPr>
          <w:rFonts w:hint="eastAsia"/>
          <w:sz w:val="24"/>
        </w:rPr>
        <w:t>+过程性考核1</w:t>
      </w:r>
      <w:r>
        <w:rPr>
          <w:sz w:val="24"/>
        </w:rPr>
        <w:t>0</w:t>
      </w:r>
      <w:r>
        <w:rPr>
          <w:rFonts w:hint="eastAsia"/>
          <w:sz w:val="24"/>
        </w:rPr>
        <w:t>%+</w:t>
      </w:r>
      <w:r>
        <w:rPr>
          <w:sz w:val="24"/>
        </w:rPr>
        <w:t>期末考试成绩×</w:t>
      </w:r>
      <w:r>
        <w:rPr>
          <w:rFonts w:hint="eastAsia"/>
          <w:sz w:val="24"/>
        </w:rPr>
        <w:t>50</w:t>
      </w:r>
      <w:r>
        <w:rPr>
          <w:sz w:val="24"/>
        </w:rPr>
        <w:t>%。具体内容和比例</w:t>
      </w:r>
      <w:r>
        <w:rPr>
          <w:rFonts w:hint="eastAsia"/>
          <w:sz w:val="24"/>
        </w:rPr>
        <w:t xml:space="preserve">如表所示。 </w:t>
      </w:r>
      <w:r>
        <w:rPr>
          <w:sz w:val="24"/>
        </w:rPr>
        <w:t xml:space="preserve">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1276"/>
        <w:gridCol w:w="5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Pr>
          <w:p>
            <w:pPr>
              <w:rPr>
                <w:rFonts w:hint="eastAsia" w:asciiTheme="minorHAnsi" w:hAnsiTheme="minorHAnsi" w:eastAsiaTheme="minorEastAsia" w:cstheme="minorBidi"/>
              </w:rPr>
            </w:pPr>
            <w:r>
              <w:rPr>
                <w:rFonts w:hint="eastAsia" w:asciiTheme="minorHAnsi" w:hAnsiTheme="minorHAnsi" w:eastAsiaTheme="minorEastAsia" w:cstheme="minorBidi"/>
              </w:rPr>
              <w:t>考核环节</w:t>
            </w:r>
          </w:p>
        </w:tc>
        <w:tc>
          <w:tcPr>
            <w:tcW w:w="1276" w:type="dxa"/>
          </w:tcPr>
          <w:p>
            <w:pPr>
              <w:rPr>
                <w:rFonts w:hint="eastAsia" w:asciiTheme="minorHAnsi" w:hAnsiTheme="minorHAnsi" w:eastAsiaTheme="minorEastAsia" w:cstheme="minorBidi"/>
              </w:rPr>
            </w:pPr>
            <w:r>
              <w:rPr>
                <w:rFonts w:hint="eastAsia" w:asciiTheme="minorHAnsi" w:hAnsiTheme="minorHAnsi" w:eastAsiaTheme="minorEastAsia" w:cstheme="minorBidi"/>
              </w:rPr>
              <w:t>成绩比例</w:t>
            </w:r>
          </w:p>
        </w:tc>
        <w:tc>
          <w:tcPr>
            <w:tcW w:w="5295" w:type="dxa"/>
          </w:tcPr>
          <w:p>
            <w:pPr>
              <w:rPr>
                <w:rFonts w:hint="eastAsia" w:asciiTheme="minorHAnsi" w:hAnsiTheme="minorHAnsi" w:eastAsiaTheme="minorEastAsia" w:cstheme="minorBidi"/>
              </w:rPr>
            </w:pPr>
            <w:r>
              <w:rPr>
                <w:rFonts w:hint="eastAsia" w:asciiTheme="minorHAnsi" w:hAnsiTheme="minorHAnsi" w:eastAsiaTheme="minorEastAsia" w:cstheme="minorBidi"/>
              </w:rPr>
              <w:t>考核内容与评价细则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951" w:type="dxa"/>
          </w:tcPr>
          <w:p>
            <w:pPr>
              <w:rPr>
                <w:rFonts w:hint="eastAsia" w:asciiTheme="minorHAnsi" w:hAnsiTheme="minorHAnsi" w:eastAsiaTheme="minorEastAsia" w:cstheme="minorBidi"/>
              </w:rPr>
            </w:pPr>
            <w:r>
              <w:rPr>
                <w:rFonts w:hint="eastAsia" w:asciiTheme="minorHAnsi" w:hAnsiTheme="minorHAnsi" w:eastAsiaTheme="minorEastAsia" w:cstheme="minorBidi"/>
              </w:rPr>
              <w:t>平时表现</w:t>
            </w:r>
          </w:p>
        </w:tc>
        <w:tc>
          <w:tcPr>
            <w:tcW w:w="1276" w:type="dxa"/>
          </w:tcPr>
          <w:p>
            <w:pPr>
              <w:rPr>
                <w:rFonts w:hint="eastAsia" w:asciiTheme="minorHAnsi" w:hAnsiTheme="minorHAnsi" w:eastAsiaTheme="minorEastAsia" w:cstheme="minorBidi"/>
              </w:rPr>
            </w:pPr>
            <w:r>
              <w:rPr>
                <w:rFonts w:asciiTheme="minorHAnsi" w:hAnsiTheme="minorHAnsi" w:eastAsiaTheme="minorEastAsia" w:cstheme="minorBidi"/>
              </w:rPr>
              <w:t>20</w:t>
            </w:r>
            <w:r>
              <w:rPr>
                <w:rFonts w:hint="eastAsia" w:asciiTheme="minorHAnsi" w:hAnsiTheme="minorHAnsi" w:eastAsiaTheme="minorEastAsia" w:cstheme="minorBidi"/>
              </w:rPr>
              <w:t>%</w:t>
            </w:r>
          </w:p>
        </w:tc>
        <w:tc>
          <w:tcPr>
            <w:tcW w:w="5295" w:type="dxa"/>
          </w:tcPr>
          <w:p>
            <w:pPr>
              <w:rPr>
                <w:rFonts w:hint="eastAsia" w:asciiTheme="minorHAnsi" w:hAnsiTheme="minorHAnsi" w:eastAsiaTheme="minorEastAsia" w:cstheme="minorBidi"/>
              </w:rPr>
            </w:pPr>
            <w:r>
              <w:rPr>
                <w:rFonts w:hint="eastAsia" w:asciiTheme="minorHAnsi" w:hAnsiTheme="minorHAnsi" w:eastAsiaTheme="minorEastAsia" w:cstheme="minorBidi"/>
              </w:rPr>
              <w:t>根据平时课堂笔记、课堂回答问题等情况确定平时表现分数，课堂上随机抽取学生回答问题。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1951" w:type="dxa"/>
          </w:tcPr>
          <w:p>
            <w:pPr>
              <w:rPr>
                <w:rFonts w:hint="eastAsia" w:asciiTheme="minorHAnsi" w:hAnsiTheme="minorHAnsi" w:eastAsiaTheme="minorEastAsia" w:cstheme="minorBidi"/>
              </w:rPr>
            </w:pPr>
            <w:r>
              <w:rPr>
                <w:rFonts w:hint="eastAsia" w:asciiTheme="minorHAnsi" w:hAnsiTheme="minorHAnsi" w:eastAsiaTheme="minorEastAsia" w:cstheme="minorBidi"/>
              </w:rPr>
              <w:t>作业</w:t>
            </w:r>
          </w:p>
        </w:tc>
        <w:tc>
          <w:tcPr>
            <w:tcW w:w="1276" w:type="dxa"/>
          </w:tcPr>
          <w:p>
            <w:pPr>
              <w:rPr>
                <w:rFonts w:hint="eastAsia" w:asciiTheme="minorHAnsi" w:hAnsiTheme="minorHAnsi" w:eastAsiaTheme="minorEastAsia" w:cstheme="minorBidi"/>
              </w:rPr>
            </w:pPr>
            <w:r>
              <w:rPr>
                <w:rFonts w:hint="eastAsia" w:asciiTheme="minorHAnsi" w:hAnsiTheme="minorHAnsi" w:eastAsiaTheme="minorEastAsia" w:cstheme="minorBidi"/>
              </w:rPr>
              <w:t>2</w:t>
            </w:r>
            <w:r>
              <w:rPr>
                <w:rFonts w:asciiTheme="minorHAnsi" w:hAnsiTheme="minorHAnsi" w:eastAsiaTheme="minorEastAsia" w:cstheme="minorBidi"/>
              </w:rPr>
              <w:t>0</w:t>
            </w:r>
            <w:r>
              <w:rPr>
                <w:rFonts w:hint="eastAsia" w:asciiTheme="minorHAnsi" w:hAnsiTheme="minorHAnsi" w:eastAsiaTheme="minorEastAsia" w:cstheme="minorBidi"/>
              </w:rPr>
              <w:t>%</w:t>
            </w:r>
          </w:p>
        </w:tc>
        <w:tc>
          <w:tcPr>
            <w:tcW w:w="5295" w:type="dxa"/>
          </w:tcPr>
          <w:p>
            <w:pPr>
              <w:rPr>
                <w:rFonts w:hint="eastAsia" w:asciiTheme="minorHAnsi" w:hAnsiTheme="minorHAnsi" w:eastAsiaTheme="minorEastAsia" w:cstheme="minorBidi"/>
              </w:rPr>
            </w:pPr>
            <w:r>
              <w:rPr>
                <w:rFonts w:asciiTheme="minorHAnsi" w:hAnsiTheme="minorHAnsi" w:eastAsiaTheme="minorEastAsia" w:cstheme="minorBidi"/>
              </w:rPr>
              <w:t>课后完成</w:t>
            </w:r>
            <w:r>
              <w:rPr>
                <w:rFonts w:hint="eastAsia" w:asciiTheme="minorHAnsi" w:hAnsiTheme="minorHAnsi" w:eastAsiaTheme="minorEastAsia" w:cstheme="minorBidi"/>
              </w:rPr>
              <w:t>主题讨论或</w:t>
            </w:r>
            <w:r>
              <w:rPr>
                <w:rFonts w:asciiTheme="minorHAnsi" w:hAnsiTheme="minorHAnsi" w:eastAsiaTheme="minorEastAsia" w:cstheme="minorBidi"/>
              </w:rPr>
              <w:t>2-5个习题，主要考核学生对每节课知识点的</w:t>
            </w:r>
            <w:r>
              <w:rPr>
                <w:rFonts w:hint="eastAsia" w:asciiTheme="minorHAnsi" w:hAnsiTheme="minorHAnsi" w:eastAsiaTheme="minorEastAsia" w:cstheme="minorBidi"/>
              </w:rPr>
              <w:t>预习、</w:t>
            </w:r>
            <w:r>
              <w:rPr>
                <w:rFonts w:asciiTheme="minorHAnsi" w:hAnsiTheme="minorHAnsi" w:eastAsiaTheme="minorEastAsia" w:cstheme="minorBidi"/>
              </w:rPr>
              <w:t>复习、理解和掌握程度</w:t>
            </w:r>
            <w:r>
              <w:rPr>
                <w:rFonts w:hint="eastAsia" w:asciiTheme="minorHAnsi" w:hAnsiTheme="minorHAnsi" w:eastAsiaTheme="minorEastAsia" w:cstheme="minorBid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951" w:type="dxa"/>
          </w:tcPr>
          <w:p>
            <w:pPr>
              <w:rPr>
                <w:rFonts w:hint="eastAsia" w:asciiTheme="minorHAnsi" w:hAnsiTheme="minorHAnsi" w:eastAsiaTheme="minorEastAsia" w:cstheme="minorBidi"/>
              </w:rPr>
            </w:pPr>
            <w:r>
              <w:rPr>
                <w:rFonts w:hint="eastAsia" w:asciiTheme="minorHAnsi" w:hAnsiTheme="minorHAnsi" w:eastAsiaTheme="minorEastAsia" w:cstheme="minorBidi"/>
              </w:rPr>
              <w:t>过程性考核</w:t>
            </w:r>
          </w:p>
        </w:tc>
        <w:tc>
          <w:tcPr>
            <w:tcW w:w="1276" w:type="dxa"/>
          </w:tcPr>
          <w:p>
            <w:pPr>
              <w:rPr>
                <w:rFonts w:hint="eastAsia" w:asciiTheme="minorHAnsi" w:hAnsiTheme="minorHAnsi" w:eastAsiaTheme="minorEastAsia" w:cstheme="minorBidi"/>
              </w:rPr>
            </w:pPr>
            <w:r>
              <w:rPr>
                <w:rFonts w:hint="eastAsia" w:asciiTheme="minorHAnsi" w:hAnsiTheme="minorHAnsi" w:eastAsiaTheme="minorEastAsia" w:cstheme="minorBidi"/>
              </w:rPr>
              <w:t>1</w:t>
            </w:r>
            <w:r>
              <w:rPr>
                <w:rFonts w:asciiTheme="minorHAnsi" w:hAnsiTheme="minorHAnsi" w:eastAsiaTheme="minorEastAsia" w:cstheme="minorBidi"/>
              </w:rPr>
              <w:t>0</w:t>
            </w:r>
            <w:r>
              <w:rPr>
                <w:rFonts w:hint="eastAsia" w:asciiTheme="minorHAnsi" w:hAnsiTheme="minorHAnsi" w:eastAsiaTheme="minorEastAsia" w:cstheme="minorBidi"/>
              </w:rPr>
              <w:t>%</w:t>
            </w:r>
          </w:p>
        </w:tc>
        <w:tc>
          <w:tcPr>
            <w:tcW w:w="5295" w:type="dxa"/>
          </w:tcPr>
          <w:p>
            <w:pPr>
              <w:rPr>
                <w:rFonts w:hint="eastAsia" w:asciiTheme="minorHAnsi" w:hAnsiTheme="minorHAnsi" w:eastAsiaTheme="minorEastAsia" w:cstheme="minorBidi"/>
              </w:rPr>
            </w:pPr>
            <w:r>
              <w:rPr>
                <w:rFonts w:hint="eastAsia" w:asciiTheme="minorHAnsi" w:hAnsiTheme="minorHAnsi" w:eastAsiaTheme="minorEastAsia" w:cstheme="minorBidi"/>
                <w:color w:val="000000"/>
                <w:szCs w:val="21"/>
              </w:rPr>
              <w:t>通过期中考试或者课程大论文的形式考察学生对知识点的理解及学完之后的收获</w:t>
            </w:r>
            <w:r>
              <w:rPr>
                <w:rFonts w:asciiTheme="minorHAnsi" w:hAnsiTheme="minorHAnsi" w:eastAsiaTheme="minorEastAsia" w:cstheme="minorBidi"/>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2" w:hRule="atLeast"/>
          <w:jc w:val="center"/>
        </w:trPr>
        <w:tc>
          <w:tcPr>
            <w:tcW w:w="1951" w:type="dxa"/>
          </w:tcPr>
          <w:p>
            <w:pPr>
              <w:rPr>
                <w:rFonts w:hint="eastAsia" w:asciiTheme="minorHAnsi" w:hAnsiTheme="minorHAnsi" w:eastAsiaTheme="minorEastAsia" w:cstheme="minorBidi"/>
              </w:rPr>
            </w:pPr>
            <w:r>
              <w:rPr>
                <w:rFonts w:hint="eastAsia" w:asciiTheme="minorHAnsi" w:hAnsiTheme="minorHAnsi" w:eastAsiaTheme="minorEastAsia" w:cstheme="minorBidi"/>
              </w:rPr>
              <w:t>期末考试</w:t>
            </w:r>
          </w:p>
        </w:tc>
        <w:tc>
          <w:tcPr>
            <w:tcW w:w="1276" w:type="dxa"/>
          </w:tcPr>
          <w:p>
            <w:pPr>
              <w:rPr>
                <w:rFonts w:hint="eastAsia" w:asciiTheme="minorHAnsi" w:hAnsiTheme="minorHAnsi" w:eastAsiaTheme="minorEastAsia" w:cstheme="minorBidi"/>
              </w:rPr>
            </w:pPr>
            <w:r>
              <w:rPr>
                <w:rFonts w:hint="eastAsia" w:asciiTheme="minorHAnsi" w:hAnsiTheme="minorHAnsi" w:eastAsiaTheme="minorEastAsia" w:cstheme="minorBidi"/>
              </w:rPr>
              <w:t>5</w:t>
            </w:r>
            <w:r>
              <w:rPr>
                <w:rFonts w:asciiTheme="minorHAnsi" w:hAnsiTheme="minorHAnsi" w:eastAsiaTheme="minorEastAsia" w:cstheme="minorBidi"/>
              </w:rPr>
              <w:t>0</w:t>
            </w:r>
            <w:r>
              <w:rPr>
                <w:rFonts w:hint="eastAsia" w:asciiTheme="minorHAnsi" w:hAnsiTheme="minorHAnsi" w:eastAsiaTheme="minorEastAsia" w:cstheme="minorBidi"/>
              </w:rPr>
              <w:t>%</w:t>
            </w:r>
          </w:p>
        </w:tc>
        <w:tc>
          <w:tcPr>
            <w:tcW w:w="5295" w:type="dxa"/>
          </w:tcPr>
          <w:p>
            <w:pPr>
              <w:rPr>
                <w:rFonts w:hint="eastAsia" w:asciiTheme="minorHAnsi" w:hAnsiTheme="minorHAnsi" w:eastAsiaTheme="minorEastAsia" w:cstheme="minorBidi"/>
              </w:rPr>
            </w:pPr>
            <w:r>
              <w:rPr>
                <w:rFonts w:asciiTheme="minorHAnsi" w:hAnsiTheme="minorHAnsi" w:eastAsiaTheme="minorEastAsia" w:cstheme="minorBidi"/>
                <w:color w:val="000000"/>
                <w:szCs w:val="21"/>
              </w:rPr>
              <w:t>试卷题型包括</w:t>
            </w:r>
            <w:r>
              <w:rPr>
                <w:rFonts w:hint="eastAsia" w:asciiTheme="minorHAnsi" w:hAnsiTheme="minorHAnsi" w:eastAsiaTheme="minorEastAsia" w:cstheme="minorBidi"/>
                <w:color w:val="000000"/>
                <w:szCs w:val="21"/>
              </w:rPr>
              <w:t>选择</w:t>
            </w:r>
            <w:r>
              <w:rPr>
                <w:rFonts w:asciiTheme="minorHAnsi" w:hAnsiTheme="minorHAnsi" w:eastAsiaTheme="minorEastAsia" w:cstheme="minorBidi"/>
                <w:color w:val="000000"/>
                <w:szCs w:val="21"/>
              </w:rPr>
              <w:t>题</w:t>
            </w:r>
            <w:r>
              <w:rPr>
                <w:rFonts w:hint="eastAsia" w:asciiTheme="minorHAnsi" w:hAnsiTheme="minorHAnsi" w:eastAsiaTheme="minorEastAsia" w:cstheme="minorBidi"/>
                <w:color w:val="000000"/>
                <w:szCs w:val="21"/>
              </w:rPr>
              <w:t>和</w:t>
            </w:r>
            <w:r>
              <w:rPr>
                <w:rFonts w:asciiTheme="minorHAnsi" w:hAnsiTheme="minorHAnsi" w:eastAsiaTheme="minorEastAsia" w:cstheme="minorBidi"/>
                <w:color w:val="000000"/>
                <w:szCs w:val="21"/>
              </w:rPr>
              <w:t>简答题，以卷面成绩的</w:t>
            </w:r>
            <w:r>
              <w:rPr>
                <w:rFonts w:hint="eastAsia" w:asciiTheme="minorHAnsi" w:hAnsiTheme="minorHAnsi" w:eastAsiaTheme="minorEastAsia" w:cstheme="minorBidi"/>
                <w:color w:val="000000"/>
                <w:szCs w:val="21"/>
              </w:rPr>
              <w:t>5</w:t>
            </w:r>
            <w:r>
              <w:rPr>
                <w:rFonts w:asciiTheme="minorHAnsi" w:hAnsiTheme="minorHAnsi" w:eastAsiaTheme="minorEastAsia" w:cstheme="minorBidi"/>
                <w:color w:val="000000"/>
                <w:szCs w:val="21"/>
              </w:rPr>
              <w:t>0%计入课程总成绩。其中考</w:t>
            </w:r>
            <w:r>
              <w:rPr>
                <w:rFonts w:hint="eastAsia" w:asciiTheme="minorHAnsi" w:hAnsiTheme="minorHAnsi" w:eastAsiaTheme="minorEastAsia" w:cstheme="minorBidi"/>
                <w:color w:val="000000"/>
                <w:szCs w:val="21"/>
              </w:rPr>
              <w:t>纳米技术及其在药物学上的应用相</w:t>
            </w:r>
            <w:r>
              <w:rPr>
                <w:rFonts w:asciiTheme="minorHAnsi" w:hAnsiTheme="minorHAnsi" w:eastAsiaTheme="minorEastAsia" w:cstheme="minorBidi"/>
                <w:color w:val="000000"/>
                <w:szCs w:val="21"/>
              </w:rPr>
              <w:t>关知识占</w:t>
            </w:r>
            <w:r>
              <w:rPr>
                <w:rFonts w:hint="eastAsia" w:asciiTheme="minorHAnsi" w:hAnsiTheme="minorHAnsi" w:eastAsiaTheme="minorEastAsia" w:cstheme="minorBidi"/>
                <w:color w:val="000000"/>
                <w:szCs w:val="21"/>
              </w:rPr>
              <w:t>2</w:t>
            </w:r>
            <w:r>
              <w:rPr>
                <w:rFonts w:asciiTheme="minorHAnsi" w:hAnsiTheme="minorHAnsi" w:eastAsiaTheme="minorEastAsia" w:cstheme="minorBidi"/>
                <w:color w:val="000000"/>
                <w:szCs w:val="21"/>
              </w:rPr>
              <w:t>0%，；考核</w:t>
            </w:r>
            <w:r>
              <w:rPr>
                <w:rFonts w:hint="eastAsia" w:asciiTheme="minorHAnsi" w:hAnsiTheme="minorHAnsi" w:eastAsiaTheme="minorEastAsia" w:cstheme="minorBidi"/>
                <w:color w:val="000000"/>
                <w:szCs w:val="21"/>
              </w:rPr>
              <w:t>纳米给药系统的相</w:t>
            </w:r>
            <w:r>
              <w:rPr>
                <w:rFonts w:asciiTheme="minorHAnsi" w:hAnsiTheme="minorHAnsi" w:eastAsiaTheme="minorEastAsia" w:cstheme="minorBidi"/>
                <w:color w:val="000000"/>
                <w:szCs w:val="21"/>
              </w:rPr>
              <w:t>关内容占40%；考</w:t>
            </w:r>
            <w:r>
              <w:rPr>
                <w:rFonts w:hint="eastAsia" w:asciiTheme="minorHAnsi" w:hAnsiTheme="minorHAnsi" w:eastAsiaTheme="minorEastAsia" w:cstheme="minorBidi"/>
                <w:color w:val="000000"/>
                <w:szCs w:val="21"/>
              </w:rPr>
              <w:t>核纳米药物制剂技术和其他相</w:t>
            </w:r>
            <w:r>
              <w:rPr>
                <w:rFonts w:asciiTheme="minorHAnsi" w:hAnsiTheme="minorHAnsi" w:eastAsiaTheme="minorEastAsia" w:cstheme="minorBidi"/>
                <w:color w:val="000000"/>
                <w:szCs w:val="21"/>
              </w:rPr>
              <w:t>关内容占</w:t>
            </w:r>
            <w:r>
              <w:rPr>
                <w:rFonts w:hint="eastAsia" w:asciiTheme="minorHAnsi" w:hAnsiTheme="minorHAnsi" w:eastAsiaTheme="minorEastAsia" w:cstheme="minorBidi"/>
                <w:color w:val="000000"/>
                <w:szCs w:val="21"/>
              </w:rPr>
              <w:t>4</w:t>
            </w:r>
            <w:r>
              <w:rPr>
                <w:rFonts w:asciiTheme="minorHAnsi" w:hAnsiTheme="minorHAnsi" w:eastAsiaTheme="minorEastAsia" w:cstheme="minorBidi"/>
                <w:color w:val="00000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Pr>
          <w:p>
            <w:pPr>
              <w:rPr>
                <w:rFonts w:hint="eastAsia" w:asciiTheme="minorHAnsi" w:hAnsiTheme="minorHAnsi" w:eastAsiaTheme="minorEastAsia" w:cstheme="minorBidi"/>
              </w:rPr>
            </w:pPr>
            <w:r>
              <w:rPr>
                <w:rFonts w:hint="eastAsia" w:asciiTheme="minorHAnsi" w:hAnsiTheme="minorHAnsi" w:eastAsiaTheme="minorEastAsia" w:cstheme="minorBidi"/>
              </w:rPr>
              <w:t>合计</w:t>
            </w:r>
          </w:p>
        </w:tc>
        <w:tc>
          <w:tcPr>
            <w:tcW w:w="1276" w:type="dxa"/>
          </w:tcPr>
          <w:p>
            <w:pPr>
              <w:rPr>
                <w:rFonts w:hint="eastAsia" w:asciiTheme="minorHAnsi" w:hAnsiTheme="minorHAnsi" w:eastAsiaTheme="minorEastAsia" w:cstheme="minorBidi"/>
              </w:rPr>
            </w:pPr>
            <w:r>
              <w:rPr>
                <w:rFonts w:hint="eastAsia" w:asciiTheme="minorHAnsi" w:hAnsiTheme="minorHAnsi" w:eastAsiaTheme="minorEastAsia" w:cstheme="minorBidi"/>
              </w:rPr>
              <w:t>1</w:t>
            </w:r>
            <w:r>
              <w:rPr>
                <w:rFonts w:asciiTheme="minorHAnsi" w:hAnsiTheme="minorHAnsi" w:eastAsiaTheme="minorEastAsia" w:cstheme="minorBidi"/>
              </w:rPr>
              <w:t>00</w:t>
            </w:r>
            <w:r>
              <w:rPr>
                <w:rFonts w:hint="eastAsia" w:asciiTheme="minorHAnsi" w:hAnsiTheme="minorHAnsi" w:eastAsiaTheme="minorEastAsia" w:cstheme="minorBidi"/>
              </w:rPr>
              <w:t>%</w:t>
            </w:r>
          </w:p>
        </w:tc>
        <w:tc>
          <w:tcPr>
            <w:tcW w:w="5295" w:type="dxa"/>
          </w:tcPr>
          <w:p>
            <w:pPr>
              <w:rPr>
                <w:rFonts w:hint="eastAsia" w:asciiTheme="minorHAnsi" w:hAnsiTheme="minorHAnsi" w:eastAsiaTheme="minorEastAsia" w:cstheme="minorBidi"/>
              </w:rPr>
            </w:pPr>
          </w:p>
        </w:tc>
      </w:tr>
    </w:tbl>
    <w:p>
      <w:pPr>
        <w:spacing w:line="360" w:lineRule="auto"/>
        <w:rPr>
          <w:b/>
          <w:sz w:val="28"/>
          <w:szCs w:val="28"/>
        </w:rPr>
      </w:pPr>
      <w:r>
        <w:rPr>
          <w:b/>
          <w:sz w:val="28"/>
          <w:szCs w:val="28"/>
        </w:rPr>
        <w:t>六、</w:t>
      </w:r>
      <w:r>
        <w:rPr>
          <w:rFonts w:hint="eastAsia"/>
          <w:b/>
          <w:sz w:val="28"/>
          <w:szCs w:val="28"/>
        </w:rPr>
        <w:t>有关说明</w:t>
      </w:r>
    </w:p>
    <w:p>
      <w:pPr>
        <w:spacing w:line="360" w:lineRule="auto"/>
        <w:ind w:firstLine="482" w:firstLineChars="200"/>
        <w:rPr>
          <w:b/>
          <w:color w:val="000000"/>
          <w:sz w:val="24"/>
        </w:rPr>
      </w:pPr>
      <w:r>
        <w:rPr>
          <w:rFonts w:hint="eastAsia"/>
          <w:b/>
          <w:color w:val="000000"/>
          <w:sz w:val="24"/>
        </w:rPr>
        <w:t>（一）持续改进</w:t>
      </w:r>
    </w:p>
    <w:p>
      <w:pPr>
        <w:autoSpaceDE w:val="0"/>
        <w:autoSpaceDN w:val="0"/>
        <w:adjustRightInd w:val="0"/>
        <w:spacing w:line="360" w:lineRule="auto"/>
        <w:ind w:firstLine="480" w:firstLineChars="200"/>
        <w:jc w:val="left"/>
        <w:rPr>
          <w:kern w:val="0"/>
          <w:sz w:val="24"/>
          <w:szCs w:val="21"/>
        </w:rPr>
      </w:pPr>
      <w:r>
        <w:rPr>
          <w:rFonts w:hint="eastAsia"/>
          <w:kern w:val="0"/>
          <w:sz w:val="24"/>
          <w:szCs w:val="21"/>
        </w:rPr>
        <w:t>本课程根据课后作业、考勤、期末考试等考核情况，以及学生、教学督导的反馈意见，及时对教学中不足之处进行改进，并在下一轮课程教学中改进提高。针对课程目标设计出课程考核的方式、内容和评分标准，确保课程内容与教学方式能有效实现课程目标，使得考核结果能够证明课程目标达成。</w:t>
      </w:r>
    </w:p>
    <w:p>
      <w:pPr>
        <w:spacing w:line="360" w:lineRule="auto"/>
        <w:ind w:firstLine="482" w:firstLineChars="200"/>
        <w:rPr>
          <w:b/>
          <w:color w:val="000000"/>
          <w:sz w:val="24"/>
        </w:rPr>
      </w:pPr>
      <w:r>
        <w:rPr>
          <w:rFonts w:hint="eastAsia"/>
          <w:b/>
          <w:color w:val="000000"/>
          <w:sz w:val="24"/>
        </w:rPr>
        <w:t>（二）</w:t>
      </w:r>
      <w:r>
        <w:rPr>
          <w:b/>
          <w:color w:val="000000"/>
          <w:sz w:val="24"/>
        </w:rPr>
        <w:t>参考书目及学习资料</w:t>
      </w:r>
    </w:p>
    <w:p>
      <w:pPr>
        <w:autoSpaceDE w:val="0"/>
        <w:autoSpaceDN w:val="0"/>
        <w:adjustRightInd w:val="0"/>
        <w:spacing w:line="360" w:lineRule="auto"/>
        <w:ind w:firstLine="480" w:firstLineChars="200"/>
        <w:rPr>
          <w:kern w:val="0"/>
          <w:sz w:val="24"/>
          <w:szCs w:val="21"/>
        </w:rPr>
      </w:pPr>
      <w:r>
        <w:rPr>
          <w:rFonts w:hint="eastAsia"/>
          <w:kern w:val="0"/>
          <w:sz w:val="24"/>
          <w:szCs w:val="21"/>
        </w:rPr>
        <w:t>[</w:t>
      </w:r>
      <w:r>
        <w:rPr>
          <w:kern w:val="0"/>
          <w:sz w:val="24"/>
          <w:szCs w:val="21"/>
        </w:rPr>
        <w:t>1</w:t>
      </w:r>
      <w:r>
        <w:rPr>
          <w:rFonts w:hint="eastAsia"/>
          <w:kern w:val="0"/>
          <w:sz w:val="24"/>
          <w:szCs w:val="21"/>
        </w:rPr>
        <w:t>] 卫英慧，《纳米材料概论》，化学工业出版社</w:t>
      </w:r>
    </w:p>
    <w:p>
      <w:pPr>
        <w:autoSpaceDE w:val="0"/>
        <w:autoSpaceDN w:val="0"/>
        <w:adjustRightInd w:val="0"/>
        <w:spacing w:line="360" w:lineRule="auto"/>
        <w:ind w:firstLine="480" w:firstLineChars="200"/>
        <w:rPr>
          <w:kern w:val="0"/>
          <w:sz w:val="24"/>
          <w:szCs w:val="21"/>
        </w:rPr>
      </w:pPr>
      <w:r>
        <w:rPr>
          <w:rFonts w:hint="eastAsia"/>
          <w:kern w:val="0"/>
          <w:sz w:val="24"/>
          <w:szCs w:val="21"/>
        </w:rPr>
        <w:t>[</w:t>
      </w:r>
      <w:r>
        <w:rPr>
          <w:kern w:val="0"/>
          <w:sz w:val="24"/>
          <w:szCs w:val="21"/>
        </w:rPr>
        <w:t>2</w:t>
      </w:r>
      <w:r>
        <w:rPr>
          <w:rFonts w:hint="eastAsia"/>
          <w:kern w:val="0"/>
          <w:sz w:val="24"/>
          <w:szCs w:val="21"/>
        </w:rPr>
        <w:t>] 杨祥良，《纳米药物》，清华大学出版社</w:t>
      </w:r>
    </w:p>
    <w:p>
      <w:pPr>
        <w:autoSpaceDE w:val="0"/>
        <w:autoSpaceDN w:val="0"/>
        <w:adjustRightInd w:val="0"/>
        <w:spacing w:line="360" w:lineRule="auto"/>
        <w:ind w:firstLine="480" w:firstLineChars="200"/>
        <w:rPr>
          <w:kern w:val="0"/>
          <w:sz w:val="24"/>
          <w:szCs w:val="21"/>
        </w:rPr>
      </w:pPr>
      <w:r>
        <w:rPr>
          <w:rFonts w:hint="eastAsia"/>
          <w:kern w:val="0"/>
          <w:sz w:val="24"/>
          <w:szCs w:val="21"/>
        </w:rPr>
        <w:t>[3]</w:t>
      </w:r>
      <w:r>
        <w:rPr>
          <w:kern w:val="0"/>
          <w:sz w:val="24"/>
          <w:szCs w:val="21"/>
        </w:rPr>
        <w:t xml:space="preserve"> </w:t>
      </w:r>
      <w:r>
        <w:rPr>
          <w:rFonts w:hint="eastAsia"/>
          <w:kern w:val="0"/>
          <w:sz w:val="24"/>
          <w:szCs w:val="21"/>
        </w:rPr>
        <w:t>中国药典</w:t>
      </w:r>
    </w:p>
    <w:p>
      <w:pPr>
        <w:autoSpaceDE w:val="0"/>
        <w:autoSpaceDN w:val="0"/>
        <w:adjustRightInd w:val="0"/>
        <w:spacing w:line="360" w:lineRule="auto"/>
        <w:ind w:right="480"/>
        <w:jc w:val="right"/>
        <w:rPr>
          <w:kern w:val="0"/>
          <w:sz w:val="24"/>
          <w:szCs w:val="21"/>
        </w:rPr>
      </w:pPr>
      <w:r>
        <w:rPr>
          <w:rFonts w:hint="eastAsia"/>
          <w:kern w:val="0"/>
          <w:sz w:val="24"/>
          <w:szCs w:val="21"/>
        </w:rPr>
        <w:t xml:space="preserve">  </w:t>
      </w:r>
      <w:r>
        <w:rPr>
          <w:kern w:val="0"/>
          <w:sz w:val="24"/>
          <w:szCs w:val="21"/>
        </w:rPr>
        <w:t>执笔人：</w:t>
      </w:r>
      <w:r>
        <w:rPr>
          <w:rFonts w:hint="eastAsia"/>
          <w:kern w:val="0"/>
          <w:sz w:val="24"/>
          <w:szCs w:val="21"/>
        </w:rPr>
        <w:t>陈依漪</w:t>
      </w:r>
    </w:p>
    <w:p>
      <w:pPr>
        <w:wordWrap w:val="0"/>
        <w:autoSpaceDE w:val="0"/>
        <w:autoSpaceDN w:val="0"/>
        <w:adjustRightInd w:val="0"/>
        <w:spacing w:line="360" w:lineRule="auto"/>
        <w:ind w:right="480"/>
        <w:jc w:val="center"/>
        <w:rPr>
          <w:kern w:val="0"/>
          <w:sz w:val="24"/>
          <w:szCs w:val="21"/>
        </w:rPr>
      </w:pPr>
      <w:r>
        <w:rPr>
          <w:rFonts w:hint="eastAsia"/>
          <w:kern w:val="0"/>
          <w:sz w:val="24"/>
          <w:szCs w:val="21"/>
        </w:rPr>
        <w:t xml:space="preserve">                                                   </w:t>
      </w:r>
      <w:r>
        <w:rPr>
          <w:kern w:val="0"/>
          <w:sz w:val="24"/>
          <w:szCs w:val="21"/>
        </w:rPr>
        <w:t>审定人：</w:t>
      </w:r>
      <w:r>
        <w:rPr>
          <w:rFonts w:hint="eastAsia"/>
          <w:kern w:val="0"/>
          <w:sz w:val="24"/>
          <w:szCs w:val="21"/>
        </w:rPr>
        <w:t>魏雪姣</w:t>
      </w:r>
    </w:p>
    <w:p>
      <w:pPr>
        <w:wordWrap w:val="0"/>
        <w:autoSpaceDE w:val="0"/>
        <w:autoSpaceDN w:val="0"/>
        <w:adjustRightInd w:val="0"/>
        <w:spacing w:line="360" w:lineRule="auto"/>
        <w:ind w:right="480"/>
        <w:jc w:val="center"/>
        <w:rPr>
          <w:kern w:val="0"/>
          <w:sz w:val="24"/>
          <w:szCs w:val="21"/>
        </w:rPr>
      </w:pPr>
      <w:r>
        <w:rPr>
          <w:rFonts w:hint="eastAsia"/>
          <w:kern w:val="0"/>
          <w:sz w:val="24"/>
          <w:szCs w:val="21"/>
        </w:rPr>
        <w:t xml:space="preserve">                                                   </w:t>
      </w:r>
      <w:r>
        <w:rPr>
          <w:kern w:val="0"/>
          <w:sz w:val="24"/>
          <w:szCs w:val="21"/>
        </w:rPr>
        <w:t>审批人：</w:t>
      </w:r>
      <w:r>
        <w:rPr>
          <w:rFonts w:hint="eastAsia"/>
          <w:kern w:val="0"/>
          <w:sz w:val="24"/>
          <w:szCs w:val="21"/>
        </w:rPr>
        <w:t>吴泽颖</w:t>
      </w:r>
    </w:p>
    <w:p>
      <w:pPr>
        <w:wordWrap w:val="0"/>
        <w:autoSpaceDE w:val="0"/>
        <w:autoSpaceDN w:val="0"/>
        <w:adjustRightInd w:val="0"/>
        <w:spacing w:line="360" w:lineRule="auto"/>
        <w:ind w:right="480"/>
        <w:jc w:val="center"/>
        <w:rPr>
          <w:kern w:val="0"/>
          <w:sz w:val="24"/>
          <w:szCs w:val="21"/>
        </w:rPr>
      </w:pPr>
      <w:r>
        <w:rPr>
          <w:rFonts w:hint="eastAsia"/>
          <w:kern w:val="0"/>
          <w:sz w:val="24"/>
          <w:szCs w:val="21"/>
        </w:rPr>
        <w:t xml:space="preserve">                                                  202</w:t>
      </w:r>
      <w:r>
        <w:rPr>
          <w:kern w:val="0"/>
          <w:sz w:val="24"/>
          <w:szCs w:val="21"/>
        </w:rPr>
        <w:t>1</w:t>
      </w:r>
      <w:r>
        <w:rPr>
          <w:rFonts w:hint="eastAsia"/>
          <w:kern w:val="0"/>
          <w:sz w:val="24"/>
          <w:szCs w:val="21"/>
        </w:rPr>
        <w:t>.</w:t>
      </w:r>
      <w:r>
        <w:rPr>
          <w:kern w:val="0"/>
          <w:sz w:val="24"/>
          <w:szCs w:val="21"/>
        </w:rPr>
        <w:t>11</w:t>
      </w:r>
      <w:r>
        <w:rPr>
          <w:rFonts w:hint="eastAsia"/>
          <w:kern w:val="0"/>
          <w:sz w:val="24"/>
          <w:szCs w:val="21"/>
        </w:rPr>
        <w:t>.1</w:t>
      </w:r>
    </w:p>
    <w:p/>
    <w:p>
      <w:pPr>
        <w:autoSpaceDE w:val="0"/>
        <w:autoSpaceDN w:val="0"/>
        <w:adjustRightInd w:val="0"/>
        <w:spacing w:line="360" w:lineRule="auto"/>
        <w:ind w:firstLine="6240" w:firstLineChars="2600"/>
        <w:jc w:val="left"/>
        <w:rPr>
          <w:kern w:val="0"/>
          <w:sz w:val="24"/>
          <w:szCs w:val="21"/>
        </w:rPr>
      </w:pPr>
    </w:p>
    <w:p>
      <w:pPr>
        <w:autoSpaceDE w:val="0"/>
        <w:autoSpaceDN w:val="0"/>
        <w:adjustRightInd w:val="0"/>
        <w:spacing w:line="360" w:lineRule="auto"/>
        <w:ind w:firstLine="6240" w:firstLineChars="2600"/>
        <w:jc w:val="left"/>
        <w:rPr>
          <w:kern w:val="0"/>
          <w:sz w:val="24"/>
          <w:szCs w:val="21"/>
        </w:rPr>
      </w:pPr>
    </w:p>
    <w:p>
      <w:pPr>
        <w:autoSpaceDE w:val="0"/>
        <w:autoSpaceDN w:val="0"/>
        <w:adjustRightInd w:val="0"/>
        <w:spacing w:line="360" w:lineRule="auto"/>
        <w:ind w:firstLine="6240" w:firstLineChars="2600"/>
        <w:jc w:val="left"/>
        <w:rPr>
          <w:kern w:val="0"/>
          <w:sz w:val="24"/>
          <w:szCs w:val="21"/>
        </w:rPr>
      </w:pPr>
    </w:p>
    <w:p>
      <w:pPr>
        <w:autoSpaceDE w:val="0"/>
        <w:autoSpaceDN w:val="0"/>
        <w:adjustRightInd w:val="0"/>
        <w:spacing w:line="360" w:lineRule="auto"/>
        <w:ind w:firstLine="6240" w:firstLineChars="2600"/>
        <w:jc w:val="left"/>
        <w:rPr>
          <w:kern w:val="0"/>
          <w:sz w:val="24"/>
          <w:szCs w:val="21"/>
        </w:rPr>
      </w:pPr>
    </w:p>
    <w:p>
      <w:pPr>
        <w:autoSpaceDE w:val="0"/>
        <w:autoSpaceDN w:val="0"/>
        <w:adjustRightInd w:val="0"/>
        <w:spacing w:line="360" w:lineRule="auto"/>
        <w:ind w:firstLine="6240" w:firstLineChars="2600"/>
        <w:jc w:val="left"/>
        <w:rPr>
          <w:kern w:val="0"/>
          <w:sz w:val="24"/>
          <w:szCs w:val="21"/>
        </w:rPr>
      </w:pPr>
    </w:p>
    <w:p>
      <w:pPr>
        <w:autoSpaceDE w:val="0"/>
        <w:autoSpaceDN w:val="0"/>
        <w:adjustRightInd w:val="0"/>
        <w:spacing w:line="360" w:lineRule="auto"/>
        <w:ind w:firstLine="6240" w:firstLineChars="2600"/>
        <w:jc w:val="left"/>
        <w:rPr>
          <w:kern w:val="0"/>
          <w:sz w:val="24"/>
          <w:szCs w:val="21"/>
        </w:rPr>
      </w:pPr>
    </w:p>
    <w:p>
      <w:pPr>
        <w:autoSpaceDE w:val="0"/>
        <w:autoSpaceDN w:val="0"/>
        <w:adjustRightInd w:val="0"/>
        <w:spacing w:line="360" w:lineRule="auto"/>
        <w:ind w:firstLine="6240" w:firstLineChars="2600"/>
        <w:jc w:val="left"/>
        <w:rPr>
          <w:kern w:val="0"/>
          <w:sz w:val="24"/>
          <w:szCs w:val="21"/>
        </w:rPr>
      </w:pPr>
    </w:p>
    <w:p>
      <w:pPr>
        <w:autoSpaceDE w:val="0"/>
        <w:autoSpaceDN w:val="0"/>
        <w:adjustRightInd w:val="0"/>
        <w:spacing w:line="360" w:lineRule="auto"/>
        <w:ind w:firstLine="6240" w:firstLineChars="2600"/>
        <w:jc w:val="left"/>
        <w:rPr>
          <w:kern w:val="0"/>
          <w:sz w:val="24"/>
          <w:szCs w:val="21"/>
        </w:rPr>
      </w:pPr>
    </w:p>
    <w:p>
      <w:pPr>
        <w:autoSpaceDE w:val="0"/>
        <w:autoSpaceDN w:val="0"/>
        <w:adjustRightInd w:val="0"/>
        <w:spacing w:line="360" w:lineRule="auto"/>
        <w:ind w:firstLine="6240" w:firstLineChars="2600"/>
        <w:jc w:val="left"/>
        <w:rPr>
          <w:kern w:val="0"/>
          <w:sz w:val="24"/>
          <w:szCs w:val="21"/>
        </w:rPr>
      </w:pPr>
    </w:p>
    <w:p>
      <w:pPr>
        <w:autoSpaceDE w:val="0"/>
        <w:autoSpaceDN w:val="0"/>
        <w:adjustRightInd w:val="0"/>
        <w:spacing w:line="360" w:lineRule="auto"/>
        <w:ind w:firstLine="6240" w:firstLineChars="2600"/>
        <w:jc w:val="left"/>
        <w:rPr>
          <w:kern w:val="0"/>
          <w:sz w:val="24"/>
          <w:szCs w:val="21"/>
        </w:rPr>
      </w:pPr>
    </w:p>
    <w:p>
      <w:pPr>
        <w:autoSpaceDE w:val="0"/>
        <w:autoSpaceDN w:val="0"/>
        <w:adjustRightInd w:val="0"/>
        <w:spacing w:line="360" w:lineRule="auto"/>
        <w:ind w:firstLine="6240" w:firstLineChars="2600"/>
        <w:jc w:val="left"/>
        <w:rPr>
          <w:kern w:val="0"/>
          <w:sz w:val="24"/>
          <w:szCs w:val="21"/>
        </w:rPr>
      </w:pPr>
    </w:p>
    <w:p>
      <w:pPr>
        <w:autoSpaceDE w:val="0"/>
        <w:autoSpaceDN w:val="0"/>
        <w:adjustRightInd w:val="0"/>
        <w:spacing w:line="360" w:lineRule="auto"/>
        <w:ind w:firstLine="6240" w:firstLineChars="2600"/>
        <w:jc w:val="left"/>
        <w:rPr>
          <w:kern w:val="0"/>
          <w:sz w:val="24"/>
          <w:szCs w:val="21"/>
        </w:rPr>
      </w:pPr>
    </w:p>
    <w:p>
      <w:pPr>
        <w:autoSpaceDE w:val="0"/>
        <w:autoSpaceDN w:val="0"/>
        <w:adjustRightInd w:val="0"/>
        <w:spacing w:line="360" w:lineRule="auto"/>
        <w:ind w:firstLine="6240" w:firstLineChars="2600"/>
        <w:jc w:val="left"/>
        <w:rPr>
          <w:kern w:val="0"/>
          <w:sz w:val="24"/>
          <w:szCs w:val="21"/>
        </w:rPr>
      </w:pPr>
    </w:p>
    <w:p>
      <w:pPr>
        <w:autoSpaceDE w:val="0"/>
        <w:autoSpaceDN w:val="0"/>
        <w:adjustRightInd w:val="0"/>
        <w:spacing w:line="360" w:lineRule="auto"/>
        <w:ind w:firstLine="6240" w:firstLineChars="2600"/>
        <w:jc w:val="left"/>
        <w:rPr>
          <w:kern w:val="0"/>
          <w:sz w:val="24"/>
          <w:szCs w:val="21"/>
        </w:rPr>
      </w:pPr>
    </w:p>
    <w:p>
      <w:pPr>
        <w:autoSpaceDE w:val="0"/>
        <w:autoSpaceDN w:val="0"/>
        <w:adjustRightInd w:val="0"/>
        <w:spacing w:line="360" w:lineRule="auto"/>
        <w:ind w:firstLine="6240" w:firstLineChars="2600"/>
        <w:jc w:val="left"/>
        <w:rPr>
          <w:kern w:val="0"/>
          <w:sz w:val="24"/>
          <w:szCs w:val="21"/>
        </w:rPr>
      </w:pPr>
    </w:p>
    <w:p>
      <w:pPr>
        <w:autoSpaceDE w:val="0"/>
        <w:autoSpaceDN w:val="0"/>
        <w:adjustRightInd w:val="0"/>
        <w:spacing w:line="360" w:lineRule="auto"/>
        <w:ind w:firstLine="6240" w:firstLineChars="2600"/>
        <w:jc w:val="left"/>
        <w:rPr>
          <w:kern w:val="0"/>
          <w:sz w:val="24"/>
          <w:szCs w:val="21"/>
        </w:rPr>
      </w:pPr>
    </w:p>
    <w:p>
      <w:pPr>
        <w:autoSpaceDE w:val="0"/>
        <w:autoSpaceDN w:val="0"/>
        <w:adjustRightInd w:val="0"/>
        <w:spacing w:line="360" w:lineRule="auto"/>
        <w:ind w:firstLine="6240" w:firstLineChars="2600"/>
        <w:jc w:val="left"/>
        <w:rPr>
          <w:kern w:val="0"/>
          <w:sz w:val="24"/>
          <w:szCs w:val="21"/>
        </w:rPr>
      </w:pPr>
    </w:p>
    <w:p>
      <w:pPr>
        <w:autoSpaceDE w:val="0"/>
        <w:autoSpaceDN w:val="0"/>
        <w:adjustRightInd w:val="0"/>
        <w:spacing w:line="360" w:lineRule="auto"/>
        <w:ind w:firstLine="6240" w:firstLineChars="2600"/>
        <w:jc w:val="left"/>
        <w:rPr>
          <w:kern w:val="0"/>
          <w:sz w:val="24"/>
          <w:szCs w:val="21"/>
        </w:rPr>
      </w:pPr>
    </w:p>
    <w:p>
      <w:pPr>
        <w:autoSpaceDE w:val="0"/>
        <w:autoSpaceDN w:val="0"/>
        <w:adjustRightInd w:val="0"/>
        <w:spacing w:line="360" w:lineRule="auto"/>
        <w:ind w:firstLine="6240" w:firstLineChars="2600"/>
        <w:jc w:val="left"/>
        <w:rPr>
          <w:kern w:val="0"/>
          <w:sz w:val="24"/>
          <w:szCs w:val="21"/>
        </w:rPr>
      </w:pPr>
    </w:p>
    <w:p>
      <w:pPr>
        <w:pStyle w:val="3"/>
        <w:bidi w:val="0"/>
        <w:jc w:val="center"/>
      </w:pPr>
      <w:bookmarkStart w:id="284" w:name="_Toc57385527"/>
      <w:bookmarkStart w:id="285" w:name="_Toc57364655"/>
      <w:bookmarkStart w:id="286" w:name="_Toc57387421"/>
      <w:bookmarkStart w:id="287" w:name="_Toc57384513"/>
      <w:bookmarkStart w:id="288" w:name="_Toc57621345"/>
      <w:bookmarkStart w:id="289" w:name="_Toc57384906"/>
      <w:bookmarkStart w:id="290" w:name="_Toc57387687"/>
      <w:bookmarkStart w:id="291" w:name="_Toc57386090"/>
      <w:bookmarkStart w:id="292" w:name="_Toc30526"/>
      <w:bookmarkStart w:id="293" w:name="_Toc27506"/>
      <w:r>
        <w:rPr>
          <w:rFonts w:hint="eastAsia"/>
        </w:rPr>
        <w:t>认识实习</w:t>
      </w:r>
      <w:r>
        <w:t>教学大纲</w:t>
      </w:r>
      <w:bookmarkEnd w:id="284"/>
      <w:bookmarkEnd w:id="285"/>
      <w:bookmarkEnd w:id="286"/>
      <w:bookmarkEnd w:id="287"/>
      <w:bookmarkEnd w:id="288"/>
      <w:bookmarkEnd w:id="289"/>
      <w:bookmarkEnd w:id="290"/>
      <w:bookmarkEnd w:id="291"/>
      <w:bookmarkEnd w:id="292"/>
      <w:bookmarkEnd w:id="293"/>
    </w:p>
    <w:p>
      <w:pPr>
        <w:spacing w:line="312" w:lineRule="auto"/>
        <w:jc w:val="center"/>
        <w:rPr>
          <w:b/>
          <w:bCs/>
          <w:sz w:val="30"/>
        </w:rPr>
      </w:pPr>
      <w:r>
        <w:rPr>
          <w:b/>
          <w:bCs/>
          <w:sz w:val="30"/>
        </w:rPr>
        <w:t>（</w:t>
      </w:r>
      <w:r>
        <w:rPr>
          <w:rFonts w:hint="eastAsia"/>
          <w:b/>
          <w:bCs/>
          <w:sz w:val="30"/>
        </w:rPr>
        <w:t>Con</w:t>
      </w:r>
      <w:r>
        <w:rPr>
          <w:b/>
          <w:bCs/>
          <w:sz w:val="30"/>
        </w:rPr>
        <w:t>gnition Practice）</w:t>
      </w:r>
    </w:p>
    <w:p>
      <w:pPr>
        <w:spacing w:line="440" w:lineRule="exact"/>
        <w:jc w:val="center"/>
        <w:rPr>
          <w:sz w:val="24"/>
        </w:rPr>
      </w:pPr>
    </w:p>
    <w:p>
      <w:pPr>
        <w:spacing w:line="360" w:lineRule="auto"/>
        <w:ind w:firstLine="551" w:firstLineChars="196"/>
        <w:rPr>
          <w:b/>
          <w:sz w:val="28"/>
          <w:szCs w:val="28"/>
        </w:rPr>
      </w:pPr>
      <w:r>
        <w:rPr>
          <w:b/>
          <w:sz w:val="28"/>
          <w:szCs w:val="28"/>
        </w:rPr>
        <w:t>一、课程概况</w:t>
      </w:r>
    </w:p>
    <w:p>
      <w:pPr>
        <w:spacing w:line="360" w:lineRule="auto"/>
        <w:ind w:firstLine="482" w:firstLineChars="200"/>
        <w:rPr>
          <w:b/>
          <w:sz w:val="28"/>
          <w:szCs w:val="28"/>
        </w:rPr>
      </w:pPr>
      <w:r>
        <w:rPr>
          <w:rFonts w:ascii="宋体" w:hAnsi="宋体"/>
          <w:b/>
          <w:bCs/>
          <w:kern w:val="0"/>
          <w:sz w:val="24"/>
        </w:rPr>
        <w:t>课程代码</w:t>
      </w:r>
      <w:r>
        <w:rPr>
          <w:rFonts w:ascii="宋体" w:hAnsi="宋体"/>
          <w:b/>
          <w:kern w:val="0"/>
          <w:sz w:val="24"/>
        </w:rPr>
        <w:t>：</w:t>
      </w:r>
      <w:r>
        <w:rPr>
          <w:rFonts w:hint="eastAsia" w:ascii="宋体" w:hAnsi="宋体"/>
          <w:b/>
          <w:kern w:val="0"/>
          <w:sz w:val="24"/>
        </w:rPr>
        <w:t>2</w:t>
      </w:r>
      <w:r>
        <w:rPr>
          <w:rFonts w:ascii="宋体" w:hAnsi="宋体"/>
          <w:b/>
          <w:kern w:val="0"/>
          <w:sz w:val="24"/>
        </w:rPr>
        <w:t>501801</w:t>
      </w:r>
    </w:p>
    <w:p>
      <w:pPr>
        <w:spacing w:line="360" w:lineRule="auto"/>
        <w:ind w:firstLine="482" w:firstLineChars="200"/>
        <w:rPr>
          <w:rFonts w:ascii="宋体" w:hAnsi="宋体"/>
          <w:b/>
          <w:kern w:val="0"/>
          <w:sz w:val="24"/>
        </w:rPr>
      </w:pPr>
      <w:r>
        <w:rPr>
          <w:rFonts w:ascii="宋体" w:hAnsi="宋体"/>
          <w:b/>
          <w:bCs/>
          <w:kern w:val="0"/>
          <w:sz w:val="24"/>
        </w:rPr>
        <w:t>学    分</w:t>
      </w:r>
      <w:r>
        <w:rPr>
          <w:rFonts w:ascii="宋体" w:hAnsi="宋体"/>
          <w:b/>
          <w:kern w:val="0"/>
          <w:sz w:val="24"/>
        </w:rPr>
        <w:t>：1</w:t>
      </w:r>
    </w:p>
    <w:p>
      <w:pPr>
        <w:spacing w:line="360" w:lineRule="auto"/>
        <w:ind w:firstLine="482" w:firstLineChars="200"/>
        <w:rPr>
          <w:rFonts w:ascii="宋体" w:hAnsi="宋体"/>
          <w:kern w:val="0"/>
          <w:sz w:val="24"/>
        </w:rPr>
      </w:pPr>
      <w:r>
        <w:rPr>
          <w:rFonts w:ascii="宋体" w:hAnsi="宋体"/>
          <w:b/>
          <w:bCs/>
          <w:kern w:val="0"/>
          <w:sz w:val="24"/>
        </w:rPr>
        <w:t>学    时</w:t>
      </w:r>
      <w:r>
        <w:rPr>
          <w:rFonts w:ascii="宋体" w:hAnsi="宋体"/>
          <w:b/>
          <w:kern w:val="0"/>
          <w:sz w:val="24"/>
        </w:rPr>
        <w:t>：</w:t>
      </w:r>
      <w:r>
        <w:rPr>
          <w:rFonts w:hint="eastAsia" w:ascii="宋体" w:hAnsi="宋体"/>
          <w:bCs/>
          <w:kern w:val="0"/>
          <w:sz w:val="24"/>
        </w:rPr>
        <w:t>1周</w:t>
      </w:r>
    </w:p>
    <w:p>
      <w:pPr>
        <w:spacing w:line="360" w:lineRule="auto"/>
        <w:ind w:firstLine="482" w:firstLineChars="200"/>
        <w:rPr>
          <w:rFonts w:ascii="宋体" w:hAnsi="宋体"/>
          <w:b/>
          <w:bCs/>
          <w:kern w:val="0"/>
          <w:sz w:val="24"/>
        </w:rPr>
      </w:pPr>
      <w:r>
        <w:rPr>
          <w:rFonts w:ascii="宋体" w:hAnsi="宋体"/>
          <w:b/>
          <w:bCs/>
          <w:kern w:val="0"/>
          <w:sz w:val="24"/>
        </w:rPr>
        <w:t>先修课程</w:t>
      </w:r>
      <w:r>
        <w:rPr>
          <w:rFonts w:ascii="宋体" w:hAnsi="宋体"/>
          <w:b/>
          <w:kern w:val="0"/>
          <w:sz w:val="24"/>
        </w:rPr>
        <w:t>：</w:t>
      </w:r>
      <w:r>
        <w:rPr>
          <w:rFonts w:hint="eastAsia" w:ascii="宋体" w:hAnsi="宋体"/>
          <w:b/>
          <w:kern w:val="0"/>
          <w:sz w:val="24"/>
        </w:rPr>
        <w:t>无机化学、无机化学实验、分析化学、分析化学实验等</w:t>
      </w:r>
    </w:p>
    <w:p>
      <w:pPr>
        <w:spacing w:line="360" w:lineRule="auto"/>
        <w:ind w:firstLine="482" w:firstLineChars="200"/>
        <w:rPr>
          <w:rFonts w:ascii="宋体" w:hAnsi="宋体"/>
          <w:kern w:val="0"/>
          <w:sz w:val="24"/>
        </w:rPr>
      </w:pPr>
      <w:r>
        <w:rPr>
          <w:rFonts w:ascii="宋体" w:hAnsi="宋体"/>
          <w:b/>
          <w:bCs/>
          <w:kern w:val="0"/>
          <w:sz w:val="24"/>
        </w:rPr>
        <w:t>适用专业</w:t>
      </w:r>
      <w:r>
        <w:rPr>
          <w:rFonts w:ascii="宋体" w:hAnsi="宋体"/>
          <w:kern w:val="0"/>
          <w:sz w:val="24"/>
        </w:rPr>
        <w:t>：</w:t>
      </w:r>
      <w:r>
        <w:rPr>
          <w:rFonts w:hint="eastAsia" w:ascii="宋体" w:hAnsi="宋体"/>
          <w:kern w:val="0"/>
          <w:sz w:val="24"/>
        </w:rPr>
        <w:t>化学工程与工艺、应用化学等</w:t>
      </w:r>
      <w:r>
        <w:rPr>
          <w:rFonts w:ascii="宋体" w:hAnsi="宋体"/>
          <w:kern w:val="0"/>
          <w:sz w:val="24"/>
        </w:rPr>
        <w:t xml:space="preserve">                          </w:t>
      </w:r>
    </w:p>
    <w:p>
      <w:pPr>
        <w:spacing w:line="360" w:lineRule="auto"/>
        <w:ind w:firstLine="482" w:firstLineChars="200"/>
        <w:rPr>
          <w:rFonts w:ascii="宋体" w:hAnsi="宋体"/>
          <w:kern w:val="0"/>
          <w:sz w:val="24"/>
        </w:rPr>
      </w:pPr>
      <w:r>
        <w:rPr>
          <w:rFonts w:ascii="宋体" w:hAnsi="宋体"/>
          <w:b/>
          <w:bCs/>
          <w:kern w:val="0"/>
          <w:sz w:val="24"/>
        </w:rPr>
        <w:t>课程归口：</w:t>
      </w:r>
      <w:r>
        <w:rPr>
          <w:rFonts w:hint="eastAsia" w:ascii="宋体" w:hAnsi="宋体"/>
          <w:bCs/>
          <w:kern w:val="0"/>
          <w:sz w:val="24"/>
        </w:rPr>
        <w:t>化工与材料</w:t>
      </w:r>
      <w:r>
        <w:rPr>
          <w:rFonts w:ascii="宋体" w:hAnsi="宋体"/>
          <w:kern w:val="0"/>
          <w:sz w:val="24"/>
        </w:rPr>
        <w:t>学院</w:t>
      </w:r>
    </w:p>
    <w:p>
      <w:pPr>
        <w:spacing w:line="360" w:lineRule="auto"/>
        <w:ind w:firstLine="482" w:firstLineChars="200"/>
        <w:rPr>
          <w:rFonts w:hint="eastAsia" w:ascii="宋体" w:hAnsi="宋体"/>
          <w:color w:val="000000"/>
          <w:kern w:val="0"/>
          <w:sz w:val="24"/>
        </w:rPr>
      </w:pPr>
      <w:r>
        <w:rPr>
          <w:b/>
          <w:bCs/>
          <w:color w:val="000000"/>
          <w:kern w:val="0"/>
          <w:sz w:val="24"/>
        </w:rPr>
        <w:t>课程团队</w:t>
      </w:r>
      <w:r>
        <w:rPr>
          <w:bCs/>
          <w:color w:val="000000"/>
          <w:kern w:val="0"/>
          <w:sz w:val="24"/>
        </w:rPr>
        <w:t>：</w:t>
      </w:r>
      <w:r>
        <w:rPr>
          <w:rFonts w:ascii="宋体" w:hAnsi="宋体"/>
          <w:color w:val="000000"/>
          <w:kern w:val="0"/>
          <w:sz w:val="24"/>
        </w:rPr>
        <w:t>吴泽颖</w:t>
      </w:r>
      <w:r>
        <w:rPr>
          <w:rFonts w:hint="eastAsia" w:ascii="宋体" w:hAnsi="宋体"/>
          <w:color w:val="000000"/>
          <w:kern w:val="0"/>
          <w:sz w:val="24"/>
        </w:rPr>
        <w:t>、</w:t>
      </w:r>
      <w:r>
        <w:rPr>
          <w:rFonts w:ascii="宋体" w:hAnsi="宋体"/>
          <w:color w:val="000000"/>
          <w:kern w:val="0"/>
          <w:sz w:val="24"/>
        </w:rPr>
        <w:t>魏雪娇</w:t>
      </w:r>
      <w:r>
        <w:rPr>
          <w:rFonts w:hint="eastAsia" w:ascii="宋体" w:hAnsi="宋体"/>
          <w:color w:val="000000"/>
          <w:kern w:val="0"/>
          <w:sz w:val="24"/>
        </w:rPr>
        <w:t>、周品、柏寄荣</w:t>
      </w:r>
    </w:p>
    <w:p>
      <w:pPr>
        <w:spacing w:line="360" w:lineRule="auto"/>
        <w:ind w:firstLine="482" w:firstLineChars="200"/>
        <w:rPr>
          <w:kern w:val="0"/>
          <w:sz w:val="24"/>
        </w:rPr>
      </w:pPr>
      <w:r>
        <w:rPr>
          <w:rFonts w:hint="eastAsia" w:ascii="宋体" w:hAnsi="宋体"/>
          <w:b/>
          <w:bCs/>
          <w:kern w:val="0"/>
          <w:sz w:val="24"/>
        </w:rPr>
        <w:t>课程的性质与任务：</w:t>
      </w:r>
      <w:r>
        <w:rPr>
          <w:rFonts w:hint="eastAsia"/>
          <w:kern w:val="0"/>
          <w:sz w:val="24"/>
        </w:rPr>
        <w:t>本</w:t>
      </w:r>
      <w:r>
        <w:rPr>
          <w:kern w:val="0"/>
          <w:sz w:val="24"/>
        </w:rPr>
        <w:t>课程设计是</w:t>
      </w:r>
      <w:r>
        <w:rPr>
          <w:rFonts w:hint="eastAsia" w:ascii="宋体" w:hAnsi="宋体"/>
          <w:kern w:val="0"/>
          <w:sz w:val="24"/>
        </w:rPr>
        <w:t>化学工程与工艺、应用化学</w:t>
      </w:r>
      <w:r>
        <w:rPr>
          <w:kern w:val="0"/>
          <w:sz w:val="24"/>
        </w:rPr>
        <w:t>专业</w:t>
      </w:r>
      <w:r>
        <w:rPr>
          <w:rFonts w:hint="eastAsia"/>
          <w:kern w:val="0"/>
          <w:sz w:val="24"/>
        </w:rPr>
        <w:t>的集中实践性教学环节</w:t>
      </w:r>
      <w:r>
        <w:rPr>
          <w:rFonts w:hint="eastAsia" w:ascii="宋体" w:hAnsi="宋体"/>
          <w:bCs/>
          <w:kern w:val="0"/>
          <w:sz w:val="24"/>
        </w:rPr>
        <w:t>。</w:t>
      </w:r>
      <w:r>
        <w:rPr>
          <w:sz w:val="24"/>
        </w:rPr>
        <w:t>通过本课程的学习使学生了解</w:t>
      </w:r>
      <w:r>
        <w:rPr>
          <w:rFonts w:hint="eastAsia"/>
          <w:sz w:val="24"/>
        </w:rPr>
        <w:t>医药</w:t>
      </w:r>
      <w:r>
        <w:rPr>
          <w:sz w:val="24"/>
        </w:rPr>
        <w:t>化工生产的基本原理、工艺过程和常见工艺装备，为后续专业课程学习提供感性认识；结合生产实践，加深对专业理论知识和技能的理解，学以致用；培养学生观察问题、分析问题的能力和创新意识，初步形成工程观念；培养学生良好的职业道德及化工安全意识</w:t>
      </w:r>
      <w:r>
        <w:rPr>
          <w:rFonts w:hint="eastAsia"/>
          <w:kern w:val="0"/>
          <w:sz w:val="24"/>
        </w:rPr>
        <w:t>。</w:t>
      </w:r>
      <w:r>
        <w:rPr>
          <w:rFonts w:hint="eastAsia"/>
          <w:sz w:val="24"/>
        </w:rPr>
        <w:t>通过对工厂的了解和与工人、技术人员交谈，得以对所学专业在国民经济中所占的地位与作用的认识有所加深，培养事业心、使命感和务实精神。</w:t>
      </w:r>
    </w:p>
    <w:p>
      <w:pPr>
        <w:spacing w:line="360" w:lineRule="auto"/>
        <w:ind w:firstLine="551" w:firstLineChars="196"/>
        <w:rPr>
          <w:b/>
          <w:sz w:val="28"/>
          <w:szCs w:val="28"/>
        </w:rPr>
      </w:pPr>
      <w:r>
        <w:rPr>
          <w:rFonts w:hint="eastAsia"/>
          <w:b/>
          <w:sz w:val="28"/>
          <w:szCs w:val="28"/>
        </w:rPr>
        <w:t>二</w:t>
      </w:r>
      <w:r>
        <w:rPr>
          <w:b/>
          <w:sz w:val="28"/>
          <w:szCs w:val="28"/>
        </w:rPr>
        <w:t>、课程目标及对毕业要求观测点的支撑</w:t>
      </w:r>
    </w:p>
    <w:tbl>
      <w:tblPr>
        <w:tblStyle w:val="1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118"/>
        <w:gridCol w:w="2292"/>
        <w:gridCol w:w="3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38" w:type="dxa"/>
            <w:shd w:val="clear" w:color="auto" w:fill="auto"/>
            <w:noWrap/>
            <w:vAlign w:val="center"/>
          </w:tcPr>
          <w:p>
            <w:pPr>
              <w:widowControl/>
              <w:jc w:val="center"/>
              <w:rPr>
                <w:b/>
                <w:bCs/>
                <w:kern w:val="0"/>
                <w:szCs w:val="21"/>
              </w:rPr>
            </w:pPr>
            <w:r>
              <w:rPr>
                <w:b/>
                <w:bCs/>
                <w:kern w:val="0"/>
                <w:szCs w:val="21"/>
              </w:rPr>
              <w:t>序号</w:t>
            </w:r>
          </w:p>
        </w:tc>
        <w:tc>
          <w:tcPr>
            <w:tcW w:w="3118" w:type="dxa"/>
            <w:shd w:val="clear" w:color="auto" w:fill="auto"/>
            <w:noWrap/>
            <w:vAlign w:val="center"/>
          </w:tcPr>
          <w:p>
            <w:pPr>
              <w:widowControl/>
              <w:jc w:val="center"/>
              <w:rPr>
                <w:b/>
                <w:bCs/>
                <w:kern w:val="0"/>
                <w:szCs w:val="21"/>
              </w:rPr>
            </w:pPr>
            <w:r>
              <w:rPr>
                <w:b/>
                <w:bCs/>
                <w:kern w:val="0"/>
                <w:szCs w:val="21"/>
              </w:rPr>
              <w:t>课程目标</w:t>
            </w:r>
          </w:p>
          <w:p>
            <w:pPr>
              <w:widowControl/>
              <w:jc w:val="center"/>
              <w:rPr>
                <w:b/>
                <w:bCs/>
                <w:kern w:val="0"/>
                <w:szCs w:val="21"/>
              </w:rPr>
            </w:pPr>
          </w:p>
        </w:tc>
        <w:tc>
          <w:tcPr>
            <w:tcW w:w="2292" w:type="dxa"/>
            <w:shd w:val="clear" w:color="auto" w:fill="auto"/>
            <w:noWrap/>
            <w:vAlign w:val="center"/>
          </w:tcPr>
          <w:p>
            <w:pPr>
              <w:widowControl/>
              <w:jc w:val="center"/>
              <w:rPr>
                <w:b/>
                <w:bCs/>
                <w:kern w:val="0"/>
                <w:szCs w:val="21"/>
              </w:rPr>
            </w:pPr>
            <w:r>
              <w:rPr>
                <w:b/>
                <w:bCs/>
                <w:kern w:val="0"/>
                <w:szCs w:val="21"/>
              </w:rPr>
              <w:t>支撑毕业要求观测点</w:t>
            </w:r>
          </w:p>
        </w:tc>
        <w:tc>
          <w:tcPr>
            <w:tcW w:w="3066" w:type="dxa"/>
            <w:shd w:val="clear" w:color="auto" w:fill="auto"/>
            <w:noWrap/>
            <w:vAlign w:val="center"/>
          </w:tcPr>
          <w:p>
            <w:pPr>
              <w:widowControl/>
              <w:jc w:val="center"/>
              <w:rPr>
                <w:b/>
                <w:bCs/>
                <w:kern w:val="0"/>
                <w:szCs w:val="21"/>
              </w:rPr>
            </w:pPr>
            <w:r>
              <w:rPr>
                <w:b/>
                <w:bCs/>
                <w:kern w:val="0"/>
                <w:szCs w:val="21"/>
              </w:rPr>
              <w:t>毕业要求</w:t>
            </w:r>
          </w:p>
          <w:p>
            <w:pPr>
              <w:widowControl/>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38" w:type="dxa"/>
            <w:shd w:val="clear" w:color="auto" w:fill="auto"/>
            <w:noWrap/>
            <w:vAlign w:val="center"/>
          </w:tcPr>
          <w:p>
            <w:pPr>
              <w:widowControl/>
              <w:jc w:val="center"/>
              <w:rPr>
                <w:kern w:val="0"/>
                <w:szCs w:val="21"/>
              </w:rPr>
            </w:pPr>
            <w:r>
              <w:rPr>
                <w:kern w:val="0"/>
                <w:szCs w:val="21"/>
              </w:rPr>
              <w:t>1</w:t>
            </w:r>
          </w:p>
        </w:tc>
        <w:tc>
          <w:tcPr>
            <w:tcW w:w="3118" w:type="dxa"/>
            <w:shd w:val="clear" w:color="auto" w:fill="auto"/>
            <w:noWrap/>
            <w:vAlign w:val="center"/>
          </w:tcPr>
          <w:p>
            <w:pPr>
              <w:rPr>
                <w:kern w:val="0"/>
                <w:szCs w:val="21"/>
              </w:rPr>
            </w:pPr>
            <w:r>
              <w:rPr>
                <w:b/>
                <w:kern w:val="0"/>
                <w:szCs w:val="21"/>
              </w:rPr>
              <w:t>目标1：</w:t>
            </w:r>
            <w:r>
              <w:rPr>
                <w:rFonts w:hint="eastAsia"/>
                <w:szCs w:val="21"/>
              </w:rPr>
              <w:t>通过观察和了解医药化工产品的生产过程，获得化工产品生产的感性认识，以有利于对后续课程的理解</w:t>
            </w:r>
            <w:r>
              <w:rPr>
                <w:kern w:val="0"/>
                <w:szCs w:val="21"/>
              </w:rPr>
              <w:t>。</w:t>
            </w:r>
          </w:p>
        </w:tc>
        <w:tc>
          <w:tcPr>
            <w:tcW w:w="2292" w:type="dxa"/>
            <w:shd w:val="clear" w:color="auto" w:fill="auto"/>
            <w:noWrap/>
            <w:vAlign w:val="center"/>
          </w:tcPr>
          <w:p>
            <w:pPr>
              <w:widowControl/>
              <w:rPr>
                <w:color w:val="000000"/>
                <w:kern w:val="0"/>
                <w:szCs w:val="21"/>
              </w:rPr>
            </w:pPr>
            <w:r>
              <w:rPr>
                <w:color w:val="000000"/>
                <w:szCs w:val="21"/>
              </w:rPr>
              <w:t>观测点</w:t>
            </w:r>
            <w:r>
              <w:rPr>
                <w:rFonts w:hint="eastAsia"/>
                <w:color w:val="000000"/>
                <w:kern w:val="0"/>
                <w:szCs w:val="21"/>
              </w:rPr>
              <w:t>6-</w:t>
            </w:r>
            <w:r>
              <w:rPr>
                <w:color w:val="000000"/>
                <w:kern w:val="0"/>
                <w:szCs w:val="21"/>
              </w:rPr>
              <w:t>2</w:t>
            </w:r>
            <w:r>
              <w:rPr>
                <w:rFonts w:hint="eastAsia"/>
                <w:color w:val="000000"/>
                <w:kern w:val="0"/>
                <w:szCs w:val="21"/>
              </w:rPr>
              <w:t>：熟悉与化工相关的技术标准、知识产权、产业政策和法律法规</w:t>
            </w:r>
          </w:p>
          <w:p>
            <w:pPr>
              <w:widowControl/>
              <w:rPr>
                <w:color w:val="FF0000"/>
                <w:kern w:val="0"/>
                <w:szCs w:val="21"/>
              </w:rPr>
            </w:pPr>
            <w:r>
              <w:rPr>
                <w:rFonts w:hint="eastAsia"/>
                <w:color w:val="000000"/>
                <w:kern w:val="0"/>
                <w:szCs w:val="21"/>
              </w:rPr>
              <w:t>观测点8-</w:t>
            </w:r>
            <w:r>
              <w:rPr>
                <w:color w:val="000000"/>
                <w:kern w:val="0"/>
                <w:szCs w:val="21"/>
              </w:rPr>
              <w:t>2</w:t>
            </w:r>
            <w:r>
              <w:rPr>
                <w:rFonts w:hint="eastAsia"/>
                <w:color w:val="000000"/>
                <w:kern w:val="0"/>
                <w:szCs w:val="21"/>
              </w:rPr>
              <w:t>：</w:t>
            </w:r>
            <w:r>
              <w:rPr>
                <w:color w:val="000000"/>
                <w:kern w:val="0"/>
                <w:szCs w:val="21"/>
              </w:rPr>
              <w:t>理解社会主义核心价值观</w:t>
            </w:r>
            <w:r>
              <w:rPr>
                <w:rFonts w:hint="eastAsia"/>
                <w:color w:val="000000"/>
                <w:kern w:val="0"/>
                <w:szCs w:val="21"/>
              </w:rPr>
              <w:t>，了解国情、维护国家利益，具有推动民族复兴和社会进步的责任感</w:t>
            </w:r>
          </w:p>
        </w:tc>
        <w:tc>
          <w:tcPr>
            <w:tcW w:w="3066" w:type="dxa"/>
            <w:shd w:val="clear" w:color="auto" w:fill="auto"/>
            <w:noWrap/>
            <w:vAlign w:val="center"/>
          </w:tcPr>
          <w:p>
            <w:pPr>
              <w:widowControl/>
              <w:rPr>
                <w:color w:val="000000"/>
                <w:szCs w:val="22"/>
              </w:rPr>
            </w:pPr>
            <w:r>
              <w:rPr>
                <w:color w:val="000000"/>
                <w:szCs w:val="22"/>
              </w:rPr>
              <w:t>毕业要求6：工程与社会：能够基于</w:t>
            </w:r>
            <w:r>
              <w:rPr>
                <w:szCs w:val="21"/>
              </w:rPr>
              <w:t>化学工程与工艺领域</w:t>
            </w:r>
            <w:r>
              <w:rPr>
                <w:color w:val="000000"/>
                <w:szCs w:val="22"/>
              </w:rPr>
              <w:t>工程相关背景知识进行合理分析，评价专业工程实践和复杂工程问题解决方案对社会、健康、安全、法律以及文化的影响，并理解应承担的责任。</w:t>
            </w:r>
          </w:p>
          <w:p>
            <w:pPr>
              <w:widowControl/>
              <w:rPr>
                <w:kern w:val="0"/>
                <w:szCs w:val="21"/>
              </w:rPr>
            </w:pPr>
            <w:r>
              <w:rPr>
                <w:color w:val="000000"/>
                <w:kern w:val="0"/>
              </w:rPr>
              <w:t>毕业要求8：职业规范：具有人文社会科学素养、社会责任感，能够在工程实践中理解并遵守工程职业道德和规范，履行责任。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38" w:type="dxa"/>
            <w:shd w:val="clear" w:color="auto" w:fill="auto"/>
            <w:noWrap/>
            <w:vAlign w:val="center"/>
          </w:tcPr>
          <w:p>
            <w:pPr>
              <w:widowControl/>
              <w:jc w:val="center"/>
              <w:rPr>
                <w:kern w:val="0"/>
                <w:szCs w:val="21"/>
              </w:rPr>
            </w:pPr>
            <w:r>
              <w:rPr>
                <w:kern w:val="0"/>
                <w:szCs w:val="21"/>
              </w:rPr>
              <w:t>2</w:t>
            </w:r>
          </w:p>
        </w:tc>
        <w:tc>
          <w:tcPr>
            <w:tcW w:w="3118" w:type="dxa"/>
            <w:shd w:val="clear" w:color="auto" w:fill="auto"/>
            <w:noWrap/>
            <w:vAlign w:val="center"/>
          </w:tcPr>
          <w:p>
            <w:pPr>
              <w:widowControl/>
              <w:rPr>
                <w:kern w:val="0"/>
                <w:szCs w:val="21"/>
              </w:rPr>
            </w:pPr>
            <w:r>
              <w:rPr>
                <w:b/>
                <w:kern w:val="0"/>
                <w:szCs w:val="21"/>
              </w:rPr>
              <w:t>目标2：</w:t>
            </w:r>
            <w:r>
              <w:rPr>
                <w:rFonts w:hint="eastAsia"/>
                <w:szCs w:val="21"/>
              </w:rPr>
              <w:t>理论联系实际，通过观察实际生产过程，印证和深化已学过的理论知识，使其得到充实和提高，体会书本知识的必要性，并初步了解后续理论课程的内容与实际应用。</w:t>
            </w:r>
          </w:p>
        </w:tc>
        <w:tc>
          <w:tcPr>
            <w:tcW w:w="2292" w:type="dxa"/>
            <w:shd w:val="clear" w:color="auto" w:fill="auto"/>
            <w:noWrap/>
            <w:vAlign w:val="center"/>
          </w:tcPr>
          <w:p>
            <w:pPr>
              <w:widowControl/>
              <w:rPr>
                <w:kern w:val="0"/>
                <w:szCs w:val="21"/>
              </w:rPr>
            </w:pPr>
            <w:r>
              <w:rPr>
                <w:kern w:val="0"/>
                <w:szCs w:val="21"/>
              </w:rPr>
              <w:t>观测点</w:t>
            </w:r>
            <w:r>
              <w:rPr>
                <w:rFonts w:hint="eastAsia"/>
                <w:kern w:val="0"/>
                <w:szCs w:val="21"/>
              </w:rPr>
              <w:t>9-2 能够胜任团队成员的角色和责任，能独立完成团队分配的任务</w:t>
            </w:r>
          </w:p>
        </w:tc>
        <w:tc>
          <w:tcPr>
            <w:tcW w:w="3066" w:type="dxa"/>
            <w:shd w:val="clear" w:color="auto" w:fill="auto"/>
            <w:noWrap/>
            <w:vAlign w:val="center"/>
          </w:tcPr>
          <w:p>
            <w:pPr>
              <w:widowControl/>
              <w:rPr>
                <w:kern w:val="0"/>
                <w:szCs w:val="21"/>
              </w:rPr>
            </w:pPr>
            <w:r>
              <w:rPr>
                <w:color w:val="000000"/>
                <w:kern w:val="0"/>
              </w:rPr>
              <w:t>在工程实践中理解并遵守工程职业道德和规范，履行责任。</w:t>
            </w:r>
          </w:p>
        </w:tc>
      </w:tr>
    </w:tbl>
    <w:p>
      <w:pPr>
        <w:spacing w:line="360" w:lineRule="auto"/>
        <w:rPr>
          <w:color w:val="000000"/>
          <w:sz w:val="24"/>
        </w:rPr>
      </w:pPr>
    </w:p>
    <w:p>
      <w:pPr>
        <w:spacing w:line="360" w:lineRule="auto"/>
        <w:ind w:firstLine="551" w:firstLineChars="196"/>
        <w:rPr>
          <w:b/>
          <w:sz w:val="28"/>
          <w:szCs w:val="28"/>
        </w:rPr>
      </w:pPr>
      <w:r>
        <w:rPr>
          <w:rFonts w:hint="eastAsia"/>
          <w:b/>
          <w:sz w:val="28"/>
          <w:szCs w:val="28"/>
        </w:rPr>
        <w:t>三</w:t>
      </w:r>
      <w:r>
        <w:rPr>
          <w:b/>
          <w:sz w:val="28"/>
          <w:szCs w:val="28"/>
        </w:rPr>
        <w:t>、课程内容与要求</w:t>
      </w:r>
    </w:p>
    <w:tbl>
      <w:tblPr>
        <w:tblStyle w:val="10"/>
        <w:tblW w:w="9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2632"/>
        <w:gridCol w:w="1134"/>
        <w:gridCol w:w="2028"/>
        <w:gridCol w:w="699"/>
        <w:gridCol w:w="975"/>
        <w:gridCol w:w="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vAlign w:val="center"/>
          </w:tcPr>
          <w:p>
            <w:pPr>
              <w:jc w:val="center"/>
              <w:rPr>
                <w:b/>
                <w:bCs/>
                <w:szCs w:val="21"/>
              </w:rPr>
            </w:pPr>
            <w:r>
              <w:rPr>
                <w:b/>
                <w:bCs/>
                <w:szCs w:val="21"/>
              </w:rPr>
              <w:t>序号</w:t>
            </w:r>
          </w:p>
        </w:tc>
        <w:tc>
          <w:tcPr>
            <w:tcW w:w="2632" w:type="dxa"/>
            <w:shd w:val="clear" w:color="auto" w:fill="auto"/>
            <w:vAlign w:val="center"/>
          </w:tcPr>
          <w:p>
            <w:pPr>
              <w:jc w:val="center"/>
              <w:rPr>
                <w:b/>
                <w:bCs/>
                <w:szCs w:val="21"/>
              </w:rPr>
            </w:pPr>
            <w:r>
              <w:rPr>
                <w:b/>
                <w:bCs/>
                <w:szCs w:val="21"/>
              </w:rPr>
              <w:t>教学内容</w:t>
            </w:r>
          </w:p>
        </w:tc>
        <w:tc>
          <w:tcPr>
            <w:tcW w:w="1134" w:type="dxa"/>
            <w:shd w:val="clear" w:color="auto" w:fill="auto"/>
            <w:vAlign w:val="center"/>
          </w:tcPr>
          <w:p>
            <w:pPr>
              <w:jc w:val="center"/>
              <w:rPr>
                <w:b/>
                <w:bCs/>
                <w:szCs w:val="21"/>
              </w:rPr>
            </w:pPr>
            <w:r>
              <w:rPr>
                <w:b/>
                <w:bCs/>
                <w:szCs w:val="21"/>
              </w:rPr>
              <w:t>思政元素</w:t>
            </w:r>
          </w:p>
        </w:tc>
        <w:tc>
          <w:tcPr>
            <w:tcW w:w="2028" w:type="dxa"/>
            <w:shd w:val="clear" w:color="auto" w:fill="auto"/>
            <w:vAlign w:val="center"/>
          </w:tcPr>
          <w:p>
            <w:pPr>
              <w:jc w:val="center"/>
              <w:rPr>
                <w:b/>
                <w:bCs/>
                <w:szCs w:val="21"/>
              </w:rPr>
            </w:pPr>
            <w:r>
              <w:rPr>
                <w:b/>
                <w:bCs/>
                <w:szCs w:val="21"/>
              </w:rPr>
              <w:t>预期学习成果</w:t>
            </w:r>
          </w:p>
          <w:p>
            <w:pPr>
              <w:jc w:val="center"/>
              <w:rPr>
                <w:b/>
                <w:bCs/>
                <w:szCs w:val="21"/>
              </w:rPr>
            </w:pPr>
          </w:p>
        </w:tc>
        <w:tc>
          <w:tcPr>
            <w:tcW w:w="699" w:type="dxa"/>
            <w:shd w:val="clear" w:color="auto" w:fill="auto"/>
            <w:vAlign w:val="center"/>
          </w:tcPr>
          <w:p>
            <w:pPr>
              <w:jc w:val="center"/>
              <w:rPr>
                <w:b/>
                <w:bCs/>
                <w:szCs w:val="21"/>
              </w:rPr>
            </w:pPr>
            <w:r>
              <w:rPr>
                <w:b/>
                <w:bCs/>
                <w:szCs w:val="21"/>
              </w:rPr>
              <w:t>教学学时</w:t>
            </w:r>
          </w:p>
        </w:tc>
        <w:tc>
          <w:tcPr>
            <w:tcW w:w="975" w:type="dxa"/>
            <w:shd w:val="clear" w:color="auto" w:fill="auto"/>
            <w:vAlign w:val="center"/>
          </w:tcPr>
          <w:p>
            <w:pPr>
              <w:jc w:val="center"/>
              <w:rPr>
                <w:b/>
                <w:bCs/>
                <w:szCs w:val="21"/>
              </w:rPr>
            </w:pPr>
            <w:r>
              <w:rPr>
                <w:b/>
                <w:bCs/>
                <w:szCs w:val="21"/>
              </w:rPr>
              <w:t>教学方式</w:t>
            </w:r>
          </w:p>
        </w:tc>
        <w:tc>
          <w:tcPr>
            <w:tcW w:w="925" w:type="dxa"/>
            <w:shd w:val="clear" w:color="auto" w:fill="auto"/>
            <w:vAlign w:val="center"/>
          </w:tcPr>
          <w:p>
            <w:pPr>
              <w:jc w:val="center"/>
              <w:rPr>
                <w:b/>
                <w:bCs/>
                <w:color w:val="000000"/>
                <w:szCs w:val="21"/>
              </w:rPr>
            </w:pPr>
            <w:r>
              <w:rPr>
                <w:b/>
                <w:bCs/>
                <w:color w:val="000000"/>
                <w:szCs w:val="21"/>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vAlign w:val="center"/>
          </w:tcPr>
          <w:p>
            <w:pPr>
              <w:jc w:val="center"/>
              <w:rPr>
                <w:szCs w:val="21"/>
              </w:rPr>
            </w:pPr>
            <w:r>
              <w:rPr>
                <w:szCs w:val="21"/>
              </w:rPr>
              <w:t>1</w:t>
            </w:r>
          </w:p>
        </w:tc>
        <w:tc>
          <w:tcPr>
            <w:tcW w:w="2632" w:type="dxa"/>
            <w:shd w:val="clear" w:color="auto" w:fill="auto"/>
            <w:vAlign w:val="center"/>
          </w:tcPr>
          <w:p>
            <w:pPr>
              <w:rPr>
                <w:kern w:val="0"/>
                <w:szCs w:val="21"/>
              </w:rPr>
            </w:pPr>
            <w:r>
              <w:rPr>
                <w:rFonts w:hint="eastAsia"/>
                <w:color w:val="000000"/>
                <w:szCs w:val="21"/>
              </w:rPr>
              <w:t>入厂教育及安全教育</w:t>
            </w:r>
          </w:p>
        </w:tc>
        <w:tc>
          <w:tcPr>
            <w:tcW w:w="1134" w:type="dxa"/>
            <w:shd w:val="clear" w:color="auto" w:fill="auto"/>
            <w:vAlign w:val="center"/>
          </w:tcPr>
          <w:p>
            <w:pPr>
              <w:autoSpaceDE w:val="0"/>
              <w:autoSpaceDN w:val="0"/>
              <w:adjustRightInd w:val="0"/>
              <w:rPr>
                <w:kern w:val="0"/>
                <w:szCs w:val="21"/>
              </w:rPr>
            </w:pPr>
            <w:r>
              <w:rPr>
                <w:rFonts w:hint="eastAsia"/>
                <w:kern w:val="0"/>
                <w:szCs w:val="21"/>
              </w:rPr>
              <w:t>爱岗敬业</w:t>
            </w:r>
          </w:p>
        </w:tc>
        <w:tc>
          <w:tcPr>
            <w:tcW w:w="2028" w:type="dxa"/>
            <w:shd w:val="clear" w:color="auto" w:fill="auto"/>
            <w:vAlign w:val="center"/>
          </w:tcPr>
          <w:p>
            <w:pPr>
              <w:autoSpaceDE w:val="0"/>
              <w:autoSpaceDN w:val="0"/>
              <w:adjustRightInd w:val="0"/>
              <w:rPr>
                <w:kern w:val="0"/>
                <w:szCs w:val="21"/>
              </w:rPr>
            </w:pPr>
            <w:r>
              <w:rPr>
                <w:rFonts w:hint="eastAsia"/>
                <w:szCs w:val="21"/>
              </w:rPr>
              <w:t>了解主要医药化工设备的结构和操作特点</w:t>
            </w:r>
          </w:p>
        </w:tc>
        <w:tc>
          <w:tcPr>
            <w:tcW w:w="699" w:type="dxa"/>
            <w:shd w:val="clear" w:color="auto" w:fill="auto"/>
            <w:vAlign w:val="center"/>
          </w:tcPr>
          <w:p>
            <w:pPr>
              <w:jc w:val="center"/>
              <w:rPr>
                <w:szCs w:val="21"/>
              </w:rPr>
            </w:pPr>
            <w:r>
              <w:rPr>
                <w:rFonts w:hint="eastAsia"/>
                <w:szCs w:val="21"/>
              </w:rPr>
              <w:t>1天</w:t>
            </w:r>
          </w:p>
        </w:tc>
        <w:tc>
          <w:tcPr>
            <w:tcW w:w="975" w:type="dxa"/>
            <w:shd w:val="clear" w:color="auto" w:fill="auto"/>
            <w:vAlign w:val="center"/>
          </w:tcPr>
          <w:p>
            <w:pPr>
              <w:rPr>
                <w:szCs w:val="21"/>
              </w:rPr>
            </w:pPr>
            <w:r>
              <w:rPr>
                <w:szCs w:val="21"/>
              </w:rPr>
              <w:t>讲授/讨论/实例教学等</w:t>
            </w:r>
          </w:p>
        </w:tc>
        <w:tc>
          <w:tcPr>
            <w:tcW w:w="925" w:type="dxa"/>
            <w:shd w:val="clear" w:color="auto" w:fill="auto"/>
            <w:vAlign w:val="center"/>
          </w:tcPr>
          <w:p>
            <w:pPr>
              <w:jc w:val="center"/>
              <w:rPr>
                <w:szCs w:val="21"/>
              </w:rPr>
            </w:pPr>
            <w:r>
              <w:rPr>
                <w:szCs w:val="21"/>
              </w:rPr>
              <w:t>目标</w:t>
            </w:r>
            <w:r>
              <w:rPr>
                <w:rFonts w:hint="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vAlign w:val="center"/>
          </w:tcPr>
          <w:p>
            <w:pPr>
              <w:jc w:val="center"/>
              <w:rPr>
                <w:szCs w:val="21"/>
              </w:rPr>
            </w:pPr>
            <w:r>
              <w:rPr>
                <w:szCs w:val="21"/>
              </w:rPr>
              <w:t>2</w:t>
            </w:r>
          </w:p>
        </w:tc>
        <w:tc>
          <w:tcPr>
            <w:tcW w:w="2632" w:type="dxa"/>
            <w:shd w:val="clear" w:color="auto" w:fill="auto"/>
            <w:vAlign w:val="center"/>
          </w:tcPr>
          <w:p>
            <w:pPr>
              <w:rPr>
                <w:kern w:val="0"/>
                <w:szCs w:val="21"/>
              </w:rPr>
            </w:pPr>
            <w:r>
              <w:rPr>
                <w:rFonts w:hint="eastAsia"/>
                <w:color w:val="000000"/>
                <w:szCs w:val="21"/>
              </w:rPr>
              <w:t>生产情况的技术专题报告</w:t>
            </w:r>
          </w:p>
        </w:tc>
        <w:tc>
          <w:tcPr>
            <w:tcW w:w="1134" w:type="dxa"/>
            <w:shd w:val="clear" w:color="auto" w:fill="auto"/>
            <w:vAlign w:val="center"/>
          </w:tcPr>
          <w:p>
            <w:pPr>
              <w:rPr>
                <w:szCs w:val="21"/>
              </w:rPr>
            </w:pPr>
            <w:r>
              <w:rPr>
                <w:szCs w:val="21"/>
              </w:rPr>
              <w:t>理论联系实际</w:t>
            </w:r>
          </w:p>
        </w:tc>
        <w:tc>
          <w:tcPr>
            <w:tcW w:w="2028" w:type="dxa"/>
            <w:shd w:val="clear" w:color="auto" w:fill="auto"/>
            <w:vAlign w:val="center"/>
          </w:tcPr>
          <w:p>
            <w:pPr>
              <w:rPr>
                <w:szCs w:val="21"/>
              </w:rPr>
            </w:pPr>
            <w:r>
              <w:rPr>
                <w:rFonts w:hint="eastAsia"/>
                <w:szCs w:val="21"/>
              </w:rPr>
              <w:t>了解医药化工生产中的主要单元操作过程及其原理</w:t>
            </w:r>
          </w:p>
        </w:tc>
        <w:tc>
          <w:tcPr>
            <w:tcW w:w="699" w:type="dxa"/>
            <w:shd w:val="clear" w:color="auto" w:fill="auto"/>
            <w:vAlign w:val="center"/>
          </w:tcPr>
          <w:p>
            <w:pPr>
              <w:jc w:val="center"/>
              <w:rPr>
                <w:szCs w:val="21"/>
              </w:rPr>
            </w:pPr>
            <w:r>
              <w:rPr>
                <w:rFonts w:hint="eastAsia"/>
                <w:szCs w:val="21"/>
              </w:rPr>
              <w:t>1天</w:t>
            </w:r>
          </w:p>
        </w:tc>
        <w:tc>
          <w:tcPr>
            <w:tcW w:w="975" w:type="dxa"/>
            <w:shd w:val="clear" w:color="auto" w:fill="auto"/>
            <w:vAlign w:val="center"/>
          </w:tcPr>
          <w:p>
            <w:pPr>
              <w:rPr>
                <w:szCs w:val="21"/>
              </w:rPr>
            </w:pPr>
            <w:r>
              <w:rPr>
                <w:szCs w:val="21"/>
              </w:rPr>
              <w:t>讲授/讨论/等</w:t>
            </w:r>
          </w:p>
        </w:tc>
        <w:tc>
          <w:tcPr>
            <w:tcW w:w="925" w:type="dxa"/>
            <w:shd w:val="clear" w:color="auto" w:fill="auto"/>
            <w:vAlign w:val="center"/>
          </w:tcPr>
          <w:p>
            <w:pPr>
              <w:jc w:val="center"/>
              <w:rPr>
                <w:szCs w:val="21"/>
              </w:rPr>
            </w:pPr>
            <w:r>
              <w:rPr>
                <w:szCs w:val="21"/>
              </w:rPr>
              <w:t>目标</w:t>
            </w:r>
            <w:r>
              <w:rPr>
                <w:rFonts w:hint="eastAsia"/>
                <w:szCs w:val="21"/>
              </w:rPr>
              <w:t>1</w:t>
            </w:r>
          </w:p>
          <w:p>
            <w:pPr>
              <w:jc w:val="center"/>
              <w:rPr>
                <w:szCs w:val="21"/>
              </w:rPr>
            </w:pPr>
            <w:r>
              <w:rPr>
                <w:rFonts w:hint="eastAsia"/>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vAlign w:val="center"/>
          </w:tcPr>
          <w:p>
            <w:pPr>
              <w:jc w:val="center"/>
              <w:rPr>
                <w:szCs w:val="21"/>
              </w:rPr>
            </w:pPr>
            <w:r>
              <w:rPr>
                <w:szCs w:val="21"/>
              </w:rPr>
              <w:t>3</w:t>
            </w:r>
          </w:p>
        </w:tc>
        <w:tc>
          <w:tcPr>
            <w:tcW w:w="2632" w:type="dxa"/>
            <w:shd w:val="clear" w:color="auto" w:fill="auto"/>
            <w:vAlign w:val="center"/>
          </w:tcPr>
          <w:p>
            <w:pPr>
              <w:rPr>
                <w:kern w:val="0"/>
                <w:szCs w:val="21"/>
              </w:rPr>
            </w:pPr>
            <w:r>
              <w:rPr>
                <w:rFonts w:hint="eastAsia"/>
                <w:color w:val="000000"/>
                <w:szCs w:val="21"/>
              </w:rPr>
              <w:t>由技术人员带领参观并进行实地讲解</w:t>
            </w:r>
          </w:p>
        </w:tc>
        <w:tc>
          <w:tcPr>
            <w:tcW w:w="1134" w:type="dxa"/>
            <w:shd w:val="clear" w:color="auto" w:fill="auto"/>
            <w:vAlign w:val="center"/>
          </w:tcPr>
          <w:p>
            <w:pPr>
              <w:rPr>
                <w:szCs w:val="21"/>
              </w:rPr>
            </w:pPr>
            <w:r>
              <w:rPr>
                <w:color w:val="000000"/>
                <w:kern w:val="0"/>
              </w:rPr>
              <w:t>在工程实践中理解并遵守工程职业道德和规范，履行责任。</w:t>
            </w:r>
          </w:p>
        </w:tc>
        <w:tc>
          <w:tcPr>
            <w:tcW w:w="2028" w:type="dxa"/>
            <w:shd w:val="clear" w:color="auto" w:fill="auto"/>
            <w:vAlign w:val="center"/>
          </w:tcPr>
          <w:p>
            <w:pPr>
              <w:rPr>
                <w:szCs w:val="21"/>
              </w:rPr>
            </w:pPr>
            <w:r>
              <w:rPr>
                <w:rFonts w:hint="eastAsia"/>
                <w:szCs w:val="21"/>
              </w:rPr>
              <w:t>了解医药化工产品的主要生产过程；了解医药化工产品生产中的操作、控制、安全与环境保护等方面的知识</w:t>
            </w:r>
          </w:p>
        </w:tc>
        <w:tc>
          <w:tcPr>
            <w:tcW w:w="699" w:type="dxa"/>
            <w:shd w:val="clear" w:color="auto" w:fill="auto"/>
            <w:vAlign w:val="center"/>
          </w:tcPr>
          <w:p>
            <w:pPr>
              <w:jc w:val="center"/>
              <w:rPr>
                <w:szCs w:val="21"/>
              </w:rPr>
            </w:pPr>
            <w:r>
              <w:rPr>
                <w:szCs w:val="21"/>
              </w:rPr>
              <w:t>2</w:t>
            </w:r>
            <w:r>
              <w:rPr>
                <w:rFonts w:hint="eastAsia"/>
                <w:szCs w:val="21"/>
              </w:rPr>
              <w:t>天</w:t>
            </w:r>
          </w:p>
        </w:tc>
        <w:tc>
          <w:tcPr>
            <w:tcW w:w="975" w:type="dxa"/>
            <w:shd w:val="clear" w:color="auto" w:fill="auto"/>
            <w:vAlign w:val="center"/>
          </w:tcPr>
          <w:p>
            <w:pPr>
              <w:rPr>
                <w:szCs w:val="21"/>
              </w:rPr>
            </w:pPr>
            <w:r>
              <w:rPr>
                <w:szCs w:val="21"/>
              </w:rPr>
              <w:t>讲授/讨论/</w:t>
            </w:r>
            <w:r>
              <w:rPr>
                <w:rFonts w:hint="eastAsia"/>
                <w:szCs w:val="21"/>
              </w:rPr>
              <w:t>实例分析</w:t>
            </w:r>
            <w:r>
              <w:rPr>
                <w:szCs w:val="21"/>
              </w:rPr>
              <w:t>等</w:t>
            </w:r>
          </w:p>
        </w:tc>
        <w:tc>
          <w:tcPr>
            <w:tcW w:w="925" w:type="dxa"/>
            <w:shd w:val="clear" w:color="auto" w:fill="auto"/>
            <w:vAlign w:val="center"/>
          </w:tcPr>
          <w:p>
            <w:pPr>
              <w:jc w:val="center"/>
              <w:rPr>
                <w:szCs w:val="21"/>
              </w:rPr>
            </w:pPr>
            <w:r>
              <w:rPr>
                <w:szCs w:val="21"/>
              </w:rPr>
              <w:t>目标</w:t>
            </w:r>
            <w:r>
              <w:rPr>
                <w:rFonts w:hint="eastAsia"/>
                <w:szCs w:val="21"/>
              </w:rPr>
              <w:t>1</w:t>
            </w:r>
          </w:p>
          <w:p>
            <w:pPr>
              <w:jc w:val="center"/>
              <w:rPr>
                <w:kern w:val="0"/>
                <w:szCs w:val="21"/>
              </w:rPr>
            </w:pPr>
            <w:r>
              <w:rPr>
                <w:kern w:val="0"/>
                <w:szCs w:val="21"/>
              </w:rPr>
              <w:t>目标</w:t>
            </w:r>
            <w:r>
              <w:rPr>
                <w:rFonts w:hint="eastAsia"/>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vAlign w:val="center"/>
          </w:tcPr>
          <w:p>
            <w:pPr>
              <w:jc w:val="center"/>
              <w:rPr>
                <w:szCs w:val="21"/>
              </w:rPr>
            </w:pPr>
            <w:r>
              <w:rPr>
                <w:szCs w:val="21"/>
              </w:rPr>
              <w:t>4</w:t>
            </w:r>
          </w:p>
        </w:tc>
        <w:tc>
          <w:tcPr>
            <w:tcW w:w="2632" w:type="dxa"/>
            <w:shd w:val="clear" w:color="auto" w:fill="auto"/>
            <w:vAlign w:val="center"/>
          </w:tcPr>
          <w:p>
            <w:pPr>
              <w:rPr>
                <w:kern w:val="0"/>
                <w:szCs w:val="21"/>
              </w:rPr>
            </w:pPr>
            <w:r>
              <w:rPr>
                <w:rFonts w:hint="eastAsia"/>
                <w:color w:val="000000"/>
                <w:szCs w:val="21"/>
              </w:rPr>
              <w:t>完成实习报告及考核</w:t>
            </w:r>
          </w:p>
        </w:tc>
        <w:tc>
          <w:tcPr>
            <w:tcW w:w="1134" w:type="dxa"/>
            <w:shd w:val="clear" w:color="auto" w:fill="auto"/>
            <w:vAlign w:val="center"/>
          </w:tcPr>
          <w:p>
            <w:pPr>
              <w:autoSpaceDE w:val="0"/>
              <w:autoSpaceDN w:val="0"/>
              <w:adjustRightInd w:val="0"/>
              <w:rPr>
                <w:szCs w:val="21"/>
              </w:rPr>
            </w:pPr>
          </w:p>
        </w:tc>
        <w:tc>
          <w:tcPr>
            <w:tcW w:w="2028" w:type="dxa"/>
            <w:shd w:val="clear" w:color="auto" w:fill="auto"/>
            <w:vAlign w:val="center"/>
          </w:tcPr>
          <w:p>
            <w:pPr>
              <w:autoSpaceDE w:val="0"/>
              <w:autoSpaceDN w:val="0"/>
              <w:adjustRightInd w:val="0"/>
              <w:rPr>
                <w:szCs w:val="21"/>
              </w:rPr>
            </w:pPr>
          </w:p>
        </w:tc>
        <w:tc>
          <w:tcPr>
            <w:tcW w:w="699" w:type="dxa"/>
            <w:shd w:val="clear" w:color="auto" w:fill="auto"/>
            <w:vAlign w:val="center"/>
          </w:tcPr>
          <w:p>
            <w:pPr>
              <w:jc w:val="center"/>
              <w:rPr>
                <w:szCs w:val="21"/>
              </w:rPr>
            </w:pPr>
            <w:r>
              <w:rPr>
                <w:rFonts w:hint="eastAsia"/>
                <w:szCs w:val="21"/>
              </w:rPr>
              <w:t>1天</w:t>
            </w:r>
          </w:p>
        </w:tc>
        <w:tc>
          <w:tcPr>
            <w:tcW w:w="975" w:type="dxa"/>
            <w:shd w:val="clear" w:color="auto" w:fill="auto"/>
            <w:vAlign w:val="center"/>
          </w:tcPr>
          <w:p>
            <w:pPr>
              <w:rPr>
                <w:szCs w:val="21"/>
              </w:rPr>
            </w:pPr>
          </w:p>
        </w:tc>
        <w:tc>
          <w:tcPr>
            <w:tcW w:w="925" w:type="dxa"/>
            <w:shd w:val="clear" w:color="auto" w:fill="auto"/>
            <w:vAlign w:val="center"/>
          </w:tcPr>
          <w:p>
            <w:pPr>
              <w:jc w:val="center"/>
              <w:rPr>
                <w:szCs w:val="21"/>
              </w:rPr>
            </w:pPr>
          </w:p>
        </w:tc>
      </w:tr>
    </w:tbl>
    <w:p>
      <w:pPr>
        <w:spacing w:line="360" w:lineRule="auto"/>
        <w:ind w:firstLine="562" w:firstLineChars="200"/>
        <w:rPr>
          <w:b/>
          <w:sz w:val="28"/>
          <w:szCs w:val="28"/>
        </w:rPr>
      </w:pPr>
      <w:r>
        <w:rPr>
          <w:rFonts w:hint="eastAsia"/>
          <w:b/>
          <w:sz w:val="28"/>
          <w:szCs w:val="28"/>
        </w:rPr>
        <w:t>四</w:t>
      </w:r>
      <w:r>
        <w:rPr>
          <w:b/>
          <w:sz w:val="28"/>
          <w:szCs w:val="28"/>
        </w:rPr>
        <w:t>、</w:t>
      </w:r>
      <w:r>
        <w:rPr>
          <w:rFonts w:hint="eastAsia"/>
          <w:b/>
          <w:sz w:val="28"/>
          <w:szCs w:val="28"/>
        </w:rPr>
        <w:t>课程实施</w:t>
      </w:r>
    </w:p>
    <w:p>
      <w:pPr>
        <w:spacing w:line="360" w:lineRule="auto"/>
        <w:ind w:firstLine="482" w:firstLineChars="200"/>
        <w:rPr>
          <w:b/>
          <w:sz w:val="24"/>
        </w:rPr>
      </w:pPr>
      <w:r>
        <w:rPr>
          <w:rFonts w:hint="eastAsia"/>
          <w:b/>
          <w:sz w:val="24"/>
        </w:rPr>
        <w:t>（一）教学方法与教学手段</w:t>
      </w:r>
    </w:p>
    <w:p>
      <w:pPr>
        <w:spacing w:line="360" w:lineRule="auto"/>
        <w:ind w:firstLine="480" w:firstLineChars="200"/>
        <w:rPr>
          <w:sz w:val="24"/>
        </w:rPr>
      </w:pPr>
      <w:r>
        <w:rPr>
          <w:rFonts w:hint="eastAsia"/>
          <w:sz w:val="24"/>
        </w:rPr>
        <w:t>1</w:t>
      </w:r>
      <w:r>
        <w:rPr>
          <w:sz w:val="24"/>
        </w:rPr>
        <w:t xml:space="preserve">. </w:t>
      </w:r>
      <w:r>
        <w:rPr>
          <w:rFonts w:hint="eastAsia"/>
          <w:sz w:val="24"/>
        </w:rPr>
        <w:t>实习动员：讲明实习目的、任务、要求、实习安排和组织形式、实习记录和考核方法。</w:t>
      </w:r>
    </w:p>
    <w:p>
      <w:pPr>
        <w:spacing w:line="360" w:lineRule="auto"/>
        <w:ind w:firstLine="480" w:firstLineChars="200"/>
        <w:rPr>
          <w:sz w:val="24"/>
        </w:rPr>
      </w:pPr>
      <w:r>
        <w:rPr>
          <w:rFonts w:hint="eastAsia"/>
          <w:sz w:val="24"/>
        </w:rPr>
        <w:t>2</w:t>
      </w:r>
      <w:r>
        <w:rPr>
          <w:sz w:val="24"/>
        </w:rPr>
        <w:t xml:space="preserve">. </w:t>
      </w:r>
      <w:r>
        <w:rPr>
          <w:rFonts w:hint="eastAsia"/>
          <w:sz w:val="24"/>
        </w:rPr>
        <w:t>安全教育，以保证整个实习期间安全。</w:t>
      </w:r>
    </w:p>
    <w:p>
      <w:pPr>
        <w:spacing w:line="360" w:lineRule="auto"/>
        <w:ind w:firstLine="480" w:firstLineChars="200"/>
        <w:rPr>
          <w:sz w:val="24"/>
        </w:rPr>
      </w:pPr>
      <w:r>
        <w:rPr>
          <w:rFonts w:hint="eastAsia"/>
          <w:sz w:val="24"/>
        </w:rPr>
        <w:t>3</w:t>
      </w:r>
      <w:r>
        <w:rPr>
          <w:sz w:val="24"/>
        </w:rPr>
        <w:t xml:space="preserve">. </w:t>
      </w:r>
      <w:r>
        <w:rPr>
          <w:rFonts w:hint="eastAsia"/>
          <w:sz w:val="24"/>
        </w:rPr>
        <w:t>进入现场实习。</w:t>
      </w:r>
    </w:p>
    <w:p>
      <w:pPr>
        <w:spacing w:line="360" w:lineRule="auto"/>
        <w:ind w:firstLine="480" w:firstLineChars="200"/>
        <w:rPr>
          <w:sz w:val="24"/>
        </w:rPr>
      </w:pPr>
      <w:r>
        <w:rPr>
          <w:rFonts w:hint="eastAsia"/>
          <w:sz w:val="24"/>
        </w:rPr>
        <w:t>4</w:t>
      </w:r>
      <w:r>
        <w:rPr>
          <w:sz w:val="24"/>
        </w:rPr>
        <w:t>.</w:t>
      </w:r>
      <w:r>
        <w:rPr>
          <w:rFonts w:hint="eastAsia"/>
          <w:sz w:val="24"/>
        </w:rPr>
        <w:t xml:space="preserve"> 编写实习报告。</w:t>
      </w:r>
    </w:p>
    <w:p>
      <w:pPr>
        <w:spacing w:line="360" w:lineRule="auto"/>
        <w:ind w:firstLine="482" w:firstLineChars="200"/>
        <w:rPr>
          <w:b/>
          <w:sz w:val="24"/>
        </w:rPr>
      </w:pPr>
    </w:p>
    <w:p>
      <w:pPr>
        <w:spacing w:line="360" w:lineRule="auto"/>
        <w:ind w:firstLine="482" w:firstLineChars="200"/>
        <w:rPr>
          <w:b/>
          <w:sz w:val="24"/>
        </w:rPr>
      </w:pPr>
    </w:p>
    <w:p>
      <w:pPr>
        <w:spacing w:line="360" w:lineRule="auto"/>
        <w:ind w:firstLine="482" w:firstLineChars="200"/>
        <w:rPr>
          <w:b/>
          <w:sz w:val="24"/>
        </w:rPr>
      </w:pPr>
    </w:p>
    <w:p>
      <w:pPr>
        <w:spacing w:line="360" w:lineRule="auto"/>
        <w:ind w:firstLine="482" w:firstLineChars="200"/>
        <w:rPr>
          <w:b/>
          <w:sz w:val="24"/>
        </w:rPr>
      </w:pPr>
    </w:p>
    <w:p>
      <w:pPr>
        <w:spacing w:line="360" w:lineRule="auto"/>
        <w:ind w:firstLine="482" w:firstLineChars="200"/>
        <w:rPr>
          <w:b/>
          <w:sz w:val="24"/>
        </w:rPr>
      </w:pPr>
      <w:r>
        <w:rPr>
          <w:rFonts w:hint="eastAsia"/>
          <w:b/>
          <w:sz w:val="24"/>
        </w:rPr>
        <w:t>（二）课程实施与保障</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691"/>
        <w:gridCol w:w="6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7" w:type="dxa"/>
            <w:gridSpan w:val="2"/>
            <w:tcBorders>
              <w:top w:val="single" w:color="auto" w:sz="8" w:space="0"/>
              <w:left w:val="single" w:color="auto" w:sz="8" w:space="0"/>
              <w:right w:val="single" w:color="auto" w:sz="8" w:space="0"/>
            </w:tcBorders>
            <w:tcMar>
              <w:left w:w="28" w:type="dxa"/>
              <w:right w:w="28" w:type="dxa"/>
            </w:tcMar>
            <w:vAlign w:val="center"/>
          </w:tcPr>
          <w:p>
            <w:pPr>
              <w:jc w:val="center"/>
              <w:rPr>
                <w:szCs w:val="21"/>
              </w:rPr>
            </w:pPr>
            <w:r>
              <w:rPr>
                <w:bCs/>
                <w:szCs w:val="21"/>
              </w:rPr>
              <w:t>主要教学环节</w:t>
            </w:r>
          </w:p>
        </w:tc>
        <w:tc>
          <w:tcPr>
            <w:tcW w:w="6773" w:type="dxa"/>
            <w:tcBorders>
              <w:top w:val="single" w:color="auto" w:sz="8" w:space="0"/>
              <w:left w:val="single" w:color="auto" w:sz="8" w:space="0"/>
              <w:right w:val="single" w:color="auto" w:sz="8" w:space="0"/>
            </w:tcBorders>
            <w:vAlign w:val="center"/>
          </w:tcPr>
          <w:p>
            <w:pPr>
              <w:jc w:val="center"/>
              <w:rPr>
                <w:szCs w:val="21"/>
              </w:rPr>
            </w:pPr>
            <w:r>
              <w:rPr>
                <w:bCs/>
                <w:szCs w:val="21"/>
              </w:rPr>
              <w:t>质量</w:t>
            </w:r>
            <w:r>
              <w:rPr>
                <w:rFonts w:hint="eastAsia"/>
                <w:bCs/>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left w:val="single" w:color="auto" w:sz="8" w:space="0"/>
            </w:tcBorders>
            <w:vAlign w:val="center"/>
          </w:tcPr>
          <w:p>
            <w:pPr>
              <w:jc w:val="center"/>
              <w:rPr>
                <w:szCs w:val="21"/>
              </w:rPr>
            </w:pPr>
            <w:r>
              <w:rPr>
                <w:szCs w:val="21"/>
              </w:rPr>
              <w:t>1</w:t>
            </w:r>
          </w:p>
        </w:tc>
        <w:tc>
          <w:tcPr>
            <w:tcW w:w="1691" w:type="dxa"/>
            <w:tcMar>
              <w:left w:w="28" w:type="dxa"/>
              <w:right w:w="28" w:type="dxa"/>
            </w:tcMar>
            <w:vAlign w:val="center"/>
          </w:tcPr>
          <w:p>
            <w:pPr>
              <w:jc w:val="center"/>
              <w:rPr>
                <w:szCs w:val="21"/>
              </w:rPr>
            </w:pPr>
            <w:r>
              <w:rPr>
                <w:rFonts w:hint="eastAsia"/>
                <w:szCs w:val="21"/>
              </w:rPr>
              <w:t>准备阶段</w:t>
            </w:r>
          </w:p>
        </w:tc>
        <w:tc>
          <w:tcPr>
            <w:tcW w:w="6773" w:type="dxa"/>
            <w:tcBorders>
              <w:right w:val="single" w:color="auto" w:sz="8" w:space="0"/>
            </w:tcBorders>
            <w:vAlign w:val="center"/>
          </w:tcPr>
          <w:p>
            <w:pPr>
              <w:rPr>
                <w:szCs w:val="21"/>
              </w:rPr>
            </w:pPr>
            <w:r>
              <w:rPr>
                <w:rFonts w:hint="eastAsia"/>
                <w:szCs w:val="21"/>
              </w:rPr>
              <w:t>（</w:t>
            </w:r>
            <w:r>
              <w:rPr>
                <w:szCs w:val="21"/>
              </w:rPr>
              <w:t>1</w:t>
            </w:r>
            <w:r>
              <w:rPr>
                <w:rFonts w:hint="eastAsia"/>
                <w:szCs w:val="21"/>
              </w:rPr>
              <w:t>）掌握本课程在本专业人才培养过程中的地位和作用，明确本课程的教学目的、任务和要求。</w:t>
            </w:r>
          </w:p>
          <w:p>
            <w:pPr>
              <w:rPr>
                <w:szCs w:val="21"/>
              </w:rPr>
            </w:pPr>
            <w:r>
              <w:rPr>
                <w:rFonts w:hint="eastAsia"/>
                <w:szCs w:val="21"/>
              </w:rPr>
              <w:t>（</w:t>
            </w:r>
            <w:r>
              <w:rPr>
                <w:szCs w:val="21"/>
              </w:rPr>
              <w:t>2</w:t>
            </w:r>
            <w:r>
              <w:rPr>
                <w:rFonts w:hint="eastAsia"/>
                <w:szCs w:val="21"/>
              </w:rPr>
              <w:t>）</w:t>
            </w:r>
            <w:r>
              <w:rPr>
                <w:szCs w:val="21"/>
              </w:rPr>
              <w:t>对</w:t>
            </w:r>
            <w:r>
              <w:rPr>
                <w:rFonts w:hint="eastAsia"/>
                <w:szCs w:val="21"/>
              </w:rPr>
              <w:t>实习企业进行调查了解，对实习工厂的工艺流程、主要产品做到心中有数。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left w:val="single" w:color="auto" w:sz="8" w:space="0"/>
            </w:tcBorders>
            <w:vAlign w:val="center"/>
          </w:tcPr>
          <w:p>
            <w:pPr>
              <w:jc w:val="center"/>
              <w:rPr>
                <w:szCs w:val="21"/>
              </w:rPr>
            </w:pPr>
            <w:r>
              <w:rPr>
                <w:szCs w:val="21"/>
              </w:rPr>
              <w:t>2</w:t>
            </w:r>
          </w:p>
        </w:tc>
        <w:tc>
          <w:tcPr>
            <w:tcW w:w="1691" w:type="dxa"/>
            <w:tcMar>
              <w:left w:w="28" w:type="dxa"/>
              <w:right w:w="28" w:type="dxa"/>
            </w:tcMar>
            <w:vAlign w:val="center"/>
          </w:tcPr>
          <w:p>
            <w:pPr>
              <w:jc w:val="center"/>
              <w:rPr>
                <w:szCs w:val="21"/>
              </w:rPr>
            </w:pPr>
            <w:r>
              <w:rPr>
                <w:rFonts w:hint="eastAsia"/>
                <w:szCs w:val="21"/>
              </w:rPr>
              <w:t>实施阶段</w:t>
            </w:r>
          </w:p>
        </w:tc>
        <w:tc>
          <w:tcPr>
            <w:tcW w:w="6773" w:type="dxa"/>
            <w:tcBorders>
              <w:right w:val="single" w:color="auto" w:sz="8" w:space="0"/>
            </w:tcBorders>
            <w:vAlign w:val="center"/>
          </w:tcPr>
          <w:p>
            <w:pPr>
              <w:rPr>
                <w:szCs w:val="21"/>
              </w:rPr>
            </w:pPr>
            <w:r>
              <w:rPr>
                <w:rFonts w:hint="eastAsia"/>
                <w:szCs w:val="21"/>
              </w:rPr>
              <w:t>（</w:t>
            </w:r>
            <w:r>
              <w:rPr>
                <w:szCs w:val="21"/>
              </w:rPr>
              <w:t>1</w:t>
            </w:r>
            <w:r>
              <w:rPr>
                <w:rFonts w:hint="eastAsia"/>
                <w:szCs w:val="21"/>
              </w:rPr>
              <w:t>）就现场所能接触到的工艺和设备问题，可提出一些问题交给学生，让学生分析问题，请教技术人员、工人师傅，进行答疑和讨论。</w:t>
            </w:r>
          </w:p>
          <w:p>
            <w:pPr>
              <w:rPr>
                <w:szCs w:val="21"/>
              </w:rPr>
            </w:pPr>
            <w:r>
              <w:rPr>
                <w:rFonts w:hint="eastAsia"/>
                <w:szCs w:val="21"/>
              </w:rPr>
              <w:t>（2）注重能力的培养，培养学生在实践中的学习能力，引导学生通过实习加深对所学课程的理解，将书本知识与生产实际相结合。</w:t>
            </w:r>
          </w:p>
          <w:p>
            <w:pPr>
              <w:rPr>
                <w:szCs w:val="21"/>
              </w:rPr>
            </w:pPr>
            <w:r>
              <w:rPr>
                <w:rFonts w:hint="eastAsia"/>
                <w:szCs w:val="21"/>
              </w:rPr>
              <w:t>（3）严格组织纪律，关心学生实习生活，使学生在德智体诸方面得到发展。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left w:val="single" w:color="auto" w:sz="8" w:space="0"/>
            </w:tcBorders>
            <w:vAlign w:val="center"/>
          </w:tcPr>
          <w:p>
            <w:pPr>
              <w:jc w:val="center"/>
              <w:rPr>
                <w:szCs w:val="21"/>
              </w:rPr>
            </w:pPr>
            <w:r>
              <w:rPr>
                <w:szCs w:val="21"/>
              </w:rPr>
              <w:t>3</w:t>
            </w:r>
          </w:p>
        </w:tc>
        <w:tc>
          <w:tcPr>
            <w:tcW w:w="1691" w:type="dxa"/>
            <w:tcMar>
              <w:left w:w="28" w:type="dxa"/>
              <w:right w:w="28" w:type="dxa"/>
            </w:tcMar>
            <w:vAlign w:val="center"/>
          </w:tcPr>
          <w:p>
            <w:pPr>
              <w:jc w:val="center"/>
              <w:rPr>
                <w:szCs w:val="21"/>
              </w:rPr>
            </w:pPr>
            <w:r>
              <w:rPr>
                <w:rFonts w:hint="eastAsia"/>
                <w:szCs w:val="21"/>
              </w:rPr>
              <w:t>总结</w:t>
            </w:r>
            <w:r>
              <w:rPr>
                <w:szCs w:val="21"/>
              </w:rPr>
              <w:t>考核</w:t>
            </w:r>
          </w:p>
        </w:tc>
        <w:tc>
          <w:tcPr>
            <w:tcW w:w="6773" w:type="dxa"/>
            <w:tcBorders>
              <w:right w:val="single" w:color="auto" w:sz="8" w:space="0"/>
            </w:tcBorders>
            <w:vAlign w:val="center"/>
          </w:tcPr>
          <w:p>
            <w:pPr>
              <w:rPr>
                <w:szCs w:val="21"/>
              </w:rPr>
            </w:pPr>
            <w:r>
              <w:rPr>
                <w:rFonts w:hint="eastAsia"/>
                <w:szCs w:val="21"/>
              </w:rPr>
              <w:t>（1）能促进和巩固实习效果，保证和提高教学质量。</w:t>
            </w:r>
          </w:p>
          <w:p>
            <w:pPr>
              <w:rPr>
                <w:szCs w:val="21"/>
              </w:rPr>
            </w:pPr>
            <w:r>
              <w:rPr>
                <w:rFonts w:hint="eastAsia"/>
                <w:szCs w:val="21"/>
              </w:rPr>
              <w:t>（2）通过对考核质量的定性或定量分析，改进以后的考核，使之科学化、合理化。</w:t>
            </w:r>
          </w:p>
        </w:tc>
      </w:tr>
    </w:tbl>
    <w:p>
      <w:pPr>
        <w:spacing w:line="360" w:lineRule="auto"/>
        <w:ind w:left="562"/>
        <w:rPr>
          <w:b/>
          <w:sz w:val="28"/>
          <w:szCs w:val="28"/>
        </w:rPr>
      </w:pPr>
      <w:r>
        <w:rPr>
          <w:rFonts w:hint="eastAsia"/>
          <w:b/>
          <w:sz w:val="28"/>
          <w:szCs w:val="28"/>
        </w:rPr>
        <w:t>五、</w:t>
      </w:r>
      <w:r>
        <w:rPr>
          <w:b/>
          <w:sz w:val="28"/>
          <w:szCs w:val="28"/>
        </w:rPr>
        <w:t>课程考核</w:t>
      </w:r>
    </w:p>
    <w:p>
      <w:pPr>
        <w:spacing w:line="360" w:lineRule="auto"/>
        <w:ind w:firstLine="480" w:firstLineChars="200"/>
        <w:rPr>
          <w:bCs/>
          <w:color w:val="000000"/>
          <w:sz w:val="24"/>
        </w:rPr>
      </w:pPr>
      <w:r>
        <w:rPr>
          <w:rFonts w:hint="eastAsia"/>
          <w:bCs/>
          <w:color w:val="000000"/>
          <w:sz w:val="24"/>
        </w:rPr>
        <w:t>（一）</w:t>
      </w:r>
      <w:r>
        <w:rPr>
          <w:bCs/>
          <w:color w:val="000000"/>
          <w:sz w:val="24"/>
        </w:rPr>
        <w:t>课程考核包括</w:t>
      </w:r>
      <w:r>
        <w:rPr>
          <w:rFonts w:hint="eastAsia"/>
          <w:bCs/>
          <w:color w:val="000000"/>
          <w:sz w:val="24"/>
        </w:rPr>
        <w:t>学生实习态度和表现</w:t>
      </w:r>
      <w:r>
        <w:rPr>
          <w:bCs/>
          <w:color w:val="000000"/>
          <w:sz w:val="24"/>
        </w:rPr>
        <w:t>、</w:t>
      </w:r>
      <w:r>
        <w:rPr>
          <w:rFonts w:hint="eastAsia"/>
          <w:bCs/>
          <w:color w:val="000000"/>
          <w:sz w:val="24"/>
        </w:rPr>
        <w:t>实习笔记、现场考核成绩</w:t>
      </w:r>
      <w:r>
        <w:rPr>
          <w:bCs/>
          <w:color w:val="000000"/>
          <w:sz w:val="24"/>
        </w:rPr>
        <w:t>和</w:t>
      </w:r>
      <w:r>
        <w:rPr>
          <w:rFonts w:hint="eastAsia"/>
          <w:bCs/>
          <w:color w:val="000000"/>
          <w:sz w:val="24"/>
        </w:rPr>
        <w:t>实习报告等</w:t>
      </w:r>
      <w:r>
        <w:rPr>
          <w:bCs/>
          <w:color w:val="000000"/>
          <w:sz w:val="24"/>
        </w:rPr>
        <w:t>。</w:t>
      </w:r>
    </w:p>
    <w:p>
      <w:pPr>
        <w:spacing w:line="360" w:lineRule="auto"/>
        <w:ind w:firstLine="480" w:firstLineChars="200"/>
        <w:rPr>
          <w:sz w:val="24"/>
        </w:rPr>
      </w:pPr>
      <w:r>
        <w:rPr>
          <w:bCs/>
          <w:color w:val="000000"/>
          <w:sz w:val="24"/>
        </w:rPr>
        <w:t>（二）</w:t>
      </w:r>
      <w:r>
        <w:rPr>
          <w:sz w:val="24"/>
        </w:rPr>
        <w:t>课程</w:t>
      </w:r>
      <w:r>
        <w:rPr>
          <w:rFonts w:hint="eastAsia"/>
          <w:sz w:val="24"/>
        </w:rPr>
        <w:t>总评</w:t>
      </w:r>
      <w:r>
        <w:rPr>
          <w:sz w:val="24"/>
        </w:rPr>
        <w:t>成绩=</w:t>
      </w:r>
      <w:r>
        <w:rPr>
          <w:rFonts w:hint="eastAsia"/>
          <w:sz w:val="24"/>
        </w:rPr>
        <w:t>学生实习态度和表现</w:t>
      </w:r>
      <w:r>
        <w:rPr>
          <w:sz w:val="24"/>
        </w:rPr>
        <w:t>×20%+</w:t>
      </w:r>
      <w:r>
        <w:rPr>
          <w:rFonts w:hint="eastAsia"/>
          <w:sz w:val="24"/>
        </w:rPr>
        <w:t>实习笔记</w:t>
      </w:r>
      <w:r>
        <w:rPr>
          <w:sz w:val="24"/>
        </w:rPr>
        <w:t>×20%+</w:t>
      </w:r>
      <w:r>
        <w:rPr>
          <w:rFonts w:hint="eastAsia"/>
          <w:sz w:val="24"/>
        </w:rPr>
        <w:t>现场考核</w:t>
      </w:r>
      <w:r>
        <w:rPr>
          <w:sz w:val="24"/>
        </w:rPr>
        <w:t>×20%+</w:t>
      </w:r>
      <w:r>
        <w:rPr>
          <w:rFonts w:hint="eastAsia"/>
          <w:bCs/>
          <w:color w:val="000000"/>
          <w:sz w:val="24"/>
        </w:rPr>
        <w:t>实习报告</w:t>
      </w:r>
      <w:r>
        <w:rPr>
          <w:sz w:val="24"/>
        </w:rPr>
        <w:t>×40%。具体内容和比例</w:t>
      </w:r>
      <w:r>
        <w:rPr>
          <w:rFonts w:hint="eastAsia"/>
          <w:sz w:val="24"/>
        </w:rPr>
        <w:t>如表所示。</w:t>
      </w:r>
    </w:p>
    <w:p>
      <w:pPr>
        <w:spacing w:line="360" w:lineRule="auto"/>
        <w:ind w:firstLine="480" w:firstLineChars="200"/>
        <w:rPr>
          <w:sz w:val="24"/>
        </w:rPr>
      </w:pPr>
      <w:r>
        <w:rPr>
          <w:rFonts w:hint="eastAsia"/>
          <w:sz w:val="24"/>
        </w:rPr>
        <w:t>（三）课程总评成绩的具体内容和比例如下表所示：</w:t>
      </w:r>
    </w:p>
    <w:tbl>
      <w:tblPr>
        <w:tblStyle w:val="10"/>
        <w:tblpPr w:leftFromText="180" w:rightFromText="180" w:vertAnchor="text" w:horzAnchor="margin" w:tblpXSpec="center" w:tblpY="2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7"/>
        <w:gridCol w:w="1620"/>
        <w:gridCol w:w="3704"/>
        <w:gridCol w:w="854"/>
        <w:gridCol w:w="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48" w:type="pct"/>
            <w:vMerge w:val="restart"/>
            <w:shd w:val="clear" w:color="auto" w:fill="FFFFFF"/>
            <w:tcMar>
              <w:left w:w="57" w:type="dxa"/>
              <w:right w:w="57" w:type="dxa"/>
            </w:tcMar>
            <w:vAlign w:val="center"/>
          </w:tcPr>
          <w:p>
            <w:pPr>
              <w:jc w:val="center"/>
            </w:pPr>
            <w:r>
              <w:rPr>
                <w:rFonts w:hint="eastAsia"/>
              </w:rPr>
              <w:t>考核环节</w:t>
            </w:r>
          </w:p>
        </w:tc>
        <w:tc>
          <w:tcPr>
            <w:tcW w:w="956" w:type="pct"/>
            <w:vMerge w:val="restart"/>
            <w:shd w:val="clear" w:color="auto" w:fill="FFFFFF"/>
            <w:vAlign w:val="center"/>
          </w:tcPr>
          <w:p>
            <w:pPr>
              <w:jc w:val="center"/>
            </w:pPr>
            <w:r>
              <w:rPr>
                <w:rFonts w:hint="eastAsia"/>
              </w:rPr>
              <w:t>成绩比例</w:t>
            </w:r>
          </w:p>
        </w:tc>
        <w:tc>
          <w:tcPr>
            <w:tcW w:w="2186" w:type="pct"/>
            <w:vMerge w:val="restart"/>
            <w:shd w:val="clear" w:color="auto" w:fill="FFFFFF"/>
            <w:vAlign w:val="center"/>
          </w:tcPr>
          <w:p>
            <w:pPr>
              <w:jc w:val="center"/>
            </w:pPr>
            <w:r>
              <w:t>考核</w:t>
            </w:r>
            <w:r>
              <w:rPr>
                <w:rFonts w:hint="eastAsia"/>
              </w:rPr>
              <w:t>内容与</w:t>
            </w:r>
            <w:r>
              <w:t>评价细则</w:t>
            </w:r>
          </w:p>
        </w:tc>
        <w:tc>
          <w:tcPr>
            <w:tcW w:w="1009" w:type="pct"/>
            <w:gridSpan w:val="2"/>
            <w:shd w:val="clear" w:color="auto" w:fill="FFFFFF"/>
          </w:tcPr>
          <w:p>
            <w:pPr>
              <w:jc w:val="center"/>
            </w:pPr>
            <w:r>
              <w:rPr>
                <w:rFonts w:hint="eastAsia"/>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48" w:type="pct"/>
            <w:vMerge w:val="continue"/>
            <w:shd w:val="clear" w:color="auto" w:fill="FFFFFF"/>
            <w:tcMar>
              <w:left w:w="57" w:type="dxa"/>
              <w:right w:w="57" w:type="dxa"/>
            </w:tcMar>
            <w:vAlign w:val="center"/>
          </w:tcPr>
          <w:p>
            <w:pPr>
              <w:jc w:val="center"/>
            </w:pPr>
          </w:p>
        </w:tc>
        <w:tc>
          <w:tcPr>
            <w:tcW w:w="956" w:type="pct"/>
            <w:vMerge w:val="continue"/>
            <w:shd w:val="clear" w:color="auto" w:fill="FFFFFF"/>
            <w:vAlign w:val="center"/>
          </w:tcPr>
          <w:p>
            <w:pPr>
              <w:jc w:val="center"/>
            </w:pPr>
          </w:p>
        </w:tc>
        <w:tc>
          <w:tcPr>
            <w:tcW w:w="2186" w:type="pct"/>
            <w:vMerge w:val="continue"/>
            <w:shd w:val="clear" w:color="auto" w:fill="FFFFFF"/>
            <w:vAlign w:val="center"/>
          </w:tcPr>
          <w:p>
            <w:pPr>
              <w:jc w:val="center"/>
            </w:pPr>
          </w:p>
        </w:tc>
        <w:tc>
          <w:tcPr>
            <w:tcW w:w="504" w:type="pct"/>
            <w:shd w:val="clear" w:color="auto" w:fill="FFFFFF"/>
            <w:vAlign w:val="center"/>
          </w:tcPr>
          <w:p>
            <w:pPr>
              <w:jc w:val="center"/>
            </w:pPr>
            <w:r>
              <w:rPr>
                <w:rFonts w:hint="eastAsia"/>
              </w:rPr>
              <w:t>目标1</w:t>
            </w:r>
          </w:p>
        </w:tc>
        <w:tc>
          <w:tcPr>
            <w:tcW w:w="505" w:type="pct"/>
            <w:shd w:val="clear" w:color="auto" w:fill="FFFFFF"/>
            <w:vAlign w:val="center"/>
          </w:tcPr>
          <w:p>
            <w:pPr>
              <w:jc w:val="center"/>
            </w:pPr>
            <w:r>
              <w:rPr>
                <w:rFonts w:hint="eastAsia"/>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3" w:hRule="atLeast"/>
        </w:trPr>
        <w:tc>
          <w:tcPr>
            <w:tcW w:w="848" w:type="pct"/>
            <w:shd w:val="clear" w:color="auto" w:fill="FFFFFF"/>
            <w:tcMar>
              <w:left w:w="57" w:type="dxa"/>
              <w:right w:w="57" w:type="dxa"/>
            </w:tcMar>
            <w:vAlign w:val="center"/>
          </w:tcPr>
          <w:p>
            <w:pPr>
              <w:jc w:val="center"/>
              <w:rPr>
                <w:szCs w:val="21"/>
              </w:rPr>
            </w:pPr>
            <w:r>
              <w:rPr>
                <w:rFonts w:hint="eastAsia"/>
                <w:szCs w:val="21"/>
              </w:rPr>
              <w:t>学生实习态度和表现</w:t>
            </w:r>
          </w:p>
        </w:tc>
        <w:tc>
          <w:tcPr>
            <w:tcW w:w="956" w:type="pct"/>
            <w:shd w:val="clear" w:color="auto" w:fill="FFFFFF"/>
            <w:vAlign w:val="center"/>
          </w:tcPr>
          <w:p>
            <w:pPr>
              <w:jc w:val="center"/>
            </w:pPr>
            <w:r>
              <w:rPr>
                <w:rFonts w:hint="eastAsia"/>
              </w:rPr>
              <w:t>20%</w:t>
            </w:r>
          </w:p>
        </w:tc>
        <w:tc>
          <w:tcPr>
            <w:tcW w:w="2186" w:type="pct"/>
            <w:shd w:val="clear" w:color="auto" w:fill="FFFFFF"/>
            <w:vAlign w:val="center"/>
          </w:tcPr>
          <w:p>
            <w:pPr>
              <w:rPr>
                <w:color w:val="000000"/>
                <w:szCs w:val="21"/>
              </w:rPr>
            </w:pPr>
            <w:r>
              <w:rPr>
                <w:rFonts w:hint="eastAsia"/>
                <w:szCs w:val="21"/>
              </w:rPr>
              <w:t>以学生在实习过程中的积极性、认真程度等为评价指标，</w:t>
            </w:r>
            <w:r>
              <w:t>按20%计入总成绩。</w:t>
            </w:r>
          </w:p>
        </w:tc>
        <w:tc>
          <w:tcPr>
            <w:tcW w:w="504" w:type="pct"/>
            <w:shd w:val="clear" w:color="auto" w:fill="FFFFFF"/>
            <w:vAlign w:val="center"/>
          </w:tcPr>
          <w:p>
            <w:pPr>
              <w:jc w:val="center"/>
              <w:rPr>
                <w:color w:val="000000"/>
                <w:szCs w:val="21"/>
              </w:rPr>
            </w:pPr>
            <w:r>
              <w:t>1</w:t>
            </w:r>
            <w:r>
              <w:rPr>
                <w:rFonts w:hint="eastAsia"/>
              </w:rPr>
              <w:t>0%</w:t>
            </w:r>
          </w:p>
        </w:tc>
        <w:tc>
          <w:tcPr>
            <w:tcW w:w="505" w:type="pct"/>
            <w:shd w:val="clear" w:color="auto" w:fill="FFFFFF"/>
            <w:vAlign w:val="center"/>
          </w:tcPr>
          <w:p>
            <w:pPr>
              <w:jc w:val="center"/>
              <w:rPr>
                <w:color w:val="000000"/>
                <w:szCs w:val="21"/>
              </w:rPr>
            </w:pPr>
            <w:r>
              <w:t>1</w:t>
            </w: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848" w:type="pct"/>
            <w:tcMar>
              <w:left w:w="57" w:type="dxa"/>
              <w:right w:w="57" w:type="dxa"/>
            </w:tcMar>
            <w:vAlign w:val="center"/>
          </w:tcPr>
          <w:p>
            <w:pPr>
              <w:jc w:val="center"/>
            </w:pPr>
            <w:r>
              <w:rPr>
                <w:rFonts w:hint="eastAsia"/>
                <w:szCs w:val="21"/>
              </w:rPr>
              <w:t>实习笔记</w:t>
            </w:r>
          </w:p>
        </w:tc>
        <w:tc>
          <w:tcPr>
            <w:tcW w:w="956" w:type="pct"/>
            <w:vAlign w:val="center"/>
          </w:tcPr>
          <w:p>
            <w:pPr>
              <w:jc w:val="center"/>
            </w:pPr>
            <w:r>
              <w:t>2</w:t>
            </w:r>
            <w:r>
              <w:rPr>
                <w:rFonts w:hint="eastAsia"/>
              </w:rPr>
              <w:t>0</w:t>
            </w:r>
            <w:r>
              <w:t>%</w:t>
            </w:r>
          </w:p>
        </w:tc>
        <w:tc>
          <w:tcPr>
            <w:tcW w:w="2186" w:type="pct"/>
            <w:vAlign w:val="center"/>
          </w:tcPr>
          <w:p>
            <w:pPr>
              <w:rPr>
                <w:szCs w:val="21"/>
              </w:rPr>
            </w:pPr>
            <w:r>
              <w:rPr>
                <w:rFonts w:hint="eastAsia"/>
                <w:szCs w:val="21"/>
              </w:rPr>
              <w:t>以学生记录的相关知识点的完整性和条理性为评价指标，</w:t>
            </w:r>
            <w:r>
              <w:t>按20%计入总成绩。</w:t>
            </w:r>
          </w:p>
        </w:tc>
        <w:tc>
          <w:tcPr>
            <w:tcW w:w="504" w:type="pct"/>
            <w:shd w:val="clear" w:color="auto" w:fill="FFFFFF"/>
            <w:vAlign w:val="center"/>
          </w:tcPr>
          <w:p>
            <w:pPr>
              <w:jc w:val="center"/>
              <w:rPr>
                <w:color w:val="000000"/>
                <w:szCs w:val="21"/>
              </w:rPr>
            </w:pPr>
            <w:r>
              <w:t>1</w:t>
            </w:r>
            <w:r>
              <w:rPr>
                <w:rFonts w:hint="eastAsia"/>
              </w:rPr>
              <w:t>0%</w:t>
            </w:r>
          </w:p>
        </w:tc>
        <w:tc>
          <w:tcPr>
            <w:tcW w:w="505" w:type="pct"/>
            <w:shd w:val="clear" w:color="auto" w:fill="FFFFFF"/>
            <w:vAlign w:val="center"/>
          </w:tcPr>
          <w:p>
            <w:pPr>
              <w:jc w:val="center"/>
              <w:rPr>
                <w:color w:val="000000"/>
                <w:szCs w:val="21"/>
              </w:rPr>
            </w:pPr>
            <w:r>
              <w:t>1</w:t>
            </w: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6" w:hRule="atLeast"/>
        </w:trPr>
        <w:tc>
          <w:tcPr>
            <w:tcW w:w="848" w:type="pct"/>
            <w:tcMar>
              <w:left w:w="57" w:type="dxa"/>
              <w:right w:w="57" w:type="dxa"/>
            </w:tcMar>
            <w:vAlign w:val="center"/>
          </w:tcPr>
          <w:p>
            <w:pPr>
              <w:jc w:val="center"/>
              <w:rPr>
                <w:szCs w:val="21"/>
              </w:rPr>
            </w:pPr>
            <w:r>
              <w:rPr>
                <w:rFonts w:hint="eastAsia"/>
                <w:szCs w:val="21"/>
              </w:rPr>
              <w:t>现场考核</w:t>
            </w:r>
          </w:p>
        </w:tc>
        <w:tc>
          <w:tcPr>
            <w:tcW w:w="956" w:type="pct"/>
            <w:vAlign w:val="center"/>
          </w:tcPr>
          <w:p>
            <w:pPr>
              <w:jc w:val="center"/>
            </w:pPr>
            <w:r>
              <w:t>2</w:t>
            </w:r>
            <w:r>
              <w:rPr>
                <w:rFonts w:hint="eastAsia"/>
              </w:rPr>
              <w:t>0</w:t>
            </w:r>
            <w:r>
              <w:t>%</w:t>
            </w:r>
          </w:p>
        </w:tc>
        <w:tc>
          <w:tcPr>
            <w:tcW w:w="2186" w:type="pct"/>
            <w:vAlign w:val="center"/>
          </w:tcPr>
          <w:p>
            <w:pPr>
              <w:rPr>
                <w:szCs w:val="21"/>
              </w:rPr>
            </w:pPr>
            <w:r>
              <w:rPr>
                <w:color w:val="000000"/>
                <w:szCs w:val="21"/>
              </w:rPr>
              <w:t>以随机的形式，在</w:t>
            </w:r>
            <w:r>
              <w:rPr>
                <w:rFonts w:hint="eastAsia"/>
                <w:color w:val="000000"/>
                <w:szCs w:val="21"/>
              </w:rPr>
              <w:t>实习环节</w:t>
            </w:r>
            <w:r>
              <w:rPr>
                <w:color w:val="000000"/>
                <w:szCs w:val="21"/>
              </w:rPr>
              <w:t>进行中或结束后，测试1-3题，主要考核学生的</w:t>
            </w:r>
            <w:r>
              <w:rPr>
                <w:rFonts w:hint="eastAsia"/>
                <w:color w:val="000000"/>
                <w:szCs w:val="21"/>
              </w:rPr>
              <w:t>实习</w:t>
            </w:r>
            <w:r>
              <w:rPr>
                <w:color w:val="000000"/>
                <w:szCs w:val="21"/>
              </w:rPr>
              <w:t>效果和消化</w:t>
            </w:r>
            <w:r>
              <w:rPr>
                <w:rFonts w:hint="eastAsia"/>
                <w:color w:val="000000"/>
                <w:szCs w:val="21"/>
              </w:rPr>
              <w:t>相关</w:t>
            </w:r>
            <w:r>
              <w:rPr>
                <w:color w:val="000000"/>
                <w:szCs w:val="21"/>
              </w:rPr>
              <w:t>知识的能力</w:t>
            </w:r>
            <w:r>
              <w:rPr>
                <w:szCs w:val="21"/>
              </w:rPr>
              <w:t>，按20%计入课程总成绩。</w:t>
            </w:r>
          </w:p>
        </w:tc>
        <w:tc>
          <w:tcPr>
            <w:tcW w:w="504" w:type="pct"/>
            <w:shd w:val="clear" w:color="auto" w:fill="FFFFFF"/>
            <w:vAlign w:val="center"/>
          </w:tcPr>
          <w:p>
            <w:pPr>
              <w:jc w:val="center"/>
              <w:rPr>
                <w:color w:val="000000"/>
                <w:szCs w:val="21"/>
              </w:rPr>
            </w:pPr>
            <w:r>
              <w:t>1</w:t>
            </w:r>
            <w:r>
              <w:rPr>
                <w:rFonts w:hint="eastAsia"/>
              </w:rPr>
              <w:t>0%</w:t>
            </w:r>
          </w:p>
        </w:tc>
        <w:tc>
          <w:tcPr>
            <w:tcW w:w="505" w:type="pct"/>
            <w:shd w:val="clear" w:color="auto" w:fill="FFFFFF"/>
            <w:vAlign w:val="center"/>
          </w:tcPr>
          <w:p>
            <w:pPr>
              <w:jc w:val="center"/>
              <w:rPr>
                <w:color w:val="000000"/>
                <w:szCs w:val="21"/>
              </w:rPr>
            </w:pPr>
            <w:r>
              <w:t>1</w:t>
            </w: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2" w:hRule="atLeast"/>
        </w:trPr>
        <w:tc>
          <w:tcPr>
            <w:tcW w:w="848" w:type="pct"/>
            <w:tcMar>
              <w:left w:w="57" w:type="dxa"/>
              <w:right w:w="57" w:type="dxa"/>
            </w:tcMar>
            <w:vAlign w:val="center"/>
          </w:tcPr>
          <w:p>
            <w:pPr>
              <w:jc w:val="center"/>
            </w:pPr>
            <w:r>
              <w:rPr>
                <w:rFonts w:hint="eastAsia"/>
                <w:szCs w:val="21"/>
              </w:rPr>
              <w:t>实习报告</w:t>
            </w:r>
          </w:p>
        </w:tc>
        <w:tc>
          <w:tcPr>
            <w:tcW w:w="956" w:type="pct"/>
            <w:vAlign w:val="center"/>
          </w:tcPr>
          <w:p>
            <w:pPr>
              <w:jc w:val="center"/>
            </w:pPr>
            <w:r>
              <w:rPr>
                <w:rFonts w:hint="eastAsia"/>
              </w:rPr>
              <w:t>40%</w:t>
            </w:r>
          </w:p>
        </w:tc>
        <w:tc>
          <w:tcPr>
            <w:tcW w:w="2186" w:type="pct"/>
            <w:vAlign w:val="center"/>
          </w:tcPr>
          <w:p>
            <w:pPr>
              <w:rPr>
                <w:color w:val="000000"/>
                <w:szCs w:val="21"/>
              </w:rPr>
            </w:pPr>
            <w:r>
              <w:rPr>
                <w:rFonts w:hint="eastAsia"/>
                <w:szCs w:val="21"/>
              </w:rPr>
              <w:t>实习报告成绩按</w:t>
            </w:r>
            <w:r>
              <w:rPr>
                <w:szCs w:val="21"/>
              </w:rPr>
              <w:t>40%计入课程总成绩。</w:t>
            </w:r>
            <w:r>
              <w:rPr>
                <w:rFonts w:hint="eastAsia"/>
                <w:szCs w:val="21"/>
              </w:rPr>
              <w:t>其中简述全厂概况</w:t>
            </w:r>
            <w:r>
              <w:rPr>
                <w:color w:val="000000"/>
                <w:szCs w:val="21"/>
              </w:rPr>
              <w:t>占15%；</w:t>
            </w:r>
            <w:r>
              <w:rPr>
                <w:rFonts w:hint="eastAsia"/>
                <w:szCs w:val="21"/>
              </w:rPr>
              <w:t>所实习车间的单元操作过程及生产原理、主要设备、工艺流程等</w:t>
            </w:r>
            <w:r>
              <w:rPr>
                <w:color w:val="000000"/>
                <w:szCs w:val="21"/>
              </w:rPr>
              <w:t>占30%；</w:t>
            </w:r>
            <w:r>
              <w:rPr>
                <w:rFonts w:hint="eastAsia"/>
                <w:szCs w:val="21"/>
              </w:rPr>
              <w:t>“三废”处理及环保措施、安全生产要求等</w:t>
            </w:r>
            <w:r>
              <w:rPr>
                <w:color w:val="000000"/>
                <w:szCs w:val="21"/>
              </w:rPr>
              <w:t>占20%；</w:t>
            </w:r>
            <w:r>
              <w:rPr>
                <w:rFonts w:hint="eastAsia"/>
                <w:szCs w:val="21"/>
              </w:rPr>
              <w:t>实习车间典型设备的作用原理等</w:t>
            </w:r>
            <w:r>
              <w:rPr>
                <w:color w:val="000000"/>
                <w:szCs w:val="21"/>
              </w:rPr>
              <w:t>占15%；</w:t>
            </w:r>
            <w:r>
              <w:rPr>
                <w:rFonts w:hint="eastAsia"/>
                <w:szCs w:val="21"/>
              </w:rPr>
              <w:t>实习心得体会及对生产的改进建议等</w:t>
            </w:r>
            <w:r>
              <w:rPr>
                <w:color w:val="000000"/>
                <w:szCs w:val="21"/>
              </w:rPr>
              <w:t>占20%</w:t>
            </w:r>
            <w:r>
              <w:rPr>
                <w:rFonts w:hint="eastAsia"/>
                <w:szCs w:val="21"/>
              </w:rPr>
              <w:t>。</w:t>
            </w:r>
          </w:p>
        </w:tc>
        <w:tc>
          <w:tcPr>
            <w:tcW w:w="504" w:type="pct"/>
            <w:shd w:val="clear" w:color="auto" w:fill="FFFFFF"/>
            <w:vAlign w:val="center"/>
          </w:tcPr>
          <w:p>
            <w:pPr>
              <w:jc w:val="center"/>
              <w:rPr>
                <w:color w:val="000000"/>
                <w:szCs w:val="21"/>
              </w:rPr>
            </w:pPr>
            <w:r>
              <w:t>2</w:t>
            </w:r>
            <w:r>
              <w:rPr>
                <w:rFonts w:hint="eastAsia"/>
              </w:rPr>
              <w:t>0%</w:t>
            </w:r>
          </w:p>
        </w:tc>
        <w:tc>
          <w:tcPr>
            <w:tcW w:w="505" w:type="pct"/>
            <w:shd w:val="clear" w:color="auto" w:fill="FFFFFF"/>
            <w:vAlign w:val="center"/>
          </w:tcPr>
          <w:p>
            <w:pPr>
              <w:jc w:val="center"/>
              <w:rPr>
                <w:color w:val="000000"/>
                <w:szCs w:val="21"/>
              </w:rPr>
            </w:pPr>
            <w:r>
              <w:t>2</w:t>
            </w: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848" w:type="pct"/>
            <w:tcMar>
              <w:left w:w="57" w:type="dxa"/>
              <w:right w:w="57" w:type="dxa"/>
            </w:tcMar>
            <w:vAlign w:val="center"/>
          </w:tcPr>
          <w:p>
            <w:pPr>
              <w:jc w:val="center"/>
            </w:pPr>
            <w:r>
              <w:rPr>
                <w:rFonts w:hint="eastAsia"/>
              </w:rPr>
              <w:t>合    计</w:t>
            </w:r>
          </w:p>
        </w:tc>
        <w:tc>
          <w:tcPr>
            <w:tcW w:w="956" w:type="pct"/>
            <w:vAlign w:val="center"/>
          </w:tcPr>
          <w:p>
            <w:pPr>
              <w:jc w:val="center"/>
            </w:pPr>
            <w:r>
              <w:rPr>
                <w:rFonts w:hint="eastAsia"/>
              </w:rPr>
              <w:t>100%</w:t>
            </w:r>
          </w:p>
        </w:tc>
        <w:tc>
          <w:tcPr>
            <w:tcW w:w="2186" w:type="pct"/>
            <w:vAlign w:val="center"/>
          </w:tcPr>
          <w:p>
            <w:pPr>
              <w:rPr>
                <w:color w:val="000000"/>
                <w:szCs w:val="21"/>
              </w:rPr>
            </w:pPr>
          </w:p>
        </w:tc>
        <w:tc>
          <w:tcPr>
            <w:tcW w:w="504" w:type="pct"/>
            <w:shd w:val="clear" w:color="auto" w:fill="FFFFFF"/>
            <w:vAlign w:val="center"/>
          </w:tcPr>
          <w:p>
            <w:pPr>
              <w:jc w:val="center"/>
              <w:rPr>
                <w:color w:val="000000"/>
                <w:szCs w:val="21"/>
              </w:rPr>
            </w:pPr>
            <w:r>
              <w:rPr>
                <w:rFonts w:hint="eastAsia"/>
                <w:color w:val="000000"/>
                <w:szCs w:val="21"/>
              </w:rPr>
              <w:t>50%</w:t>
            </w:r>
          </w:p>
        </w:tc>
        <w:tc>
          <w:tcPr>
            <w:tcW w:w="505" w:type="pct"/>
            <w:shd w:val="clear" w:color="auto" w:fill="FFFFFF"/>
            <w:vAlign w:val="center"/>
          </w:tcPr>
          <w:p>
            <w:pPr>
              <w:jc w:val="center"/>
              <w:rPr>
                <w:color w:val="000000"/>
                <w:szCs w:val="21"/>
              </w:rPr>
            </w:pPr>
            <w:r>
              <w:rPr>
                <w:rFonts w:hint="eastAsia"/>
                <w:color w:val="000000"/>
                <w:szCs w:val="21"/>
              </w:rPr>
              <w:t>50%</w:t>
            </w:r>
          </w:p>
        </w:tc>
      </w:tr>
    </w:tbl>
    <w:p>
      <w:pPr>
        <w:spacing w:line="360" w:lineRule="auto"/>
        <w:ind w:firstLine="480" w:firstLineChars="200"/>
        <w:rPr>
          <w:sz w:val="24"/>
        </w:rPr>
      </w:pPr>
      <w:r>
        <w:rPr>
          <w:sz w:val="24"/>
        </w:rPr>
        <w:t>（</w:t>
      </w:r>
      <w:r>
        <w:rPr>
          <w:rFonts w:hint="eastAsia"/>
          <w:sz w:val="24"/>
        </w:rPr>
        <w:t>四</w:t>
      </w:r>
      <w:r>
        <w:rPr>
          <w:sz w:val="24"/>
        </w:rPr>
        <w:t>）所有课程目标均</w:t>
      </w:r>
      <w:r>
        <w:rPr>
          <w:rFonts w:hint="eastAsia"/>
          <w:sz w:val="24"/>
        </w:rPr>
        <w:t>需</w:t>
      </w:r>
      <w:r>
        <w:rPr>
          <w:sz w:val="24"/>
        </w:rPr>
        <w:t>大于等于0.6，否则总评成绩不及格，需要补考或重</w:t>
      </w:r>
      <w:r>
        <w:rPr>
          <w:rFonts w:hint="eastAsia"/>
          <w:sz w:val="24"/>
        </w:rPr>
        <w:t>修。</w:t>
      </w:r>
      <w:r>
        <w:rPr>
          <w:sz w:val="24"/>
        </w:rPr>
        <w:t>每</w:t>
      </w:r>
      <w:r>
        <w:rPr>
          <w:rFonts w:hint="eastAsia"/>
          <w:sz w:val="24"/>
        </w:rPr>
        <w:t>个</w:t>
      </w:r>
      <w:r>
        <w:rPr>
          <w:sz w:val="24"/>
        </w:rPr>
        <w:t>课程目标达成度计算方法如下：</w:t>
      </w:r>
    </w:p>
    <w:p>
      <w:pPr>
        <w:spacing w:line="360" w:lineRule="auto"/>
        <w:textAlignment w:val="baseline"/>
        <w:rPr>
          <w:position w:val="-22"/>
          <w:szCs w:val="21"/>
        </w:rPr>
      </w:pPr>
      <w:r>
        <w:rPr>
          <w:position w:val="-22"/>
          <w:szCs w:val="21"/>
        </w:rPr>
        <w:pict>
          <v:shape id="_x0000_s2058" o:spid="_x0000_s2058" o:spt="75" type="#_x0000_t75" style="position:absolute;left:0pt;margin-left:102.8pt;margin-top:0.75pt;height:32.65pt;width:249.4pt;mso-wrap-distance-bottom:0pt;mso-wrap-distance-left:9pt;mso-wrap-distance-right:9pt;mso-wrap-distance-top:0pt;z-index:251665408;mso-width-relative:page;mso-height-relative:page;" o:ole="t" filled="f" o:preferrelative="t" stroked="f" coordsize="21600,21600">
            <v:path/>
            <v:fill on="f" focussize="0,0"/>
            <v:stroke on="f" joinstyle="miter"/>
            <v:imagedata r:id="rId41" o:title=""/>
            <o:lock v:ext="edit" aspectratio="t"/>
            <w10:wrap type="square"/>
          </v:shape>
          <o:OLEObject Type="Embed" ProgID="Equation.3" ShapeID="_x0000_s2058" DrawAspect="Content" ObjectID="_1468075741" r:id="rId40">
            <o:LockedField>false</o:LockedField>
          </o:OLEObject>
        </w:pict>
      </w:r>
    </w:p>
    <w:p>
      <w:pPr>
        <w:spacing w:line="360" w:lineRule="auto"/>
        <w:rPr>
          <w:szCs w:val="22"/>
        </w:rPr>
      </w:pPr>
    </w:p>
    <w:p>
      <w:pPr>
        <w:spacing w:line="360" w:lineRule="auto"/>
        <w:rPr>
          <w:sz w:val="24"/>
        </w:rPr>
      </w:pPr>
      <w:r>
        <w:rPr>
          <w:sz w:val="24"/>
        </w:rPr>
        <w:t>式中：Ai=平时成绩占总评成绩的权重×课程目标i在平时成绩中的权重</w:t>
      </w:r>
    </w:p>
    <w:p>
      <w:pPr>
        <w:spacing w:line="360" w:lineRule="auto"/>
        <w:ind w:firstLine="720" w:firstLineChars="300"/>
        <w:rPr>
          <w:b/>
          <w:sz w:val="24"/>
        </w:rPr>
      </w:pPr>
      <w:r>
        <w:rPr>
          <w:sz w:val="24"/>
        </w:rPr>
        <w:t>Bi=</w:t>
      </w:r>
      <w:r>
        <w:rPr>
          <w:rFonts w:hint="eastAsia"/>
          <w:sz w:val="24"/>
        </w:rPr>
        <w:t>期末</w:t>
      </w:r>
      <w:r>
        <w:rPr>
          <w:sz w:val="24"/>
        </w:rPr>
        <w:t>成绩占总评成绩的权重×课程目标i在实</w:t>
      </w:r>
      <w:r>
        <w:rPr>
          <w:rFonts w:hint="eastAsia"/>
          <w:sz w:val="24"/>
        </w:rPr>
        <w:t>验</w:t>
      </w:r>
      <w:r>
        <w:rPr>
          <w:sz w:val="24"/>
        </w:rPr>
        <w:t>成绩中的权重</w:t>
      </w:r>
    </w:p>
    <w:p>
      <w:pPr>
        <w:spacing w:line="360" w:lineRule="auto"/>
        <w:ind w:firstLine="562" w:firstLineChars="200"/>
        <w:rPr>
          <w:b/>
          <w:sz w:val="28"/>
          <w:szCs w:val="28"/>
        </w:rPr>
      </w:pPr>
      <w:r>
        <w:rPr>
          <w:rFonts w:hint="eastAsia"/>
          <w:b/>
          <w:sz w:val="28"/>
          <w:szCs w:val="28"/>
        </w:rPr>
        <w:t>六</w:t>
      </w:r>
      <w:r>
        <w:rPr>
          <w:b/>
          <w:sz w:val="28"/>
          <w:szCs w:val="28"/>
        </w:rPr>
        <w:t>、</w:t>
      </w:r>
      <w:r>
        <w:rPr>
          <w:rFonts w:hint="eastAsia"/>
          <w:b/>
          <w:sz w:val="28"/>
          <w:szCs w:val="28"/>
        </w:rPr>
        <w:t>有关说明</w:t>
      </w:r>
    </w:p>
    <w:p>
      <w:pPr>
        <w:spacing w:line="360" w:lineRule="auto"/>
        <w:ind w:firstLine="482" w:firstLineChars="200"/>
        <w:rPr>
          <w:b/>
          <w:color w:val="000000"/>
          <w:sz w:val="24"/>
        </w:rPr>
      </w:pPr>
      <w:r>
        <w:rPr>
          <w:rFonts w:hint="eastAsia"/>
          <w:b/>
          <w:color w:val="000000"/>
          <w:sz w:val="24"/>
        </w:rPr>
        <w:t>（一）持续改进</w:t>
      </w:r>
    </w:p>
    <w:p>
      <w:pPr>
        <w:spacing w:line="360" w:lineRule="auto"/>
        <w:ind w:firstLine="480" w:firstLineChars="200"/>
        <w:rPr>
          <w:sz w:val="24"/>
          <w:szCs w:val="22"/>
        </w:rPr>
      </w:pPr>
      <w:r>
        <w:rPr>
          <w:sz w:val="24"/>
          <w:szCs w:val="22"/>
        </w:rPr>
        <w:t>本课程根据学生</w:t>
      </w:r>
      <w:r>
        <w:rPr>
          <w:rFonts w:hint="eastAsia"/>
          <w:sz w:val="24"/>
          <w:szCs w:val="22"/>
        </w:rPr>
        <w:t>表现</w:t>
      </w:r>
      <w:r>
        <w:rPr>
          <w:sz w:val="24"/>
          <w:szCs w:val="22"/>
        </w:rPr>
        <w:t>、</w:t>
      </w:r>
      <w:r>
        <w:rPr>
          <w:rFonts w:hint="eastAsia"/>
          <w:sz w:val="24"/>
          <w:szCs w:val="22"/>
        </w:rPr>
        <w:t>现场</w:t>
      </w:r>
      <w:r>
        <w:rPr>
          <w:sz w:val="24"/>
          <w:szCs w:val="22"/>
        </w:rPr>
        <w:t>讨论、</w:t>
      </w:r>
      <w:r>
        <w:rPr>
          <w:rFonts w:hint="eastAsia"/>
          <w:sz w:val="24"/>
          <w:szCs w:val="22"/>
        </w:rPr>
        <w:t>现场</w:t>
      </w:r>
      <w:r>
        <w:rPr>
          <w:sz w:val="24"/>
          <w:szCs w:val="22"/>
        </w:rPr>
        <w:t>考核情况</w:t>
      </w:r>
      <w:r>
        <w:rPr>
          <w:rFonts w:hint="eastAsia"/>
          <w:sz w:val="24"/>
          <w:szCs w:val="22"/>
        </w:rPr>
        <w:t>等</w:t>
      </w:r>
      <w:r>
        <w:rPr>
          <w:sz w:val="24"/>
          <w:szCs w:val="22"/>
        </w:rPr>
        <w:t>反馈，及时对教学中</w:t>
      </w:r>
      <w:r>
        <w:rPr>
          <w:rFonts w:hint="eastAsia"/>
          <w:sz w:val="24"/>
          <w:szCs w:val="22"/>
        </w:rPr>
        <w:t>的</w:t>
      </w:r>
      <w:r>
        <w:rPr>
          <w:sz w:val="24"/>
          <w:szCs w:val="22"/>
        </w:rPr>
        <w:t>不足之处进行改进，并在下一轮课程教学中</w:t>
      </w:r>
      <w:r>
        <w:rPr>
          <w:rFonts w:hint="eastAsia"/>
          <w:sz w:val="24"/>
          <w:szCs w:val="22"/>
        </w:rPr>
        <w:t>整改完善</w:t>
      </w:r>
      <w:r>
        <w:rPr>
          <w:sz w:val="24"/>
          <w:szCs w:val="22"/>
        </w:rPr>
        <w:t>。</w:t>
      </w:r>
    </w:p>
    <w:p>
      <w:pPr>
        <w:autoSpaceDE w:val="0"/>
        <w:autoSpaceDN w:val="0"/>
        <w:adjustRightInd w:val="0"/>
        <w:spacing w:line="360" w:lineRule="auto"/>
        <w:ind w:firstLine="480" w:firstLineChars="200"/>
        <w:jc w:val="left"/>
        <w:rPr>
          <w:kern w:val="0"/>
          <w:sz w:val="24"/>
          <w:szCs w:val="21"/>
        </w:rPr>
      </w:pPr>
      <w:r>
        <w:rPr>
          <w:rFonts w:hint="eastAsia"/>
          <w:sz w:val="24"/>
        </w:rPr>
        <w:t xml:space="preserve">                                                 </w:t>
      </w:r>
      <w:r>
        <w:rPr>
          <w:sz w:val="24"/>
        </w:rPr>
        <w:t xml:space="preserve"> </w:t>
      </w:r>
      <w:r>
        <w:rPr>
          <w:rFonts w:hint="eastAsia"/>
          <w:sz w:val="24"/>
        </w:rPr>
        <w:t xml:space="preserve"> </w:t>
      </w:r>
      <w:r>
        <w:rPr>
          <w:kern w:val="0"/>
          <w:sz w:val="24"/>
          <w:szCs w:val="21"/>
        </w:rPr>
        <w:t>执笔人：丁琳琳</w:t>
      </w:r>
    </w:p>
    <w:p>
      <w:pPr>
        <w:autoSpaceDE w:val="0"/>
        <w:autoSpaceDN w:val="0"/>
        <w:adjustRightInd w:val="0"/>
        <w:spacing w:line="360" w:lineRule="auto"/>
        <w:ind w:firstLine="5640" w:firstLineChars="2350"/>
        <w:jc w:val="right"/>
        <w:rPr>
          <w:kern w:val="0"/>
          <w:sz w:val="24"/>
          <w:szCs w:val="21"/>
        </w:rPr>
      </w:pPr>
      <w:r>
        <w:rPr>
          <w:kern w:val="0"/>
          <w:sz w:val="24"/>
          <w:szCs w:val="21"/>
        </w:rPr>
        <w:t>审定人：</w:t>
      </w:r>
      <w:r>
        <w:rPr>
          <w:rFonts w:hint="eastAsia"/>
          <w:kern w:val="0"/>
          <w:sz w:val="24"/>
          <w:szCs w:val="21"/>
        </w:rPr>
        <w:t>魏雪娇</w:t>
      </w:r>
    </w:p>
    <w:p>
      <w:pPr>
        <w:autoSpaceDE w:val="0"/>
        <w:autoSpaceDN w:val="0"/>
        <w:adjustRightInd w:val="0"/>
        <w:spacing w:line="360" w:lineRule="auto"/>
        <w:ind w:firstLine="5640" w:firstLineChars="2350"/>
        <w:jc w:val="right"/>
        <w:rPr>
          <w:kern w:val="0"/>
          <w:sz w:val="24"/>
          <w:szCs w:val="21"/>
        </w:rPr>
      </w:pPr>
      <w:r>
        <w:rPr>
          <w:rFonts w:hint="eastAsia"/>
          <w:kern w:val="0"/>
          <w:sz w:val="24"/>
          <w:szCs w:val="21"/>
        </w:rPr>
        <w:t>审批</w:t>
      </w:r>
      <w:r>
        <w:rPr>
          <w:kern w:val="0"/>
          <w:sz w:val="24"/>
          <w:szCs w:val="21"/>
        </w:rPr>
        <w:t>人：吴泽颖</w:t>
      </w:r>
    </w:p>
    <w:p>
      <w:pPr>
        <w:autoSpaceDE w:val="0"/>
        <w:autoSpaceDN w:val="0"/>
        <w:adjustRightInd w:val="0"/>
        <w:spacing w:line="360" w:lineRule="auto"/>
        <w:ind w:firstLine="5640" w:firstLineChars="2350"/>
        <w:jc w:val="right"/>
        <w:rPr>
          <w:rFonts w:hint="eastAsia"/>
          <w:kern w:val="0"/>
          <w:sz w:val="24"/>
          <w:szCs w:val="21"/>
        </w:rPr>
      </w:pPr>
      <w:r>
        <w:rPr>
          <w:rFonts w:hint="eastAsia"/>
          <w:kern w:val="0"/>
          <w:sz w:val="24"/>
          <w:szCs w:val="21"/>
        </w:rPr>
        <w:t>2021年11月1日</w:t>
      </w:r>
    </w:p>
    <w:p>
      <w:pPr>
        <w:autoSpaceDE w:val="0"/>
        <w:autoSpaceDN w:val="0"/>
        <w:adjustRightInd w:val="0"/>
        <w:spacing w:line="360" w:lineRule="auto"/>
        <w:ind w:firstLine="5640" w:firstLineChars="2350"/>
        <w:jc w:val="right"/>
        <w:rPr>
          <w:rFonts w:hint="eastAsia"/>
          <w:kern w:val="0"/>
          <w:sz w:val="24"/>
          <w:szCs w:val="21"/>
        </w:rPr>
      </w:pPr>
    </w:p>
    <w:p>
      <w:pPr>
        <w:autoSpaceDE w:val="0"/>
        <w:autoSpaceDN w:val="0"/>
        <w:adjustRightInd w:val="0"/>
        <w:spacing w:line="360" w:lineRule="auto"/>
        <w:ind w:firstLine="5640" w:firstLineChars="2350"/>
        <w:jc w:val="right"/>
        <w:rPr>
          <w:rFonts w:hint="eastAsia"/>
          <w:kern w:val="0"/>
          <w:sz w:val="24"/>
          <w:szCs w:val="21"/>
        </w:rPr>
      </w:pPr>
    </w:p>
    <w:p>
      <w:pPr>
        <w:autoSpaceDE w:val="0"/>
        <w:autoSpaceDN w:val="0"/>
        <w:adjustRightInd w:val="0"/>
        <w:spacing w:line="360" w:lineRule="auto"/>
        <w:ind w:firstLine="5640" w:firstLineChars="2350"/>
        <w:jc w:val="right"/>
        <w:rPr>
          <w:rFonts w:hint="eastAsia"/>
          <w:kern w:val="0"/>
          <w:sz w:val="24"/>
          <w:szCs w:val="21"/>
        </w:rPr>
      </w:pPr>
    </w:p>
    <w:p>
      <w:pPr>
        <w:autoSpaceDE w:val="0"/>
        <w:autoSpaceDN w:val="0"/>
        <w:adjustRightInd w:val="0"/>
        <w:spacing w:line="360" w:lineRule="auto"/>
        <w:ind w:firstLine="5640" w:firstLineChars="2350"/>
        <w:jc w:val="right"/>
        <w:rPr>
          <w:rFonts w:hint="eastAsia"/>
          <w:kern w:val="0"/>
          <w:sz w:val="24"/>
          <w:szCs w:val="21"/>
        </w:rPr>
      </w:pPr>
    </w:p>
    <w:p>
      <w:pPr>
        <w:autoSpaceDE w:val="0"/>
        <w:autoSpaceDN w:val="0"/>
        <w:adjustRightInd w:val="0"/>
        <w:spacing w:line="360" w:lineRule="auto"/>
        <w:ind w:firstLine="5640" w:firstLineChars="2350"/>
        <w:jc w:val="right"/>
        <w:rPr>
          <w:rFonts w:hint="eastAsia"/>
          <w:kern w:val="0"/>
          <w:sz w:val="24"/>
          <w:szCs w:val="21"/>
        </w:rPr>
      </w:pPr>
    </w:p>
    <w:p>
      <w:pPr>
        <w:autoSpaceDE w:val="0"/>
        <w:autoSpaceDN w:val="0"/>
        <w:adjustRightInd w:val="0"/>
        <w:spacing w:line="360" w:lineRule="auto"/>
        <w:ind w:firstLine="5640" w:firstLineChars="2350"/>
        <w:jc w:val="right"/>
        <w:rPr>
          <w:rFonts w:hint="eastAsia"/>
          <w:kern w:val="0"/>
          <w:sz w:val="24"/>
          <w:szCs w:val="21"/>
        </w:rPr>
      </w:pPr>
    </w:p>
    <w:p>
      <w:pPr>
        <w:autoSpaceDE w:val="0"/>
        <w:autoSpaceDN w:val="0"/>
        <w:adjustRightInd w:val="0"/>
        <w:spacing w:line="360" w:lineRule="auto"/>
        <w:ind w:firstLine="5640" w:firstLineChars="2350"/>
        <w:jc w:val="right"/>
        <w:rPr>
          <w:rFonts w:hint="eastAsia"/>
          <w:kern w:val="0"/>
          <w:sz w:val="24"/>
          <w:szCs w:val="21"/>
        </w:rPr>
      </w:pPr>
    </w:p>
    <w:p>
      <w:pPr>
        <w:autoSpaceDE w:val="0"/>
        <w:autoSpaceDN w:val="0"/>
        <w:adjustRightInd w:val="0"/>
        <w:spacing w:line="360" w:lineRule="auto"/>
        <w:ind w:firstLine="5640" w:firstLineChars="2350"/>
        <w:jc w:val="right"/>
        <w:rPr>
          <w:rFonts w:hint="eastAsia"/>
          <w:kern w:val="0"/>
          <w:sz w:val="24"/>
          <w:szCs w:val="21"/>
        </w:rPr>
      </w:pPr>
    </w:p>
    <w:p>
      <w:pPr>
        <w:pStyle w:val="3"/>
        <w:bidi w:val="0"/>
        <w:jc w:val="center"/>
      </w:pPr>
      <w:bookmarkStart w:id="294" w:name="_Toc636"/>
      <w:bookmarkStart w:id="295" w:name="_Toc5736"/>
      <w:r>
        <w:rPr>
          <w:rFonts w:hint="eastAsia"/>
        </w:rPr>
        <w:t>专业英语及文献检索课程</w:t>
      </w:r>
      <w:r>
        <w:t>教学大纲</w:t>
      </w:r>
      <w:bookmarkEnd w:id="294"/>
      <w:bookmarkEnd w:id="295"/>
    </w:p>
    <w:p>
      <w:pPr>
        <w:spacing w:line="312" w:lineRule="auto"/>
        <w:jc w:val="center"/>
        <w:rPr>
          <w:b/>
          <w:bCs/>
          <w:sz w:val="30"/>
        </w:rPr>
      </w:pPr>
      <w:r>
        <w:rPr>
          <w:b/>
          <w:bCs/>
          <w:sz w:val="30"/>
        </w:rPr>
        <w:t>（</w:t>
      </w:r>
      <w:r>
        <w:rPr>
          <w:rFonts w:hint="eastAsia"/>
          <w:b/>
          <w:bCs/>
          <w:sz w:val="30"/>
        </w:rPr>
        <w:t>Pro</w:t>
      </w:r>
      <w:r>
        <w:rPr>
          <w:b/>
          <w:bCs/>
          <w:sz w:val="30"/>
        </w:rPr>
        <w:t>fessional English and Literature Retrieval）</w:t>
      </w:r>
    </w:p>
    <w:p>
      <w:pPr>
        <w:spacing w:line="360" w:lineRule="auto"/>
        <w:ind w:firstLine="551" w:firstLineChars="196"/>
        <w:rPr>
          <w:rFonts w:hint="eastAsia"/>
          <w:b/>
          <w:sz w:val="28"/>
          <w:szCs w:val="28"/>
        </w:rPr>
      </w:pPr>
      <w:r>
        <w:rPr>
          <w:b/>
          <w:sz w:val="28"/>
          <w:szCs w:val="28"/>
        </w:rPr>
        <w:t>一、课程概况</w:t>
      </w:r>
    </w:p>
    <w:p>
      <w:pPr>
        <w:spacing w:line="360" w:lineRule="auto"/>
        <w:ind w:firstLine="482" w:firstLineChars="200"/>
        <w:rPr>
          <w:b/>
          <w:sz w:val="28"/>
          <w:szCs w:val="28"/>
        </w:rPr>
      </w:pPr>
      <w:r>
        <w:rPr>
          <w:b/>
          <w:bCs/>
          <w:kern w:val="0"/>
          <w:sz w:val="24"/>
        </w:rPr>
        <w:t>课程代码</w:t>
      </w:r>
      <w:r>
        <w:rPr>
          <w:b/>
          <w:kern w:val="0"/>
          <w:sz w:val="24"/>
        </w:rPr>
        <w:t>：</w:t>
      </w:r>
      <w:r>
        <w:rPr>
          <w:b/>
          <w:bCs/>
          <w:sz w:val="24"/>
          <w:szCs w:val="40"/>
        </w:rPr>
        <w:t>2501812</w:t>
      </w:r>
    </w:p>
    <w:p>
      <w:pPr>
        <w:spacing w:line="360" w:lineRule="auto"/>
        <w:ind w:firstLine="482" w:firstLineChars="200"/>
        <w:rPr>
          <w:rFonts w:hint="eastAsia"/>
          <w:kern w:val="0"/>
          <w:sz w:val="24"/>
        </w:rPr>
      </w:pPr>
      <w:r>
        <w:rPr>
          <w:b/>
          <w:bCs/>
          <w:kern w:val="0"/>
          <w:sz w:val="24"/>
        </w:rPr>
        <w:t>学    分</w:t>
      </w:r>
      <w:r>
        <w:rPr>
          <w:b/>
          <w:kern w:val="0"/>
          <w:sz w:val="24"/>
        </w:rPr>
        <w:t>：</w:t>
      </w:r>
      <w:r>
        <w:rPr>
          <w:kern w:val="0"/>
          <w:sz w:val="24"/>
        </w:rPr>
        <w:t>1</w:t>
      </w:r>
    </w:p>
    <w:p>
      <w:pPr>
        <w:spacing w:line="360" w:lineRule="auto"/>
        <w:ind w:firstLine="482" w:firstLineChars="200"/>
        <w:rPr>
          <w:kern w:val="0"/>
          <w:sz w:val="24"/>
        </w:rPr>
      </w:pPr>
      <w:r>
        <w:rPr>
          <w:b/>
          <w:bCs/>
          <w:kern w:val="0"/>
          <w:sz w:val="24"/>
        </w:rPr>
        <w:t>学    时</w:t>
      </w:r>
      <w:r>
        <w:rPr>
          <w:b/>
          <w:kern w:val="0"/>
          <w:sz w:val="24"/>
        </w:rPr>
        <w:t>：</w:t>
      </w:r>
      <w:r>
        <w:rPr>
          <w:kern w:val="0"/>
          <w:sz w:val="24"/>
        </w:rPr>
        <w:t>1</w:t>
      </w:r>
      <w:r>
        <w:rPr>
          <w:rFonts w:hint="eastAsia"/>
          <w:kern w:val="0"/>
          <w:sz w:val="24"/>
        </w:rPr>
        <w:t>周</w:t>
      </w:r>
    </w:p>
    <w:p>
      <w:pPr>
        <w:spacing w:line="360" w:lineRule="auto"/>
        <w:ind w:firstLine="482" w:firstLineChars="200"/>
        <w:rPr>
          <w:rFonts w:hint="eastAsia"/>
          <w:bCs/>
          <w:kern w:val="0"/>
          <w:sz w:val="24"/>
        </w:rPr>
      </w:pPr>
      <w:r>
        <w:rPr>
          <w:b/>
          <w:bCs/>
          <w:kern w:val="0"/>
          <w:sz w:val="24"/>
        </w:rPr>
        <w:t>先修课程</w:t>
      </w:r>
      <w:r>
        <w:rPr>
          <w:b/>
          <w:kern w:val="0"/>
          <w:sz w:val="24"/>
        </w:rPr>
        <w:t>：</w:t>
      </w:r>
      <w:r>
        <w:rPr>
          <w:rFonts w:hint="eastAsia"/>
          <w:sz w:val="24"/>
        </w:rPr>
        <w:t>大学英语</w:t>
      </w:r>
      <w:r>
        <w:rPr>
          <w:sz w:val="24"/>
        </w:rPr>
        <w:t>、</w:t>
      </w:r>
      <w:r>
        <w:rPr>
          <w:rFonts w:hint="eastAsia"/>
          <w:sz w:val="24"/>
        </w:rPr>
        <w:t>无机</w:t>
      </w:r>
      <w:r>
        <w:rPr>
          <w:sz w:val="24"/>
        </w:rPr>
        <w:t>化学、有机</w:t>
      </w:r>
      <w:r>
        <w:rPr>
          <w:rFonts w:hint="eastAsia"/>
          <w:sz w:val="24"/>
        </w:rPr>
        <w:t>化学</w:t>
      </w:r>
      <w:r>
        <w:rPr>
          <w:sz w:val="24"/>
        </w:rPr>
        <w:t>、</w:t>
      </w:r>
      <w:r>
        <w:rPr>
          <w:rFonts w:hint="eastAsia"/>
          <w:sz w:val="24"/>
        </w:rPr>
        <w:t>信息技术基础等</w:t>
      </w:r>
    </w:p>
    <w:p>
      <w:pPr>
        <w:spacing w:line="360" w:lineRule="auto"/>
        <w:ind w:firstLine="482" w:firstLineChars="200"/>
        <w:rPr>
          <w:kern w:val="0"/>
          <w:sz w:val="24"/>
        </w:rPr>
      </w:pPr>
      <w:r>
        <w:rPr>
          <w:b/>
          <w:bCs/>
          <w:kern w:val="0"/>
          <w:sz w:val="24"/>
        </w:rPr>
        <w:t>适用专业</w:t>
      </w:r>
      <w:r>
        <w:rPr>
          <w:b/>
          <w:kern w:val="0"/>
          <w:sz w:val="24"/>
        </w:rPr>
        <w:t>：</w:t>
      </w:r>
      <w:r>
        <w:rPr>
          <w:rFonts w:hint="eastAsia"/>
          <w:sz w:val="24"/>
        </w:rPr>
        <w:t>化学工程与工艺</w:t>
      </w:r>
    </w:p>
    <w:p>
      <w:pPr>
        <w:spacing w:line="360" w:lineRule="auto"/>
        <w:ind w:firstLine="482" w:firstLineChars="200"/>
        <w:rPr>
          <w:rFonts w:hint="eastAsia"/>
          <w:sz w:val="24"/>
        </w:rPr>
      </w:pPr>
      <w:r>
        <w:rPr>
          <w:rFonts w:hint="eastAsia"/>
          <w:b/>
          <w:bCs/>
          <w:kern w:val="0"/>
          <w:sz w:val="24"/>
        </w:rPr>
        <w:t>建议</w:t>
      </w:r>
      <w:r>
        <w:rPr>
          <w:b/>
          <w:bCs/>
          <w:kern w:val="0"/>
          <w:sz w:val="24"/>
        </w:rPr>
        <w:t>教材</w:t>
      </w:r>
      <w:r>
        <w:rPr>
          <w:b/>
          <w:kern w:val="0"/>
          <w:sz w:val="24"/>
        </w:rPr>
        <w:t>：</w:t>
      </w:r>
      <w:r>
        <w:rPr>
          <w:rFonts w:hint="eastAsia"/>
          <w:kern w:val="0"/>
          <w:sz w:val="24"/>
        </w:rPr>
        <w:t>王立诚</w:t>
      </w:r>
      <w:r>
        <w:rPr>
          <w:rFonts w:hint="eastAsia"/>
          <w:sz w:val="24"/>
          <w:szCs w:val="21"/>
        </w:rPr>
        <w:t>. 科技文献检索与利用</w:t>
      </w:r>
      <w:r>
        <w:rPr>
          <w:sz w:val="24"/>
          <w:szCs w:val="21"/>
        </w:rPr>
        <w:t>（第</w:t>
      </w:r>
      <w:r>
        <w:rPr>
          <w:rFonts w:hint="eastAsia"/>
          <w:sz w:val="24"/>
          <w:szCs w:val="21"/>
        </w:rPr>
        <w:t>5</w:t>
      </w:r>
      <w:r>
        <w:rPr>
          <w:sz w:val="24"/>
          <w:szCs w:val="21"/>
        </w:rPr>
        <w:t>版）</w:t>
      </w:r>
      <w:r>
        <w:rPr>
          <w:rFonts w:hint="eastAsia"/>
          <w:sz w:val="24"/>
          <w:szCs w:val="21"/>
        </w:rPr>
        <w:t>[M]. 南京：东南大学</w:t>
      </w:r>
      <w:r>
        <w:rPr>
          <w:sz w:val="24"/>
          <w:szCs w:val="21"/>
        </w:rPr>
        <w:t>出版社，201</w:t>
      </w:r>
      <w:r>
        <w:rPr>
          <w:rFonts w:hint="eastAsia"/>
          <w:sz w:val="24"/>
          <w:szCs w:val="21"/>
        </w:rPr>
        <w:t>4；</w:t>
      </w:r>
      <w:r>
        <w:rPr>
          <w:rFonts w:hint="eastAsia"/>
          <w:sz w:val="24"/>
        </w:rPr>
        <w:t>杨定乔、龙玉华、王升富.化学化工专业英语[M]</w:t>
      </w:r>
      <w:r>
        <w:rPr>
          <w:sz w:val="24"/>
        </w:rPr>
        <w:t xml:space="preserve">. </w:t>
      </w:r>
      <w:r>
        <w:rPr>
          <w:rFonts w:hint="eastAsia"/>
          <w:sz w:val="24"/>
        </w:rPr>
        <w:t>北京：化学</w:t>
      </w:r>
      <w:r>
        <w:rPr>
          <w:sz w:val="24"/>
        </w:rPr>
        <w:t>工业出版社，2008</w:t>
      </w:r>
    </w:p>
    <w:p>
      <w:pPr>
        <w:spacing w:line="360" w:lineRule="auto"/>
        <w:ind w:firstLine="482" w:firstLineChars="200"/>
        <w:rPr>
          <w:bCs/>
          <w:kern w:val="0"/>
          <w:sz w:val="24"/>
        </w:rPr>
      </w:pPr>
      <w:r>
        <w:rPr>
          <w:b/>
          <w:bCs/>
          <w:kern w:val="0"/>
          <w:sz w:val="24"/>
        </w:rPr>
        <w:t>课程归口：</w:t>
      </w:r>
      <w:r>
        <w:rPr>
          <w:rFonts w:hint="eastAsia" w:ascii="宋体" w:hAnsi="宋体"/>
          <w:bCs/>
          <w:kern w:val="0"/>
          <w:sz w:val="24"/>
        </w:rPr>
        <w:t>化工与材料</w:t>
      </w:r>
      <w:r>
        <w:rPr>
          <w:kern w:val="0"/>
          <w:sz w:val="24"/>
        </w:rPr>
        <w:t>学院</w:t>
      </w:r>
    </w:p>
    <w:p>
      <w:pPr>
        <w:spacing w:line="360" w:lineRule="auto"/>
        <w:ind w:firstLine="482" w:firstLineChars="200"/>
        <w:rPr>
          <w:b/>
          <w:bCs/>
          <w:kern w:val="0"/>
          <w:sz w:val="24"/>
        </w:rPr>
      </w:pPr>
      <w:r>
        <w:rPr>
          <w:b/>
          <w:bCs/>
          <w:kern w:val="0"/>
          <w:sz w:val="24"/>
        </w:rPr>
        <w:t>课程的性质与任务</w:t>
      </w:r>
      <w:r>
        <w:rPr>
          <w:rFonts w:hint="eastAsia"/>
          <w:b/>
          <w:bCs/>
          <w:kern w:val="0"/>
          <w:sz w:val="24"/>
        </w:rPr>
        <w:t>：</w:t>
      </w:r>
    </w:p>
    <w:p>
      <w:pPr>
        <w:spacing w:line="360" w:lineRule="auto"/>
        <w:ind w:firstLine="480" w:firstLineChars="200"/>
        <w:rPr>
          <w:rFonts w:hint="eastAsia"/>
          <w:bCs/>
          <w:sz w:val="24"/>
        </w:rPr>
      </w:pPr>
      <w:r>
        <w:rPr>
          <w:rFonts w:hint="eastAsia"/>
          <w:bCs/>
          <w:kern w:val="0"/>
          <w:sz w:val="24"/>
        </w:rPr>
        <w:t>本课程是培养学生</w:t>
      </w:r>
      <w:r>
        <w:rPr>
          <w:color w:val="000000"/>
          <w:sz w:val="24"/>
        </w:rPr>
        <w:t>具</w:t>
      </w:r>
      <w:r>
        <w:rPr>
          <w:rFonts w:hint="eastAsia"/>
          <w:color w:val="000000"/>
          <w:sz w:val="24"/>
        </w:rPr>
        <w:t>备</w:t>
      </w:r>
      <w:r>
        <w:rPr>
          <w:color w:val="000000"/>
          <w:sz w:val="24"/>
        </w:rPr>
        <w:t>较强的化学专业英语阅读能力</w:t>
      </w:r>
      <w:r>
        <w:rPr>
          <w:rFonts w:hint="eastAsia"/>
          <w:color w:val="000000"/>
          <w:sz w:val="24"/>
        </w:rPr>
        <w:t>，</w:t>
      </w:r>
      <w:r>
        <w:rPr>
          <w:color w:val="000000"/>
          <w:sz w:val="24"/>
        </w:rPr>
        <w:t>一定的听说能力和初步的写作能力，</w:t>
      </w:r>
      <w:r>
        <w:rPr>
          <w:rFonts w:hint="eastAsia"/>
          <w:color w:val="000000"/>
          <w:sz w:val="24"/>
        </w:rPr>
        <w:t>一定</w:t>
      </w:r>
      <w:r>
        <w:rPr>
          <w:rFonts w:hint="eastAsia"/>
          <w:bCs/>
          <w:kern w:val="0"/>
          <w:sz w:val="24"/>
        </w:rPr>
        <w:t>的信息意识、信息能力、信息素质，</w:t>
      </w:r>
      <w:r>
        <w:rPr>
          <w:color w:val="000000"/>
          <w:sz w:val="24"/>
        </w:rPr>
        <w:t>使学生能以英语为工具，</w:t>
      </w:r>
      <w:r>
        <w:rPr>
          <w:rFonts w:hint="eastAsia"/>
          <w:bCs/>
          <w:kern w:val="0"/>
          <w:sz w:val="24"/>
        </w:rPr>
        <w:t>掌握通过手工检索方式和计算机检索方式获取</w:t>
      </w:r>
      <w:r>
        <w:rPr>
          <w:color w:val="000000"/>
          <w:sz w:val="24"/>
        </w:rPr>
        <w:t>化学专业科学研究所需信息</w:t>
      </w:r>
      <w:r>
        <w:rPr>
          <w:rFonts w:hint="eastAsia"/>
          <w:bCs/>
          <w:kern w:val="0"/>
          <w:sz w:val="24"/>
        </w:rPr>
        <w:t>的一门方法课，具有较强的理论性、知识性和实践性。通过教学和实践，使学生具备信息检索的基础知识和基本理论。熟悉本专业及相关专业信息资源；掌握通过多种方式获取和利用信息资源的基本技能；能自如地利用我院图书馆拥有的资源和通过互联网查阅各种有用资料，合理有效地利用信息资源，并对丰富信息资源有良好的分析和鉴别能力。通过本课程的学习，能提高学生科学利用图书馆资源的能力、网络信息资源检索能力和初步的研究能力，进而培养学生自主学习的能力和信息素养。</w:t>
      </w:r>
    </w:p>
    <w:p>
      <w:pPr>
        <w:spacing w:line="360" w:lineRule="auto"/>
        <w:ind w:firstLine="562" w:firstLineChars="200"/>
        <w:rPr>
          <w:b/>
          <w:sz w:val="28"/>
          <w:szCs w:val="28"/>
        </w:rPr>
      </w:pPr>
      <w:r>
        <w:rPr>
          <w:rFonts w:hint="eastAsia"/>
          <w:b/>
          <w:sz w:val="28"/>
          <w:szCs w:val="28"/>
        </w:rPr>
        <w:t>二</w:t>
      </w:r>
      <w:r>
        <w:rPr>
          <w:b/>
          <w:sz w:val="28"/>
          <w:szCs w:val="28"/>
        </w:rPr>
        <w:t>、课程目标</w:t>
      </w:r>
    </w:p>
    <w:p>
      <w:pPr>
        <w:spacing w:line="360" w:lineRule="auto"/>
        <w:ind w:firstLine="482"/>
        <w:jc w:val="left"/>
        <w:rPr>
          <w:sz w:val="24"/>
        </w:rPr>
      </w:pPr>
      <w:r>
        <w:rPr>
          <w:rFonts w:hint="eastAsia"/>
          <w:sz w:val="24"/>
        </w:rPr>
        <w:t>目标1. 能理解并使用</w:t>
      </w:r>
      <w:r>
        <w:rPr>
          <w:sz w:val="24"/>
        </w:rPr>
        <w:t>无机化学、有机化学、分析化学、物理化学及化学化工等各专业课程中的常见专业</w:t>
      </w:r>
      <w:r>
        <w:rPr>
          <w:rFonts w:hint="eastAsia"/>
          <w:sz w:val="24"/>
        </w:rPr>
        <w:t>英语</w:t>
      </w:r>
      <w:r>
        <w:rPr>
          <w:sz w:val="24"/>
        </w:rPr>
        <w:t>词汇</w:t>
      </w:r>
      <w:r>
        <w:rPr>
          <w:rFonts w:hint="eastAsia"/>
          <w:sz w:val="24"/>
        </w:rPr>
        <w:t>。</w:t>
      </w:r>
    </w:p>
    <w:p>
      <w:pPr>
        <w:spacing w:line="360" w:lineRule="auto"/>
        <w:ind w:firstLine="482"/>
        <w:jc w:val="left"/>
        <w:rPr>
          <w:sz w:val="24"/>
        </w:rPr>
      </w:pPr>
      <w:r>
        <w:rPr>
          <w:rFonts w:hint="eastAsia"/>
          <w:sz w:val="24"/>
        </w:rPr>
        <w:t>目标2. 能</w:t>
      </w:r>
      <w:r>
        <w:rPr>
          <w:sz w:val="24"/>
        </w:rPr>
        <w:t>较熟练地阅读和翻译本专业英文书刊，化学文献资料</w:t>
      </w:r>
      <w:r>
        <w:rPr>
          <w:rFonts w:hint="eastAsia"/>
          <w:sz w:val="24"/>
        </w:rPr>
        <w:t>。</w:t>
      </w:r>
    </w:p>
    <w:p>
      <w:pPr>
        <w:spacing w:line="360" w:lineRule="auto"/>
        <w:ind w:firstLine="482"/>
        <w:jc w:val="left"/>
        <w:rPr>
          <w:rFonts w:hint="eastAsia"/>
          <w:sz w:val="24"/>
        </w:rPr>
      </w:pPr>
      <w:r>
        <w:rPr>
          <w:rFonts w:hint="eastAsia"/>
          <w:sz w:val="24"/>
        </w:rPr>
        <w:t>目标3. 能</w:t>
      </w:r>
      <w:r>
        <w:rPr>
          <w:sz w:val="24"/>
        </w:rPr>
        <w:t>书写出正确的论文英文摘要</w:t>
      </w:r>
      <w:r>
        <w:rPr>
          <w:rFonts w:hint="eastAsia"/>
          <w:sz w:val="24"/>
        </w:rPr>
        <w:t>。</w:t>
      </w:r>
    </w:p>
    <w:p>
      <w:pPr>
        <w:spacing w:line="360" w:lineRule="auto"/>
        <w:ind w:firstLine="482"/>
        <w:jc w:val="left"/>
        <w:rPr>
          <w:rFonts w:hint="eastAsia"/>
          <w:color w:val="000000"/>
          <w:sz w:val="24"/>
        </w:rPr>
      </w:pPr>
      <w:r>
        <w:rPr>
          <w:rFonts w:hint="eastAsia"/>
          <w:sz w:val="24"/>
        </w:rPr>
        <w:t>目标4. 能</w:t>
      </w:r>
      <w:r>
        <w:rPr>
          <w:rFonts w:hint="eastAsia"/>
          <w:color w:val="000000"/>
          <w:sz w:val="24"/>
        </w:rPr>
        <w:t>熟悉全文期刊、图书、专利、学位论文及标准等数据库的检索方法。</w:t>
      </w:r>
    </w:p>
    <w:p>
      <w:pPr>
        <w:spacing w:line="360" w:lineRule="auto"/>
        <w:ind w:firstLine="482"/>
        <w:jc w:val="left"/>
        <w:rPr>
          <w:rFonts w:hint="eastAsia"/>
          <w:sz w:val="24"/>
        </w:rPr>
      </w:pPr>
      <w:r>
        <w:rPr>
          <w:rFonts w:hint="eastAsia"/>
          <w:color w:val="000000"/>
          <w:sz w:val="24"/>
        </w:rPr>
        <w:t xml:space="preserve">目标 5. </w:t>
      </w:r>
      <w:r>
        <w:rPr>
          <w:rFonts w:hint="eastAsia"/>
          <w:sz w:val="24"/>
        </w:rPr>
        <w:t>能够</w:t>
      </w:r>
      <w:r>
        <w:rPr>
          <w:rFonts w:hint="eastAsia"/>
          <w:color w:val="000000"/>
          <w:sz w:val="24"/>
        </w:rPr>
        <w:t>根据任务要求，选择合适的</w:t>
      </w:r>
      <w:r>
        <w:rPr>
          <w:rFonts w:hint="eastAsia"/>
          <w:sz w:val="24"/>
        </w:rPr>
        <w:t>信息</w:t>
      </w:r>
      <w:r>
        <w:rPr>
          <w:sz w:val="24"/>
        </w:rPr>
        <w:t>源</w:t>
      </w:r>
      <w:r>
        <w:rPr>
          <w:rFonts w:hint="eastAsia"/>
          <w:sz w:val="24"/>
        </w:rPr>
        <w:t>，利用</w:t>
      </w:r>
      <w:r>
        <w:rPr>
          <w:rFonts w:hint="eastAsia"/>
          <w:color w:val="000000"/>
          <w:sz w:val="24"/>
        </w:rPr>
        <w:t>检索技术，获得相应的文献资源，能够把所学的知识和技能应用到具体应用实践中去</w:t>
      </w:r>
      <w:r>
        <w:rPr>
          <w:rFonts w:hint="eastAsia"/>
          <w:sz w:val="24"/>
        </w:rPr>
        <w:t>。</w:t>
      </w:r>
    </w:p>
    <w:p>
      <w:pPr>
        <w:spacing w:line="360" w:lineRule="auto"/>
        <w:ind w:firstLine="482"/>
        <w:jc w:val="left"/>
        <w:rPr>
          <w:rFonts w:hint="eastAsia"/>
          <w:sz w:val="24"/>
        </w:rPr>
      </w:pPr>
      <w:r>
        <w:rPr>
          <w:rFonts w:hint="eastAsia"/>
          <w:sz w:val="24"/>
        </w:rPr>
        <w:t>目标 6. 能够合理利用文献资源以解决化学程与工艺领域的相关问题。</w:t>
      </w:r>
    </w:p>
    <w:p>
      <w:pPr>
        <w:spacing w:line="360" w:lineRule="auto"/>
        <w:ind w:firstLine="480" w:firstLineChars="200"/>
        <w:rPr>
          <w:color w:val="000000"/>
          <w:sz w:val="24"/>
          <w:highlight w:val="none"/>
        </w:rPr>
      </w:pPr>
      <w:r>
        <w:rPr>
          <w:color w:val="000000"/>
          <w:sz w:val="24"/>
        </w:rPr>
        <w:t>本课程支撑专业培养计划中毕业要求</w:t>
      </w:r>
      <w:r>
        <w:rPr>
          <w:rFonts w:hint="eastAsia"/>
          <w:color w:val="000000"/>
          <w:sz w:val="24"/>
        </w:rPr>
        <w:t>2-4（</w:t>
      </w:r>
      <w:r>
        <w:rPr>
          <w:color w:val="000000"/>
          <w:sz w:val="24"/>
        </w:rPr>
        <w:t>占该指标点达成度的</w:t>
      </w:r>
      <w:r>
        <w:rPr>
          <w:rFonts w:hint="eastAsia" w:eastAsia="楷体_GB2312"/>
          <w:sz w:val="24"/>
          <w:highlight w:val="none"/>
        </w:rPr>
        <w:t>2</w:t>
      </w:r>
      <w:r>
        <w:rPr>
          <w:rFonts w:eastAsia="楷体_GB2312"/>
          <w:sz w:val="24"/>
          <w:highlight w:val="none"/>
        </w:rPr>
        <w:t>5%</w:t>
      </w:r>
      <w:r>
        <w:rPr>
          <w:rFonts w:hint="eastAsia"/>
          <w:color w:val="000000"/>
          <w:sz w:val="24"/>
          <w:highlight w:val="none"/>
        </w:rPr>
        <w:t>）、</w:t>
      </w:r>
      <w:r>
        <w:rPr>
          <w:color w:val="000000"/>
          <w:sz w:val="24"/>
          <w:highlight w:val="none"/>
        </w:rPr>
        <w:t>毕业要求</w:t>
      </w:r>
      <w:r>
        <w:rPr>
          <w:rFonts w:hint="eastAsia"/>
          <w:color w:val="000000"/>
          <w:sz w:val="24"/>
          <w:highlight w:val="none"/>
        </w:rPr>
        <w:t>10-1（</w:t>
      </w:r>
      <w:r>
        <w:rPr>
          <w:color w:val="000000"/>
          <w:sz w:val="24"/>
          <w:highlight w:val="none"/>
        </w:rPr>
        <w:t>占该指标点达成度的</w:t>
      </w:r>
      <w:r>
        <w:rPr>
          <w:rFonts w:hint="eastAsia" w:eastAsia="楷体_GB2312"/>
          <w:sz w:val="24"/>
          <w:highlight w:val="none"/>
        </w:rPr>
        <w:t>2</w:t>
      </w:r>
      <w:r>
        <w:rPr>
          <w:rFonts w:eastAsia="楷体_GB2312"/>
          <w:sz w:val="24"/>
          <w:highlight w:val="none"/>
        </w:rPr>
        <w:t>5%</w:t>
      </w:r>
      <w:r>
        <w:rPr>
          <w:rFonts w:hint="eastAsia"/>
          <w:color w:val="000000"/>
          <w:sz w:val="24"/>
          <w:highlight w:val="none"/>
        </w:rPr>
        <w:t>）和</w:t>
      </w:r>
      <w:r>
        <w:rPr>
          <w:color w:val="000000"/>
          <w:sz w:val="24"/>
          <w:highlight w:val="none"/>
        </w:rPr>
        <w:t>毕业要求10</w:t>
      </w:r>
      <w:r>
        <w:rPr>
          <w:rFonts w:hint="eastAsia"/>
          <w:color w:val="000000"/>
          <w:sz w:val="24"/>
          <w:highlight w:val="none"/>
        </w:rPr>
        <w:t>-</w:t>
      </w:r>
      <w:r>
        <w:rPr>
          <w:color w:val="000000"/>
          <w:sz w:val="24"/>
          <w:highlight w:val="none"/>
        </w:rPr>
        <w:t>2</w:t>
      </w:r>
      <w:r>
        <w:rPr>
          <w:rFonts w:hint="eastAsia"/>
          <w:color w:val="000000"/>
          <w:sz w:val="24"/>
          <w:highlight w:val="none"/>
        </w:rPr>
        <w:t>（</w:t>
      </w:r>
      <w:r>
        <w:rPr>
          <w:color w:val="000000"/>
          <w:sz w:val="24"/>
          <w:highlight w:val="none"/>
        </w:rPr>
        <w:t>占该指标点达成度的</w:t>
      </w:r>
      <w:r>
        <w:rPr>
          <w:rFonts w:eastAsia="楷体_GB2312"/>
          <w:sz w:val="24"/>
          <w:highlight w:val="none"/>
        </w:rPr>
        <w:t>17%</w:t>
      </w:r>
      <w:r>
        <w:rPr>
          <w:rFonts w:hint="eastAsia"/>
          <w:color w:val="000000"/>
          <w:sz w:val="24"/>
          <w:highlight w:val="none"/>
        </w:rPr>
        <w:t>），对应关系如表所示。</w:t>
      </w:r>
      <w:r>
        <w:rPr>
          <w:rFonts w:hint="eastAsia"/>
          <w:color w:val="000000"/>
          <w:sz w:val="24"/>
          <w:highlight w:val="none"/>
        </w:rPr>
        <w:tab/>
      </w:r>
    </w:p>
    <w:tbl>
      <w:tblPr>
        <w:tblStyle w:val="10"/>
        <w:tblW w:w="0" w:type="auto"/>
        <w:tblInd w:w="93" w:type="dxa"/>
        <w:tblLayout w:type="fixed"/>
        <w:tblCellMar>
          <w:top w:w="0" w:type="dxa"/>
          <w:left w:w="108" w:type="dxa"/>
          <w:bottom w:w="0" w:type="dxa"/>
          <w:right w:w="108" w:type="dxa"/>
        </w:tblCellMar>
      </w:tblPr>
      <w:tblGrid>
        <w:gridCol w:w="1695"/>
        <w:gridCol w:w="1260"/>
        <w:gridCol w:w="1260"/>
        <w:gridCol w:w="1260"/>
        <w:gridCol w:w="1260"/>
        <w:gridCol w:w="1260"/>
        <w:gridCol w:w="1260"/>
      </w:tblGrid>
      <w:tr>
        <w:tblPrEx>
          <w:tblCellMar>
            <w:top w:w="0" w:type="dxa"/>
            <w:left w:w="108" w:type="dxa"/>
            <w:bottom w:w="0" w:type="dxa"/>
            <w:right w:w="108" w:type="dxa"/>
          </w:tblCellMar>
        </w:tblPrEx>
        <w:trPr>
          <w:trHeight w:val="514" w:hRule="atLeast"/>
        </w:trPr>
        <w:tc>
          <w:tcPr>
            <w:tcW w:w="169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kern w:val="0"/>
                <w:sz w:val="24"/>
              </w:rPr>
            </w:pPr>
            <w:r>
              <w:rPr>
                <w:rFonts w:hAnsi="宋体"/>
                <w:kern w:val="0"/>
                <w:sz w:val="24"/>
              </w:rPr>
              <w:t>毕业要求</w:t>
            </w:r>
          </w:p>
          <w:p>
            <w:pPr>
              <w:widowControl/>
              <w:jc w:val="center"/>
              <w:rPr>
                <w:kern w:val="0"/>
                <w:sz w:val="24"/>
              </w:rPr>
            </w:pPr>
            <w:r>
              <w:rPr>
                <w:rFonts w:hAnsi="宋体"/>
                <w:kern w:val="0"/>
                <w:sz w:val="24"/>
              </w:rPr>
              <w:t>指标点</w:t>
            </w:r>
          </w:p>
        </w:tc>
        <w:tc>
          <w:tcPr>
            <w:tcW w:w="7560" w:type="dxa"/>
            <w:gridSpan w:val="6"/>
            <w:tcBorders>
              <w:top w:val="single" w:color="auto" w:sz="4" w:space="0"/>
              <w:left w:val="nil"/>
              <w:bottom w:val="single" w:color="auto" w:sz="4" w:space="0"/>
              <w:right w:val="single" w:color="auto" w:sz="4" w:space="0"/>
            </w:tcBorders>
            <w:shd w:val="clear" w:color="auto" w:fill="FFFFFF"/>
            <w:vAlign w:val="center"/>
          </w:tcPr>
          <w:p>
            <w:pPr>
              <w:widowControl/>
              <w:jc w:val="center"/>
              <w:rPr>
                <w:kern w:val="0"/>
                <w:sz w:val="24"/>
              </w:rPr>
            </w:pPr>
            <w:r>
              <w:rPr>
                <w:rFonts w:hAnsi="宋体"/>
                <w:kern w:val="0"/>
                <w:sz w:val="24"/>
              </w:rPr>
              <w:t>课程目标</w:t>
            </w:r>
          </w:p>
        </w:tc>
      </w:tr>
      <w:tr>
        <w:tblPrEx>
          <w:tblCellMar>
            <w:top w:w="0" w:type="dxa"/>
            <w:left w:w="108" w:type="dxa"/>
            <w:bottom w:w="0" w:type="dxa"/>
            <w:right w:w="108" w:type="dxa"/>
          </w:tblCellMar>
        </w:tblPrEx>
        <w:trPr>
          <w:trHeight w:val="491" w:hRule="atLeast"/>
        </w:trPr>
        <w:tc>
          <w:tcPr>
            <w:tcW w:w="169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kern w:val="0"/>
                <w:sz w:val="24"/>
              </w:rPr>
            </w:pPr>
          </w:p>
        </w:tc>
        <w:tc>
          <w:tcPr>
            <w:tcW w:w="1260" w:type="dxa"/>
            <w:tcBorders>
              <w:top w:val="nil"/>
              <w:left w:val="nil"/>
              <w:bottom w:val="single" w:color="auto" w:sz="4" w:space="0"/>
              <w:right w:val="single" w:color="auto" w:sz="4" w:space="0"/>
            </w:tcBorders>
            <w:shd w:val="clear" w:color="auto" w:fill="FFFFFF"/>
            <w:vAlign w:val="center"/>
          </w:tcPr>
          <w:p>
            <w:pPr>
              <w:widowControl/>
              <w:jc w:val="center"/>
              <w:rPr>
                <w:kern w:val="0"/>
                <w:sz w:val="24"/>
              </w:rPr>
            </w:pPr>
            <w:r>
              <w:rPr>
                <w:rFonts w:hAnsi="宋体"/>
                <w:kern w:val="0"/>
                <w:sz w:val="24"/>
              </w:rPr>
              <w:t>目标</w:t>
            </w:r>
            <w:r>
              <w:rPr>
                <w:kern w:val="0"/>
                <w:sz w:val="24"/>
              </w:rPr>
              <w:t>1</w:t>
            </w:r>
          </w:p>
        </w:tc>
        <w:tc>
          <w:tcPr>
            <w:tcW w:w="1260" w:type="dxa"/>
            <w:tcBorders>
              <w:top w:val="nil"/>
              <w:left w:val="nil"/>
              <w:bottom w:val="single" w:color="auto" w:sz="4" w:space="0"/>
              <w:right w:val="single" w:color="auto" w:sz="4" w:space="0"/>
            </w:tcBorders>
            <w:shd w:val="clear" w:color="auto" w:fill="FFFFFF"/>
            <w:vAlign w:val="center"/>
          </w:tcPr>
          <w:p>
            <w:pPr>
              <w:widowControl/>
              <w:jc w:val="center"/>
              <w:rPr>
                <w:rFonts w:hAnsi="宋体"/>
                <w:kern w:val="0"/>
                <w:sz w:val="24"/>
              </w:rPr>
            </w:pPr>
            <w:r>
              <w:rPr>
                <w:rFonts w:hAnsi="宋体"/>
                <w:kern w:val="0"/>
                <w:sz w:val="24"/>
              </w:rPr>
              <w:t>目标</w:t>
            </w:r>
            <w:r>
              <w:rPr>
                <w:kern w:val="0"/>
                <w:sz w:val="24"/>
              </w:rPr>
              <w:t>2</w:t>
            </w:r>
          </w:p>
        </w:tc>
        <w:tc>
          <w:tcPr>
            <w:tcW w:w="1260" w:type="dxa"/>
            <w:tcBorders>
              <w:top w:val="nil"/>
              <w:left w:val="nil"/>
              <w:bottom w:val="single" w:color="auto" w:sz="4" w:space="0"/>
              <w:right w:val="single" w:color="auto" w:sz="4" w:space="0"/>
            </w:tcBorders>
            <w:shd w:val="clear" w:color="auto" w:fill="FFFFFF"/>
            <w:vAlign w:val="center"/>
          </w:tcPr>
          <w:p>
            <w:pPr>
              <w:widowControl/>
              <w:jc w:val="center"/>
              <w:rPr>
                <w:rFonts w:hAnsi="宋体"/>
                <w:kern w:val="0"/>
                <w:sz w:val="24"/>
              </w:rPr>
            </w:pPr>
            <w:r>
              <w:rPr>
                <w:rFonts w:hAnsi="宋体"/>
                <w:kern w:val="0"/>
                <w:sz w:val="24"/>
              </w:rPr>
              <w:t>目标</w:t>
            </w:r>
            <w:r>
              <w:rPr>
                <w:kern w:val="0"/>
                <w:sz w:val="24"/>
              </w:rPr>
              <w:t>3</w:t>
            </w:r>
          </w:p>
        </w:tc>
        <w:tc>
          <w:tcPr>
            <w:tcW w:w="1260" w:type="dxa"/>
            <w:tcBorders>
              <w:top w:val="nil"/>
              <w:left w:val="nil"/>
              <w:bottom w:val="single" w:color="auto" w:sz="4" w:space="0"/>
              <w:right w:val="single" w:color="auto" w:sz="4" w:space="0"/>
            </w:tcBorders>
            <w:shd w:val="clear" w:color="auto" w:fill="FFFFFF"/>
            <w:vAlign w:val="center"/>
          </w:tcPr>
          <w:p>
            <w:pPr>
              <w:widowControl/>
              <w:jc w:val="center"/>
              <w:rPr>
                <w:rFonts w:hAnsi="宋体"/>
                <w:kern w:val="0"/>
                <w:sz w:val="24"/>
              </w:rPr>
            </w:pPr>
            <w:r>
              <w:rPr>
                <w:rFonts w:hAnsi="宋体"/>
                <w:kern w:val="0"/>
                <w:sz w:val="24"/>
              </w:rPr>
              <w:t>目标</w:t>
            </w:r>
            <w:r>
              <w:rPr>
                <w:kern w:val="0"/>
                <w:sz w:val="24"/>
              </w:rPr>
              <w:t>4</w:t>
            </w:r>
          </w:p>
        </w:tc>
        <w:tc>
          <w:tcPr>
            <w:tcW w:w="1260" w:type="dxa"/>
            <w:tcBorders>
              <w:top w:val="nil"/>
              <w:left w:val="nil"/>
              <w:bottom w:val="single" w:color="auto" w:sz="4" w:space="0"/>
              <w:right w:val="single" w:color="auto" w:sz="4" w:space="0"/>
            </w:tcBorders>
            <w:shd w:val="clear" w:color="auto" w:fill="FFFFFF"/>
            <w:vAlign w:val="center"/>
          </w:tcPr>
          <w:p>
            <w:pPr>
              <w:widowControl/>
              <w:jc w:val="center"/>
              <w:rPr>
                <w:rFonts w:hint="eastAsia" w:hAnsi="宋体"/>
                <w:kern w:val="0"/>
                <w:sz w:val="24"/>
              </w:rPr>
            </w:pPr>
            <w:r>
              <w:rPr>
                <w:rFonts w:hAnsi="宋体"/>
                <w:kern w:val="0"/>
                <w:sz w:val="24"/>
              </w:rPr>
              <w:t>目标</w:t>
            </w:r>
            <w:r>
              <w:rPr>
                <w:rFonts w:hint="eastAsia"/>
                <w:kern w:val="0"/>
                <w:sz w:val="24"/>
              </w:rPr>
              <w:t>5</w:t>
            </w:r>
          </w:p>
        </w:tc>
        <w:tc>
          <w:tcPr>
            <w:tcW w:w="1260" w:type="dxa"/>
            <w:tcBorders>
              <w:top w:val="nil"/>
              <w:left w:val="nil"/>
              <w:bottom w:val="single" w:color="auto" w:sz="4" w:space="0"/>
              <w:right w:val="single" w:color="auto" w:sz="4" w:space="0"/>
            </w:tcBorders>
            <w:shd w:val="clear" w:color="auto" w:fill="FFFFFF"/>
            <w:vAlign w:val="center"/>
          </w:tcPr>
          <w:p>
            <w:pPr>
              <w:widowControl/>
              <w:jc w:val="center"/>
              <w:rPr>
                <w:rFonts w:hint="eastAsia" w:hAnsi="宋体"/>
                <w:kern w:val="0"/>
                <w:sz w:val="24"/>
              </w:rPr>
            </w:pPr>
            <w:r>
              <w:rPr>
                <w:rFonts w:hAnsi="宋体"/>
                <w:kern w:val="0"/>
                <w:sz w:val="24"/>
              </w:rPr>
              <w:t>目标</w:t>
            </w:r>
            <w:r>
              <w:rPr>
                <w:rFonts w:hint="eastAsia"/>
                <w:kern w:val="0"/>
                <w:sz w:val="24"/>
              </w:rPr>
              <w:t>6</w:t>
            </w:r>
          </w:p>
        </w:tc>
      </w:tr>
      <w:tr>
        <w:tblPrEx>
          <w:tblCellMar>
            <w:top w:w="0" w:type="dxa"/>
            <w:left w:w="108" w:type="dxa"/>
            <w:bottom w:w="0" w:type="dxa"/>
            <w:right w:w="108" w:type="dxa"/>
          </w:tblCellMar>
        </w:tblPrEx>
        <w:trPr>
          <w:trHeight w:val="481" w:hRule="atLeast"/>
        </w:trPr>
        <w:tc>
          <w:tcPr>
            <w:tcW w:w="1695" w:type="dxa"/>
            <w:tcBorders>
              <w:top w:val="nil"/>
              <w:left w:val="single" w:color="auto" w:sz="4" w:space="0"/>
              <w:bottom w:val="single" w:color="auto" w:sz="4" w:space="0"/>
              <w:right w:val="single" w:color="auto" w:sz="4" w:space="0"/>
            </w:tcBorders>
            <w:vAlign w:val="center"/>
          </w:tcPr>
          <w:p>
            <w:pPr>
              <w:widowControl/>
              <w:jc w:val="center"/>
              <w:rPr>
                <w:kern w:val="0"/>
                <w:sz w:val="24"/>
              </w:rPr>
            </w:pPr>
            <w:r>
              <w:rPr>
                <w:rFonts w:hAnsi="宋体"/>
                <w:kern w:val="0"/>
                <w:sz w:val="24"/>
              </w:rPr>
              <w:t>毕业要求</w:t>
            </w:r>
            <w:r>
              <w:rPr>
                <w:rFonts w:hint="eastAsia"/>
                <w:color w:val="000000"/>
                <w:sz w:val="24"/>
              </w:rPr>
              <w:t>2-4</w:t>
            </w:r>
          </w:p>
        </w:tc>
        <w:tc>
          <w:tcPr>
            <w:tcW w:w="1260" w:type="dxa"/>
            <w:tcBorders>
              <w:top w:val="nil"/>
              <w:left w:val="nil"/>
              <w:bottom w:val="single" w:color="auto" w:sz="4" w:space="0"/>
              <w:right w:val="single" w:color="auto" w:sz="4" w:space="0"/>
            </w:tcBorders>
            <w:vAlign w:val="center"/>
          </w:tcPr>
          <w:p>
            <w:pPr>
              <w:widowControl/>
              <w:jc w:val="center"/>
              <w:rPr>
                <w:kern w:val="0"/>
                <w:sz w:val="24"/>
              </w:rPr>
            </w:pPr>
          </w:p>
        </w:tc>
        <w:tc>
          <w:tcPr>
            <w:tcW w:w="1260" w:type="dxa"/>
            <w:tcBorders>
              <w:top w:val="nil"/>
              <w:left w:val="nil"/>
              <w:bottom w:val="single" w:color="auto" w:sz="4" w:space="0"/>
              <w:right w:val="single" w:color="auto" w:sz="4" w:space="0"/>
            </w:tcBorders>
            <w:vAlign w:val="center"/>
          </w:tcPr>
          <w:p>
            <w:pPr>
              <w:widowControl/>
              <w:jc w:val="center"/>
              <w:rPr>
                <w:kern w:val="0"/>
                <w:sz w:val="24"/>
              </w:rPr>
            </w:pPr>
          </w:p>
        </w:tc>
        <w:tc>
          <w:tcPr>
            <w:tcW w:w="1260" w:type="dxa"/>
            <w:tcBorders>
              <w:top w:val="nil"/>
              <w:left w:val="nil"/>
              <w:bottom w:val="single" w:color="auto" w:sz="4" w:space="0"/>
              <w:right w:val="single" w:color="auto" w:sz="4" w:space="0"/>
            </w:tcBorders>
            <w:vAlign w:val="center"/>
          </w:tcPr>
          <w:p>
            <w:pPr>
              <w:widowControl/>
              <w:jc w:val="center"/>
              <w:rPr>
                <w:kern w:val="0"/>
                <w:sz w:val="24"/>
              </w:rPr>
            </w:pPr>
          </w:p>
        </w:tc>
        <w:tc>
          <w:tcPr>
            <w:tcW w:w="1260" w:type="dxa"/>
            <w:tcBorders>
              <w:top w:val="nil"/>
              <w:left w:val="nil"/>
              <w:bottom w:val="single" w:color="auto" w:sz="4" w:space="0"/>
              <w:right w:val="single" w:color="auto" w:sz="4" w:space="0"/>
            </w:tcBorders>
            <w:vAlign w:val="center"/>
          </w:tcPr>
          <w:p>
            <w:pPr>
              <w:widowControl/>
              <w:jc w:val="center"/>
              <w:rPr>
                <w:kern w:val="0"/>
                <w:sz w:val="24"/>
              </w:rPr>
            </w:pPr>
            <w:r>
              <w:rPr>
                <w:kern w:val="0"/>
                <w:sz w:val="24"/>
              </w:rPr>
              <w:t>√</w:t>
            </w:r>
          </w:p>
        </w:tc>
        <w:tc>
          <w:tcPr>
            <w:tcW w:w="1260" w:type="dxa"/>
            <w:tcBorders>
              <w:top w:val="nil"/>
              <w:left w:val="nil"/>
              <w:bottom w:val="single" w:color="auto" w:sz="4" w:space="0"/>
              <w:right w:val="single" w:color="auto" w:sz="4" w:space="0"/>
            </w:tcBorders>
            <w:vAlign w:val="center"/>
          </w:tcPr>
          <w:p>
            <w:pPr>
              <w:widowControl/>
              <w:jc w:val="center"/>
              <w:rPr>
                <w:kern w:val="0"/>
                <w:sz w:val="24"/>
              </w:rPr>
            </w:pPr>
            <w:r>
              <w:rPr>
                <w:kern w:val="0"/>
                <w:sz w:val="24"/>
              </w:rPr>
              <w:t>√</w:t>
            </w:r>
          </w:p>
        </w:tc>
        <w:tc>
          <w:tcPr>
            <w:tcW w:w="1260" w:type="dxa"/>
            <w:tcBorders>
              <w:top w:val="nil"/>
              <w:left w:val="nil"/>
              <w:bottom w:val="single" w:color="auto" w:sz="4" w:space="0"/>
              <w:right w:val="single" w:color="auto" w:sz="4" w:space="0"/>
            </w:tcBorders>
            <w:vAlign w:val="center"/>
          </w:tcPr>
          <w:p>
            <w:pPr>
              <w:widowControl/>
              <w:jc w:val="center"/>
              <w:rPr>
                <w:kern w:val="0"/>
                <w:sz w:val="24"/>
              </w:rPr>
            </w:pPr>
            <w:r>
              <w:rPr>
                <w:kern w:val="0"/>
                <w:sz w:val="24"/>
              </w:rPr>
              <w:t>√</w:t>
            </w:r>
          </w:p>
        </w:tc>
      </w:tr>
      <w:tr>
        <w:tblPrEx>
          <w:tblCellMar>
            <w:top w:w="0" w:type="dxa"/>
            <w:left w:w="108" w:type="dxa"/>
            <w:bottom w:w="0" w:type="dxa"/>
            <w:right w:w="108" w:type="dxa"/>
          </w:tblCellMar>
        </w:tblPrEx>
        <w:trPr>
          <w:trHeight w:val="470" w:hRule="atLeast"/>
        </w:trPr>
        <w:tc>
          <w:tcPr>
            <w:tcW w:w="1695" w:type="dxa"/>
            <w:tcBorders>
              <w:top w:val="nil"/>
              <w:left w:val="single" w:color="auto" w:sz="4" w:space="0"/>
              <w:bottom w:val="single" w:color="auto" w:sz="4" w:space="0"/>
              <w:right w:val="single" w:color="auto" w:sz="4" w:space="0"/>
            </w:tcBorders>
            <w:vAlign w:val="center"/>
          </w:tcPr>
          <w:p>
            <w:pPr>
              <w:widowControl/>
              <w:jc w:val="center"/>
              <w:rPr>
                <w:kern w:val="0"/>
                <w:sz w:val="24"/>
              </w:rPr>
            </w:pPr>
            <w:r>
              <w:rPr>
                <w:rFonts w:hAnsi="宋体"/>
                <w:kern w:val="0"/>
                <w:sz w:val="24"/>
              </w:rPr>
              <w:t>毕业要求</w:t>
            </w:r>
            <w:r>
              <w:rPr>
                <w:rFonts w:hint="eastAsia"/>
                <w:color w:val="000000"/>
                <w:sz w:val="24"/>
              </w:rPr>
              <w:t>10-1</w:t>
            </w:r>
          </w:p>
        </w:tc>
        <w:tc>
          <w:tcPr>
            <w:tcW w:w="1260" w:type="dxa"/>
            <w:tcBorders>
              <w:top w:val="nil"/>
              <w:left w:val="nil"/>
              <w:bottom w:val="single" w:color="auto" w:sz="4" w:space="0"/>
              <w:right w:val="single" w:color="auto" w:sz="4" w:space="0"/>
            </w:tcBorders>
            <w:vAlign w:val="center"/>
          </w:tcPr>
          <w:p>
            <w:pPr>
              <w:widowControl/>
              <w:jc w:val="center"/>
              <w:rPr>
                <w:kern w:val="0"/>
                <w:sz w:val="24"/>
              </w:rPr>
            </w:pPr>
          </w:p>
        </w:tc>
        <w:tc>
          <w:tcPr>
            <w:tcW w:w="1260" w:type="dxa"/>
            <w:tcBorders>
              <w:top w:val="nil"/>
              <w:left w:val="nil"/>
              <w:bottom w:val="single" w:color="auto" w:sz="4" w:space="0"/>
              <w:right w:val="single" w:color="auto" w:sz="4" w:space="0"/>
            </w:tcBorders>
            <w:vAlign w:val="center"/>
          </w:tcPr>
          <w:p>
            <w:pPr>
              <w:widowControl/>
              <w:jc w:val="center"/>
              <w:rPr>
                <w:kern w:val="0"/>
                <w:sz w:val="24"/>
              </w:rPr>
            </w:pPr>
          </w:p>
        </w:tc>
        <w:tc>
          <w:tcPr>
            <w:tcW w:w="1260" w:type="dxa"/>
            <w:tcBorders>
              <w:top w:val="nil"/>
              <w:left w:val="nil"/>
              <w:bottom w:val="single" w:color="auto" w:sz="4" w:space="0"/>
              <w:right w:val="single" w:color="auto" w:sz="4" w:space="0"/>
            </w:tcBorders>
            <w:vAlign w:val="center"/>
          </w:tcPr>
          <w:p>
            <w:pPr>
              <w:widowControl/>
              <w:jc w:val="center"/>
              <w:rPr>
                <w:kern w:val="0"/>
                <w:sz w:val="24"/>
              </w:rPr>
            </w:pPr>
            <w:r>
              <w:rPr>
                <w:kern w:val="0"/>
                <w:sz w:val="24"/>
              </w:rPr>
              <w:t>√</w:t>
            </w:r>
          </w:p>
        </w:tc>
        <w:tc>
          <w:tcPr>
            <w:tcW w:w="1260" w:type="dxa"/>
            <w:tcBorders>
              <w:top w:val="nil"/>
              <w:left w:val="nil"/>
              <w:bottom w:val="single" w:color="auto" w:sz="4" w:space="0"/>
              <w:right w:val="single" w:color="auto" w:sz="4" w:space="0"/>
            </w:tcBorders>
            <w:vAlign w:val="center"/>
          </w:tcPr>
          <w:p>
            <w:pPr>
              <w:widowControl/>
              <w:jc w:val="center"/>
              <w:rPr>
                <w:kern w:val="0"/>
                <w:sz w:val="24"/>
              </w:rPr>
            </w:pPr>
          </w:p>
        </w:tc>
        <w:tc>
          <w:tcPr>
            <w:tcW w:w="1260" w:type="dxa"/>
            <w:tcBorders>
              <w:top w:val="nil"/>
              <w:left w:val="nil"/>
              <w:bottom w:val="single" w:color="auto" w:sz="4" w:space="0"/>
              <w:right w:val="single" w:color="auto" w:sz="4" w:space="0"/>
            </w:tcBorders>
            <w:vAlign w:val="center"/>
          </w:tcPr>
          <w:p>
            <w:pPr>
              <w:widowControl/>
              <w:jc w:val="center"/>
              <w:rPr>
                <w:kern w:val="0"/>
                <w:sz w:val="24"/>
              </w:rPr>
            </w:pPr>
          </w:p>
        </w:tc>
        <w:tc>
          <w:tcPr>
            <w:tcW w:w="1260" w:type="dxa"/>
            <w:tcBorders>
              <w:top w:val="nil"/>
              <w:left w:val="nil"/>
              <w:bottom w:val="single" w:color="auto" w:sz="4" w:space="0"/>
              <w:right w:val="single" w:color="auto" w:sz="4" w:space="0"/>
            </w:tcBorders>
            <w:vAlign w:val="center"/>
          </w:tcPr>
          <w:p>
            <w:pPr>
              <w:widowControl/>
              <w:jc w:val="center"/>
              <w:rPr>
                <w:kern w:val="0"/>
                <w:sz w:val="24"/>
              </w:rPr>
            </w:pPr>
          </w:p>
        </w:tc>
      </w:tr>
      <w:tr>
        <w:tblPrEx>
          <w:tblCellMar>
            <w:top w:w="0" w:type="dxa"/>
            <w:left w:w="108" w:type="dxa"/>
            <w:bottom w:w="0" w:type="dxa"/>
            <w:right w:w="108" w:type="dxa"/>
          </w:tblCellMar>
        </w:tblPrEx>
        <w:trPr>
          <w:trHeight w:val="470" w:hRule="atLeast"/>
        </w:trPr>
        <w:tc>
          <w:tcPr>
            <w:tcW w:w="1695" w:type="dxa"/>
            <w:tcBorders>
              <w:top w:val="single" w:color="auto" w:sz="4" w:space="0"/>
              <w:left w:val="single" w:color="auto" w:sz="4" w:space="0"/>
              <w:bottom w:val="single" w:color="auto" w:sz="4" w:space="0"/>
              <w:right w:val="single" w:color="auto" w:sz="4" w:space="0"/>
            </w:tcBorders>
            <w:vAlign w:val="center"/>
          </w:tcPr>
          <w:p>
            <w:pPr>
              <w:widowControl/>
              <w:jc w:val="center"/>
              <w:rPr>
                <w:rFonts w:hAnsi="宋体"/>
                <w:kern w:val="0"/>
                <w:sz w:val="24"/>
              </w:rPr>
            </w:pPr>
            <w:r>
              <w:rPr>
                <w:color w:val="000000"/>
                <w:sz w:val="24"/>
              </w:rPr>
              <w:t>毕业要求10</w:t>
            </w:r>
            <w:r>
              <w:rPr>
                <w:rFonts w:hint="eastAsia"/>
                <w:color w:val="000000"/>
                <w:sz w:val="24"/>
              </w:rPr>
              <w:t>-</w:t>
            </w:r>
            <w:r>
              <w:rPr>
                <w:color w:val="000000"/>
                <w:sz w:val="24"/>
              </w:rPr>
              <w:t>2</w:t>
            </w:r>
          </w:p>
        </w:tc>
        <w:tc>
          <w:tcPr>
            <w:tcW w:w="1260" w:type="dxa"/>
            <w:tcBorders>
              <w:top w:val="single" w:color="auto" w:sz="4" w:space="0"/>
              <w:left w:val="nil"/>
              <w:bottom w:val="single" w:color="auto" w:sz="4" w:space="0"/>
              <w:right w:val="single" w:color="auto" w:sz="4" w:space="0"/>
            </w:tcBorders>
            <w:vAlign w:val="center"/>
          </w:tcPr>
          <w:p>
            <w:pPr>
              <w:widowControl/>
              <w:jc w:val="center"/>
              <w:rPr>
                <w:kern w:val="0"/>
                <w:sz w:val="24"/>
              </w:rPr>
            </w:pPr>
            <w:r>
              <w:rPr>
                <w:kern w:val="0"/>
                <w:sz w:val="24"/>
              </w:rPr>
              <w:t>√</w:t>
            </w:r>
          </w:p>
        </w:tc>
        <w:tc>
          <w:tcPr>
            <w:tcW w:w="1260" w:type="dxa"/>
            <w:tcBorders>
              <w:top w:val="single" w:color="auto" w:sz="4" w:space="0"/>
              <w:left w:val="nil"/>
              <w:bottom w:val="single" w:color="auto" w:sz="4" w:space="0"/>
              <w:right w:val="single" w:color="auto" w:sz="4" w:space="0"/>
            </w:tcBorders>
            <w:vAlign w:val="center"/>
          </w:tcPr>
          <w:p>
            <w:pPr>
              <w:widowControl/>
              <w:jc w:val="center"/>
              <w:rPr>
                <w:kern w:val="0"/>
                <w:sz w:val="24"/>
              </w:rPr>
            </w:pPr>
            <w:r>
              <w:rPr>
                <w:kern w:val="0"/>
                <w:sz w:val="24"/>
              </w:rPr>
              <w:t>√</w:t>
            </w:r>
          </w:p>
        </w:tc>
        <w:tc>
          <w:tcPr>
            <w:tcW w:w="1260" w:type="dxa"/>
            <w:tcBorders>
              <w:top w:val="single" w:color="auto" w:sz="4" w:space="0"/>
              <w:left w:val="nil"/>
              <w:bottom w:val="single" w:color="auto" w:sz="4" w:space="0"/>
              <w:right w:val="single" w:color="auto" w:sz="4" w:space="0"/>
            </w:tcBorders>
            <w:vAlign w:val="center"/>
          </w:tcPr>
          <w:p>
            <w:pPr>
              <w:widowControl/>
              <w:jc w:val="center"/>
              <w:rPr>
                <w:kern w:val="0"/>
                <w:sz w:val="24"/>
              </w:rPr>
            </w:pPr>
          </w:p>
        </w:tc>
        <w:tc>
          <w:tcPr>
            <w:tcW w:w="1260" w:type="dxa"/>
            <w:tcBorders>
              <w:top w:val="single" w:color="auto" w:sz="4" w:space="0"/>
              <w:left w:val="nil"/>
              <w:bottom w:val="single" w:color="auto" w:sz="4" w:space="0"/>
              <w:right w:val="single" w:color="auto" w:sz="4" w:space="0"/>
            </w:tcBorders>
            <w:vAlign w:val="center"/>
          </w:tcPr>
          <w:p>
            <w:pPr>
              <w:widowControl/>
              <w:jc w:val="center"/>
              <w:rPr>
                <w:kern w:val="0"/>
                <w:sz w:val="24"/>
              </w:rPr>
            </w:pPr>
            <w:r>
              <w:rPr>
                <w:kern w:val="0"/>
                <w:sz w:val="24"/>
              </w:rPr>
              <w:t>√</w:t>
            </w:r>
          </w:p>
        </w:tc>
        <w:tc>
          <w:tcPr>
            <w:tcW w:w="1260" w:type="dxa"/>
            <w:tcBorders>
              <w:top w:val="single" w:color="auto" w:sz="4" w:space="0"/>
              <w:left w:val="nil"/>
              <w:bottom w:val="single" w:color="auto" w:sz="4" w:space="0"/>
              <w:right w:val="single" w:color="auto" w:sz="4" w:space="0"/>
            </w:tcBorders>
            <w:vAlign w:val="center"/>
          </w:tcPr>
          <w:p>
            <w:pPr>
              <w:widowControl/>
              <w:jc w:val="center"/>
              <w:rPr>
                <w:kern w:val="0"/>
                <w:sz w:val="24"/>
              </w:rPr>
            </w:pPr>
            <w:r>
              <w:rPr>
                <w:kern w:val="0"/>
                <w:sz w:val="24"/>
              </w:rPr>
              <w:t>√</w:t>
            </w:r>
          </w:p>
        </w:tc>
        <w:tc>
          <w:tcPr>
            <w:tcW w:w="1260" w:type="dxa"/>
            <w:tcBorders>
              <w:top w:val="single" w:color="auto" w:sz="4" w:space="0"/>
              <w:left w:val="nil"/>
              <w:bottom w:val="single" w:color="auto" w:sz="4" w:space="0"/>
              <w:right w:val="single" w:color="auto" w:sz="4" w:space="0"/>
            </w:tcBorders>
            <w:vAlign w:val="center"/>
          </w:tcPr>
          <w:p>
            <w:pPr>
              <w:widowControl/>
              <w:jc w:val="center"/>
              <w:rPr>
                <w:kern w:val="0"/>
                <w:sz w:val="24"/>
              </w:rPr>
            </w:pPr>
          </w:p>
        </w:tc>
      </w:tr>
    </w:tbl>
    <w:p>
      <w:pPr>
        <w:spacing w:line="360" w:lineRule="auto"/>
        <w:ind w:firstLine="562" w:firstLineChars="200"/>
        <w:rPr>
          <w:sz w:val="24"/>
        </w:rPr>
      </w:pPr>
      <w:r>
        <w:rPr>
          <w:rFonts w:hint="eastAsia"/>
          <w:b/>
          <w:sz w:val="28"/>
          <w:szCs w:val="28"/>
        </w:rPr>
        <w:t>三</w:t>
      </w:r>
      <w:r>
        <w:rPr>
          <w:b/>
          <w:sz w:val="28"/>
          <w:szCs w:val="28"/>
        </w:rPr>
        <w:t>、课程内容及要求</w:t>
      </w:r>
    </w:p>
    <w:p>
      <w:pPr>
        <w:spacing w:line="360" w:lineRule="auto"/>
        <w:ind w:firstLine="480" w:firstLineChars="200"/>
        <w:rPr>
          <w:sz w:val="24"/>
        </w:rPr>
      </w:pPr>
      <w:r>
        <w:rPr>
          <w:rFonts w:hint="eastAsia"/>
          <w:sz w:val="24"/>
        </w:rPr>
        <w:t>第一章 绪论</w:t>
      </w:r>
    </w:p>
    <w:p>
      <w:pPr>
        <w:spacing w:line="360" w:lineRule="auto"/>
        <w:ind w:firstLine="480" w:firstLineChars="200"/>
        <w:rPr>
          <w:sz w:val="24"/>
        </w:rPr>
      </w:pPr>
      <w:r>
        <w:rPr>
          <w:rFonts w:hint="eastAsia"/>
          <w:sz w:val="24"/>
        </w:rPr>
        <w:t>1、教学内容</w:t>
      </w:r>
    </w:p>
    <w:p>
      <w:pPr>
        <w:numPr>
          <w:ilvl w:val="0"/>
          <w:numId w:val="10"/>
        </w:numPr>
        <w:spacing w:line="360" w:lineRule="auto"/>
        <w:rPr>
          <w:sz w:val="24"/>
        </w:rPr>
      </w:pPr>
      <w:r>
        <w:rPr>
          <w:rFonts w:hint="eastAsia"/>
          <w:sz w:val="24"/>
        </w:rPr>
        <w:t>科技文献检索的意义</w:t>
      </w:r>
    </w:p>
    <w:p>
      <w:pPr>
        <w:numPr>
          <w:ilvl w:val="0"/>
          <w:numId w:val="10"/>
        </w:numPr>
        <w:spacing w:line="360" w:lineRule="auto"/>
        <w:rPr>
          <w:sz w:val="24"/>
        </w:rPr>
      </w:pPr>
      <w:r>
        <w:rPr>
          <w:rFonts w:hint="eastAsia"/>
          <w:sz w:val="24"/>
        </w:rPr>
        <w:t>信息、知识、情报、文献的基本概念</w:t>
      </w:r>
    </w:p>
    <w:p>
      <w:pPr>
        <w:numPr>
          <w:ilvl w:val="0"/>
          <w:numId w:val="10"/>
        </w:numPr>
        <w:spacing w:line="360" w:lineRule="auto"/>
        <w:rPr>
          <w:sz w:val="24"/>
        </w:rPr>
      </w:pPr>
      <w:r>
        <w:rPr>
          <w:rFonts w:hint="eastAsia"/>
          <w:sz w:val="24"/>
        </w:rPr>
        <w:t>科技文献的类型和特点</w:t>
      </w:r>
    </w:p>
    <w:p>
      <w:pPr>
        <w:spacing w:line="360" w:lineRule="auto"/>
        <w:ind w:left="480"/>
        <w:rPr>
          <w:sz w:val="24"/>
        </w:rPr>
      </w:pPr>
      <w:r>
        <w:rPr>
          <w:rFonts w:hint="eastAsia"/>
          <w:sz w:val="24"/>
        </w:rPr>
        <w:t>2、基本要求</w:t>
      </w:r>
    </w:p>
    <w:p>
      <w:pPr>
        <w:spacing w:line="360" w:lineRule="auto"/>
        <w:ind w:left="480"/>
        <w:rPr>
          <w:sz w:val="24"/>
        </w:rPr>
      </w:pPr>
      <w:r>
        <w:rPr>
          <w:rFonts w:hint="eastAsia"/>
          <w:sz w:val="24"/>
        </w:rPr>
        <w:t>（1）掌握文献与信息、知识、情报的区别和联系</w:t>
      </w:r>
    </w:p>
    <w:p>
      <w:pPr>
        <w:spacing w:line="360" w:lineRule="auto"/>
        <w:ind w:left="480"/>
        <w:rPr>
          <w:sz w:val="24"/>
        </w:rPr>
      </w:pPr>
      <w:r>
        <w:rPr>
          <w:rFonts w:hint="eastAsia"/>
          <w:sz w:val="24"/>
        </w:rPr>
        <w:t>（2）熟悉科技文献的类型和特点</w:t>
      </w:r>
    </w:p>
    <w:p>
      <w:pPr>
        <w:spacing w:line="360" w:lineRule="auto"/>
        <w:ind w:left="480"/>
        <w:rPr>
          <w:sz w:val="24"/>
        </w:rPr>
      </w:pPr>
      <w:r>
        <w:rPr>
          <w:rFonts w:hint="eastAsia"/>
          <w:sz w:val="24"/>
        </w:rPr>
        <w:t>（3）了解科技文献检索的意义</w:t>
      </w:r>
    </w:p>
    <w:p>
      <w:pPr>
        <w:spacing w:line="360" w:lineRule="auto"/>
        <w:ind w:left="480"/>
        <w:rPr>
          <w:sz w:val="24"/>
        </w:rPr>
      </w:pPr>
      <w:r>
        <w:rPr>
          <w:rFonts w:hint="eastAsia"/>
          <w:sz w:val="24"/>
        </w:rPr>
        <w:t>3、重点、难点</w:t>
      </w:r>
    </w:p>
    <w:p>
      <w:pPr>
        <w:spacing w:line="360" w:lineRule="auto"/>
        <w:ind w:left="482" w:firstLine="480" w:firstLineChars="200"/>
        <w:rPr>
          <w:rFonts w:hint="eastAsia"/>
          <w:sz w:val="24"/>
        </w:rPr>
      </w:pPr>
      <w:r>
        <w:rPr>
          <w:rFonts w:hint="eastAsia"/>
          <w:sz w:val="24"/>
        </w:rPr>
        <w:t>信息和知识的区别和联系</w:t>
      </w:r>
    </w:p>
    <w:p>
      <w:pPr>
        <w:spacing w:line="360" w:lineRule="auto"/>
        <w:ind w:firstLine="480" w:firstLineChars="200"/>
        <w:rPr>
          <w:sz w:val="24"/>
        </w:rPr>
      </w:pPr>
      <w:r>
        <w:rPr>
          <w:rFonts w:hint="eastAsia"/>
          <w:sz w:val="24"/>
        </w:rPr>
        <w:t>第二章 科技文献检索基础知识</w:t>
      </w:r>
    </w:p>
    <w:p>
      <w:pPr>
        <w:spacing w:line="360" w:lineRule="auto"/>
        <w:ind w:firstLine="480" w:firstLineChars="200"/>
        <w:rPr>
          <w:sz w:val="24"/>
        </w:rPr>
      </w:pPr>
      <w:r>
        <w:rPr>
          <w:rFonts w:hint="eastAsia"/>
          <w:sz w:val="24"/>
        </w:rPr>
        <w:t>1、教学内容</w:t>
      </w:r>
    </w:p>
    <w:p>
      <w:pPr>
        <w:spacing w:line="360" w:lineRule="auto"/>
        <w:ind w:firstLine="480" w:firstLineChars="200"/>
        <w:rPr>
          <w:sz w:val="24"/>
        </w:rPr>
      </w:pPr>
      <w:r>
        <w:rPr>
          <w:rFonts w:hint="eastAsia"/>
          <w:sz w:val="24"/>
        </w:rPr>
        <w:t>（1）科技文献检索原理</w:t>
      </w:r>
    </w:p>
    <w:p>
      <w:pPr>
        <w:spacing w:line="360" w:lineRule="auto"/>
        <w:ind w:firstLine="480" w:firstLineChars="200"/>
        <w:rPr>
          <w:sz w:val="24"/>
        </w:rPr>
      </w:pPr>
      <w:r>
        <w:rPr>
          <w:rFonts w:hint="eastAsia"/>
          <w:sz w:val="24"/>
        </w:rPr>
        <w:t>（2）检索系统</w:t>
      </w:r>
    </w:p>
    <w:p>
      <w:pPr>
        <w:spacing w:line="360" w:lineRule="auto"/>
        <w:ind w:firstLine="480" w:firstLineChars="200"/>
        <w:rPr>
          <w:sz w:val="24"/>
        </w:rPr>
      </w:pPr>
      <w:r>
        <w:rPr>
          <w:rFonts w:hint="eastAsia"/>
          <w:sz w:val="24"/>
        </w:rPr>
        <w:t>（3）检索语言</w:t>
      </w:r>
    </w:p>
    <w:p>
      <w:pPr>
        <w:spacing w:line="360" w:lineRule="auto"/>
        <w:ind w:firstLine="480" w:firstLineChars="200"/>
        <w:rPr>
          <w:sz w:val="24"/>
        </w:rPr>
      </w:pPr>
      <w:r>
        <w:rPr>
          <w:rFonts w:hint="eastAsia"/>
          <w:sz w:val="24"/>
        </w:rPr>
        <w:t>（4）检索技术</w:t>
      </w:r>
    </w:p>
    <w:p>
      <w:pPr>
        <w:spacing w:line="360" w:lineRule="auto"/>
        <w:ind w:firstLine="480" w:firstLineChars="200"/>
        <w:rPr>
          <w:sz w:val="24"/>
        </w:rPr>
      </w:pPr>
      <w:r>
        <w:rPr>
          <w:rFonts w:hint="eastAsia"/>
          <w:sz w:val="24"/>
        </w:rPr>
        <w:t>（5）文献检索的基本步骤</w:t>
      </w:r>
    </w:p>
    <w:p>
      <w:pPr>
        <w:spacing w:line="360" w:lineRule="auto"/>
        <w:ind w:firstLine="480" w:firstLineChars="200"/>
        <w:rPr>
          <w:sz w:val="24"/>
        </w:rPr>
      </w:pPr>
      <w:r>
        <w:rPr>
          <w:rFonts w:hint="eastAsia"/>
          <w:sz w:val="24"/>
        </w:rPr>
        <w:t>（6）文献检索结果评价</w:t>
      </w:r>
    </w:p>
    <w:p>
      <w:pPr>
        <w:spacing w:line="360" w:lineRule="auto"/>
        <w:ind w:firstLine="480" w:firstLineChars="200"/>
        <w:rPr>
          <w:sz w:val="24"/>
        </w:rPr>
      </w:pPr>
      <w:r>
        <w:rPr>
          <w:rFonts w:hint="eastAsia"/>
          <w:sz w:val="24"/>
        </w:rPr>
        <w:t>2、基本要求</w:t>
      </w:r>
    </w:p>
    <w:p>
      <w:pPr>
        <w:spacing w:line="360" w:lineRule="auto"/>
        <w:ind w:firstLine="480" w:firstLineChars="200"/>
        <w:rPr>
          <w:rFonts w:hint="eastAsia"/>
          <w:sz w:val="24"/>
        </w:rPr>
      </w:pPr>
      <w:r>
        <w:rPr>
          <w:rFonts w:hint="eastAsia"/>
          <w:sz w:val="24"/>
        </w:rPr>
        <w:t>（1）掌握检索系统的各种检索语言、文献检索技术</w:t>
      </w:r>
    </w:p>
    <w:p>
      <w:pPr>
        <w:spacing w:line="360" w:lineRule="auto"/>
        <w:ind w:firstLine="480" w:firstLineChars="200"/>
        <w:rPr>
          <w:sz w:val="24"/>
        </w:rPr>
      </w:pPr>
      <w:r>
        <w:rPr>
          <w:rFonts w:hint="eastAsia"/>
          <w:sz w:val="24"/>
        </w:rPr>
        <w:t>（2）熟悉文献检索原理、文献检索的基本步骤</w:t>
      </w:r>
    </w:p>
    <w:p>
      <w:pPr>
        <w:spacing w:line="360" w:lineRule="auto"/>
        <w:ind w:firstLine="480" w:firstLineChars="200"/>
        <w:rPr>
          <w:sz w:val="24"/>
        </w:rPr>
      </w:pPr>
      <w:r>
        <w:rPr>
          <w:rFonts w:hint="eastAsia"/>
          <w:sz w:val="24"/>
        </w:rPr>
        <w:t>（3）了解检索系统、检索语言、检索技术等术语的概念</w:t>
      </w:r>
    </w:p>
    <w:p>
      <w:pPr>
        <w:spacing w:line="360" w:lineRule="auto"/>
        <w:ind w:firstLine="480" w:firstLineChars="200"/>
        <w:rPr>
          <w:sz w:val="24"/>
        </w:rPr>
      </w:pPr>
      <w:r>
        <w:rPr>
          <w:rFonts w:hint="eastAsia"/>
          <w:sz w:val="24"/>
        </w:rPr>
        <w:t>3、重点、难点</w:t>
      </w:r>
    </w:p>
    <w:p>
      <w:pPr>
        <w:spacing w:line="360" w:lineRule="auto"/>
        <w:ind w:firstLine="480" w:firstLineChars="200"/>
        <w:rPr>
          <w:sz w:val="24"/>
        </w:rPr>
      </w:pPr>
      <w:r>
        <w:rPr>
          <w:rFonts w:hint="eastAsia"/>
          <w:sz w:val="24"/>
        </w:rPr>
        <w:t>学会使用常用的计算机检索技术，如布尔检索、截词检索、邻近检索、字段限定检索技术</w:t>
      </w:r>
    </w:p>
    <w:p>
      <w:pPr>
        <w:spacing w:line="360" w:lineRule="auto"/>
        <w:ind w:firstLine="480" w:firstLineChars="200"/>
        <w:rPr>
          <w:sz w:val="24"/>
        </w:rPr>
      </w:pPr>
      <w:r>
        <w:rPr>
          <w:rFonts w:hint="eastAsia"/>
          <w:sz w:val="24"/>
        </w:rPr>
        <w:t>第三章 中文图书、期刊及其检索</w:t>
      </w:r>
    </w:p>
    <w:p>
      <w:pPr>
        <w:spacing w:line="360" w:lineRule="auto"/>
        <w:ind w:firstLine="480" w:firstLineChars="200"/>
        <w:rPr>
          <w:sz w:val="24"/>
        </w:rPr>
      </w:pPr>
      <w:r>
        <w:rPr>
          <w:rFonts w:hint="eastAsia"/>
          <w:sz w:val="24"/>
        </w:rPr>
        <w:t>1、教学内容</w:t>
      </w:r>
    </w:p>
    <w:p>
      <w:pPr>
        <w:spacing w:line="360" w:lineRule="auto"/>
        <w:ind w:firstLine="480" w:firstLineChars="200"/>
        <w:rPr>
          <w:sz w:val="24"/>
        </w:rPr>
      </w:pPr>
      <w:r>
        <w:rPr>
          <w:rFonts w:hint="eastAsia"/>
          <w:sz w:val="24"/>
        </w:rPr>
        <w:t>（1）书目检索系统</w:t>
      </w:r>
    </w:p>
    <w:p>
      <w:pPr>
        <w:spacing w:line="360" w:lineRule="auto"/>
        <w:ind w:firstLine="480" w:firstLineChars="200"/>
        <w:rPr>
          <w:sz w:val="24"/>
        </w:rPr>
      </w:pPr>
      <w:r>
        <w:rPr>
          <w:rFonts w:hint="eastAsia"/>
          <w:sz w:val="24"/>
        </w:rPr>
        <w:t>（2）维普中文科技期刊数据库</w:t>
      </w:r>
    </w:p>
    <w:p>
      <w:pPr>
        <w:spacing w:line="360" w:lineRule="auto"/>
        <w:ind w:firstLine="480" w:firstLineChars="200"/>
        <w:rPr>
          <w:sz w:val="24"/>
        </w:rPr>
      </w:pPr>
      <w:r>
        <w:rPr>
          <w:rFonts w:hint="eastAsia"/>
          <w:sz w:val="24"/>
        </w:rPr>
        <w:t>（3）中国知网学术期刊数据库</w:t>
      </w:r>
    </w:p>
    <w:p>
      <w:pPr>
        <w:spacing w:line="360" w:lineRule="auto"/>
        <w:ind w:firstLine="480" w:firstLineChars="200"/>
        <w:rPr>
          <w:sz w:val="24"/>
        </w:rPr>
      </w:pPr>
      <w:r>
        <w:rPr>
          <w:rFonts w:hint="eastAsia"/>
          <w:sz w:val="24"/>
        </w:rPr>
        <w:t>（4）万方数据库</w:t>
      </w:r>
    </w:p>
    <w:p>
      <w:pPr>
        <w:spacing w:line="360" w:lineRule="auto"/>
        <w:ind w:firstLine="480" w:firstLineChars="200"/>
        <w:rPr>
          <w:sz w:val="24"/>
        </w:rPr>
      </w:pPr>
      <w:r>
        <w:rPr>
          <w:rFonts w:hint="eastAsia"/>
          <w:sz w:val="24"/>
        </w:rPr>
        <w:t>2、基本要求</w:t>
      </w:r>
    </w:p>
    <w:p>
      <w:pPr>
        <w:spacing w:line="360" w:lineRule="auto"/>
        <w:ind w:firstLine="480" w:firstLineChars="200"/>
        <w:rPr>
          <w:sz w:val="24"/>
        </w:rPr>
      </w:pPr>
      <w:r>
        <w:rPr>
          <w:rFonts w:hint="eastAsia"/>
          <w:sz w:val="24"/>
        </w:rPr>
        <w:t>（1）掌握维普、知网、万方数据库的检索原理，能熟练使用基本检索、主题词检索及辅助检索等功能，能运用数据库检索相关文献并下载全文。</w:t>
      </w:r>
    </w:p>
    <w:p>
      <w:pPr>
        <w:spacing w:line="360" w:lineRule="auto"/>
        <w:ind w:firstLine="480" w:firstLineChars="200"/>
        <w:rPr>
          <w:sz w:val="24"/>
        </w:rPr>
      </w:pPr>
      <w:r>
        <w:rPr>
          <w:rFonts w:hint="eastAsia"/>
          <w:sz w:val="24"/>
        </w:rPr>
        <w:t>（2）熟悉常用中文数据库的检索界面和资源情况。</w:t>
      </w:r>
    </w:p>
    <w:p>
      <w:pPr>
        <w:spacing w:line="360" w:lineRule="auto"/>
        <w:ind w:firstLine="480" w:firstLineChars="200"/>
        <w:rPr>
          <w:sz w:val="24"/>
        </w:rPr>
      </w:pPr>
      <w:r>
        <w:rPr>
          <w:rFonts w:hint="eastAsia"/>
          <w:sz w:val="24"/>
        </w:rPr>
        <w:t>（3）了解各种数据库的简介、数据库结构及特色。</w:t>
      </w:r>
    </w:p>
    <w:p>
      <w:pPr>
        <w:spacing w:line="360" w:lineRule="auto"/>
        <w:ind w:firstLine="480" w:firstLineChars="200"/>
        <w:rPr>
          <w:sz w:val="24"/>
        </w:rPr>
      </w:pPr>
      <w:r>
        <w:rPr>
          <w:rFonts w:hint="eastAsia"/>
          <w:sz w:val="24"/>
        </w:rPr>
        <w:t>3、重点、难点</w:t>
      </w:r>
    </w:p>
    <w:p>
      <w:pPr>
        <w:spacing w:line="360" w:lineRule="auto"/>
        <w:ind w:firstLine="480" w:firstLineChars="200"/>
        <w:rPr>
          <w:sz w:val="24"/>
        </w:rPr>
      </w:pPr>
      <w:r>
        <w:rPr>
          <w:rFonts w:hint="eastAsia"/>
          <w:sz w:val="24"/>
        </w:rPr>
        <w:t>（1）重点：中国知网资源总库、万方数据资源系统、维普系统等各数据库的检索方法。安排上机实验操作，结合实际给学生留作业，让学生亲自动手练习各数据库的检索方法。</w:t>
      </w:r>
    </w:p>
    <w:p>
      <w:pPr>
        <w:spacing w:line="360" w:lineRule="auto"/>
        <w:ind w:firstLine="480" w:firstLineChars="200"/>
        <w:rPr>
          <w:rFonts w:hint="eastAsia"/>
          <w:sz w:val="24"/>
        </w:rPr>
      </w:pPr>
      <w:r>
        <w:rPr>
          <w:rFonts w:hint="eastAsia"/>
          <w:sz w:val="24"/>
        </w:rPr>
        <w:t>（2）难点：各数据库的高级检索功能的应用。</w:t>
      </w:r>
    </w:p>
    <w:p>
      <w:pPr>
        <w:spacing w:line="360" w:lineRule="auto"/>
        <w:ind w:firstLine="480" w:firstLineChars="200"/>
        <w:rPr>
          <w:sz w:val="24"/>
        </w:rPr>
      </w:pPr>
      <w:r>
        <w:rPr>
          <w:rFonts w:hint="eastAsia"/>
          <w:sz w:val="24"/>
        </w:rPr>
        <w:t>第四章 外文图书期刊全文数据库</w:t>
      </w:r>
    </w:p>
    <w:p>
      <w:pPr>
        <w:spacing w:line="360" w:lineRule="auto"/>
        <w:ind w:firstLine="480" w:firstLineChars="200"/>
        <w:rPr>
          <w:sz w:val="24"/>
        </w:rPr>
      </w:pPr>
      <w:r>
        <w:rPr>
          <w:rFonts w:hint="eastAsia"/>
          <w:sz w:val="24"/>
        </w:rPr>
        <w:t>1、教学内容</w:t>
      </w:r>
    </w:p>
    <w:p>
      <w:pPr>
        <w:spacing w:line="360" w:lineRule="auto"/>
        <w:ind w:firstLine="480" w:firstLineChars="200"/>
        <w:rPr>
          <w:sz w:val="24"/>
        </w:rPr>
      </w:pPr>
      <w:r>
        <w:rPr>
          <w:rFonts w:hint="eastAsia"/>
          <w:sz w:val="24"/>
        </w:rPr>
        <w:t>（1）概述</w:t>
      </w:r>
    </w:p>
    <w:p>
      <w:pPr>
        <w:spacing w:line="360" w:lineRule="auto"/>
        <w:ind w:firstLine="480" w:firstLineChars="200"/>
        <w:rPr>
          <w:sz w:val="24"/>
        </w:rPr>
      </w:pPr>
      <w:r>
        <w:rPr>
          <w:rFonts w:hint="eastAsia"/>
          <w:sz w:val="24"/>
        </w:rPr>
        <w:t>（2）E</w:t>
      </w:r>
      <w:r>
        <w:rPr>
          <w:sz w:val="24"/>
        </w:rPr>
        <w:t>lsevier</w:t>
      </w:r>
    </w:p>
    <w:p>
      <w:pPr>
        <w:spacing w:line="360" w:lineRule="auto"/>
        <w:ind w:firstLine="480" w:firstLineChars="200"/>
        <w:rPr>
          <w:sz w:val="24"/>
        </w:rPr>
      </w:pPr>
      <w:r>
        <w:rPr>
          <w:rFonts w:hint="eastAsia"/>
          <w:sz w:val="24"/>
        </w:rPr>
        <w:t>（3）S</w:t>
      </w:r>
      <w:r>
        <w:rPr>
          <w:sz w:val="24"/>
        </w:rPr>
        <w:t>pringer</w:t>
      </w:r>
    </w:p>
    <w:p>
      <w:pPr>
        <w:spacing w:line="360" w:lineRule="auto"/>
        <w:ind w:firstLine="480" w:firstLineChars="200"/>
        <w:rPr>
          <w:sz w:val="24"/>
        </w:rPr>
      </w:pPr>
      <w:r>
        <w:rPr>
          <w:rFonts w:hint="eastAsia"/>
          <w:sz w:val="24"/>
        </w:rPr>
        <w:t>（4）Fr</w:t>
      </w:r>
      <w:r>
        <w:rPr>
          <w:sz w:val="24"/>
        </w:rPr>
        <w:t>ontiors in China</w:t>
      </w:r>
    </w:p>
    <w:p>
      <w:pPr>
        <w:spacing w:line="360" w:lineRule="auto"/>
        <w:ind w:firstLine="480" w:firstLineChars="200"/>
        <w:rPr>
          <w:sz w:val="24"/>
        </w:rPr>
      </w:pPr>
      <w:r>
        <w:rPr>
          <w:rFonts w:hint="eastAsia"/>
          <w:sz w:val="24"/>
        </w:rPr>
        <w:t>（5）EB</w:t>
      </w:r>
      <w:r>
        <w:rPr>
          <w:sz w:val="24"/>
        </w:rPr>
        <w:t>SCOhost</w:t>
      </w:r>
    </w:p>
    <w:p>
      <w:pPr>
        <w:spacing w:line="360" w:lineRule="auto"/>
        <w:ind w:firstLine="480" w:firstLineChars="200"/>
        <w:rPr>
          <w:sz w:val="24"/>
        </w:rPr>
      </w:pPr>
      <w:r>
        <w:rPr>
          <w:rFonts w:hint="eastAsia"/>
          <w:sz w:val="24"/>
        </w:rPr>
        <w:t>2、基本要求</w:t>
      </w:r>
    </w:p>
    <w:p>
      <w:pPr>
        <w:spacing w:line="360" w:lineRule="auto"/>
        <w:ind w:firstLine="480" w:firstLineChars="200"/>
        <w:rPr>
          <w:sz w:val="24"/>
        </w:rPr>
      </w:pPr>
      <w:r>
        <w:rPr>
          <w:sz w:val="24"/>
        </w:rPr>
        <w:t>（</w:t>
      </w:r>
      <w:r>
        <w:rPr>
          <w:rFonts w:hint="eastAsia"/>
          <w:sz w:val="24"/>
        </w:rPr>
        <w:t>1）掌握各种外文期刊全文数据库的检索方法。</w:t>
      </w:r>
    </w:p>
    <w:p>
      <w:pPr>
        <w:spacing w:line="360" w:lineRule="auto"/>
        <w:ind w:firstLine="480" w:firstLineChars="200"/>
        <w:rPr>
          <w:sz w:val="24"/>
        </w:rPr>
      </w:pPr>
      <w:r>
        <w:rPr>
          <w:sz w:val="24"/>
        </w:rPr>
        <w:t>（</w:t>
      </w:r>
      <w:r>
        <w:rPr>
          <w:rFonts w:hint="eastAsia"/>
          <w:sz w:val="24"/>
        </w:rPr>
        <w:t>2）熟悉各种数据库的快速检索、高级检索等功能。</w:t>
      </w:r>
    </w:p>
    <w:p>
      <w:pPr>
        <w:spacing w:line="360" w:lineRule="auto"/>
        <w:ind w:firstLine="480" w:firstLineChars="200"/>
        <w:rPr>
          <w:sz w:val="24"/>
        </w:rPr>
      </w:pPr>
      <w:r>
        <w:rPr>
          <w:rFonts w:hint="eastAsia"/>
          <w:sz w:val="24"/>
        </w:rPr>
        <w:t>（3）了解各种外文图书期刊全文数据库的个性化服务及特色服务。</w:t>
      </w:r>
    </w:p>
    <w:p>
      <w:pPr>
        <w:spacing w:line="360" w:lineRule="auto"/>
        <w:ind w:firstLine="480" w:firstLineChars="200"/>
        <w:rPr>
          <w:sz w:val="24"/>
        </w:rPr>
      </w:pPr>
      <w:r>
        <w:rPr>
          <w:rFonts w:hint="eastAsia"/>
          <w:sz w:val="24"/>
        </w:rPr>
        <w:t>3、重点、难点</w:t>
      </w:r>
    </w:p>
    <w:p>
      <w:pPr>
        <w:spacing w:line="360" w:lineRule="auto"/>
        <w:ind w:firstLine="480" w:firstLineChars="200"/>
        <w:rPr>
          <w:rFonts w:hint="eastAsia"/>
          <w:sz w:val="24"/>
        </w:rPr>
      </w:pPr>
      <w:r>
        <w:rPr>
          <w:rFonts w:hint="eastAsia"/>
          <w:sz w:val="24"/>
        </w:rPr>
        <w:t>如何运用快速检索、高级检索等功能检索及下载各种外文图书期刊全文数据库。</w:t>
      </w:r>
    </w:p>
    <w:p>
      <w:pPr>
        <w:spacing w:line="360" w:lineRule="auto"/>
        <w:ind w:firstLine="480" w:firstLineChars="200"/>
        <w:rPr>
          <w:sz w:val="24"/>
        </w:rPr>
      </w:pPr>
      <w:r>
        <w:rPr>
          <w:rFonts w:hint="eastAsia"/>
          <w:sz w:val="24"/>
        </w:rPr>
        <w:t>第五章 搜索引擎与开放获取</w:t>
      </w:r>
    </w:p>
    <w:p>
      <w:pPr>
        <w:spacing w:line="360" w:lineRule="auto"/>
        <w:ind w:firstLine="480" w:firstLineChars="200"/>
        <w:rPr>
          <w:sz w:val="24"/>
        </w:rPr>
      </w:pPr>
      <w:r>
        <w:rPr>
          <w:rFonts w:hint="eastAsia"/>
          <w:sz w:val="24"/>
        </w:rPr>
        <w:t>1、教学内容</w:t>
      </w:r>
    </w:p>
    <w:p>
      <w:pPr>
        <w:spacing w:line="360" w:lineRule="auto"/>
        <w:ind w:firstLine="480" w:firstLineChars="200"/>
        <w:rPr>
          <w:sz w:val="24"/>
        </w:rPr>
      </w:pPr>
      <w:r>
        <w:rPr>
          <w:rFonts w:hint="eastAsia"/>
          <w:sz w:val="24"/>
        </w:rPr>
        <w:t>（1）互联网搜索引擎概述</w:t>
      </w:r>
    </w:p>
    <w:p>
      <w:pPr>
        <w:spacing w:line="360" w:lineRule="auto"/>
        <w:ind w:firstLine="480" w:firstLineChars="200"/>
        <w:rPr>
          <w:sz w:val="24"/>
        </w:rPr>
      </w:pPr>
      <w:r>
        <w:rPr>
          <w:rFonts w:hint="eastAsia"/>
          <w:sz w:val="24"/>
        </w:rPr>
        <w:t>（2）学术资源的开放获取</w:t>
      </w:r>
    </w:p>
    <w:p>
      <w:pPr>
        <w:spacing w:line="360" w:lineRule="auto"/>
        <w:ind w:firstLine="480" w:firstLineChars="200"/>
        <w:rPr>
          <w:sz w:val="24"/>
        </w:rPr>
      </w:pPr>
      <w:r>
        <w:rPr>
          <w:rFonts w:hint="eastAsia"/>
          <w:sz w:val="24"/>
        </w:rPr>
        <w:t>2、基本要求</w:t>
      </w:r>
    </w:p>
    <w:p>
      <w:pPr>
        <w:spacing w:line="360" w:lineRule="auto"/>
        <w:ind w:firstLine="480" w:firstLineChars="200"/>
        <w:rPr>
          <w:sz w:val="24"/>
        </w:rPr>
      </w:pPr>
      <w:r>
        <w:rPr>
          <w:rFonts w:hint="eastAsia"/>
          <w:sz w:val="24"/>
        </w:rPr>
        <w:t>（1）掌握搜索引擎的工作原理与检索功能</w:t>
      </w:r>
    </w:p>
    <w:p>
      <w:pPr>
        <w:spacing w:line="360" w:lineRule="auto"/>
        <w:ind w:firstLine="480" w:firstLineChars="200"/>
        <w:rPr>
          <w:sz w:val="24"/>
        </w:rPr>
      </w:pPr>
      <w:r>
        <w:rPr>
          <w:rFonts w:hint="eastAsia"/>
          <w:sz w:val="24"/>
        </w:rPr>
        <w:t>（2）熟悉百度、谷歌等搜索引擎的检索方法</w:t>
      </w:r>
    </w:p>
    <w:p>
      <w:pPr>
        <w:spacing w:line="360" w:lineRule="auto"/>
        <w:ind w:firstLine="480" w:firstLineChars="200"/>
        <w:rPr>
          <w:sz w:val="24"/>
        </w:rPr>
      </w:pPr>
      <w:r>
        <w:rPr>
          <w:rFonts w:hint="eastAsia"/>
          <w:sz w:val="24"/>
        </w:rPr>
        <w:t>（3）了解搜索引擎的起源和类型、重要学科门户网站，网上免费学术资源利用</w:t>
      </w:r>
    </w:p>
    <w:p>
      <w:pPr>
        <w:spacing w:line="360" w:lineRule="auto"/>
        <w:ind w:firstLine="480" w:firstLineChars="200"/>
        <w:rPr>
          <w:sz w:val="24"/>
        </w:rPr>
      </w:pPr>
      <w:r>
        <w:rPr>
          <w:rFonts w:hint="eastAsia"/>
          <w:sz w:val="24"/>
        </w:rPr>
        <w:t>3、重点、难点</w:t>
      </w:r>
    </w:p>
    <w:p>
      <w:pPr>
        <w:spacing w:line="360" w:lineRule="auto"/>
        <w:ind w:firstLine="480" w:firstLineChars="200"/>
        <w:rPr>
          <w:rFonts w:hint="eastAsia"/>
          <w:sz w:val="24"/>
        </w:rPr>
      </w:pPr>
      <w:r>
        <w:rPr>
          <w:rFonts w:hint="eastAsia"/>
          <w:sz w:val="24"/>
        </w:rPr>
        <w:t>学会使用百度、谷歌等各种搜索引擎来检索所需资料。</w:t>
      </w:r>
    </w:p>
    <w:p>
      <w:pPr>
        <w:spacing w:line="360" w:lineRule="auto"/>
        <w:ind w:firstLine="480" w:firstLineChars="200"/>
        <w:rPr>
          <w:sz w:val="24"/>
        </w:rPr>
      </w:pPr>
      <w:r>
        <w:rPr>
          <w:rFonts w:hint="eastAsia"/>
          <w:sz w:val="24"/>
        </w:rPr>
        <w:t>第六章 特种文献信息检索</w:t>
      </w:r>
    </w:p>
    <w:p>
      <w:pPr>
        <w:spacing w:line="360" w:lineRule="auto"/>
        <w:ind w:firstLine="480" w:firstLineChars="200"/>
        <w:rPr>
          <w:sz w:val="24"/>
        </w:rPr>
      </w:pPr>
      <w:r>
        <w:rPr>
          <w:rFonts w:hint="eastAsia"/>
          <w:sz w:val="24"/>
        </w:rPr>
        <w:t>1、教学内容</w:t>
      </w:r>
    </w:p>
    <w:p>
      <w:pPr>
        <w:spacing w:line="360" w:lineRule="auto"/>
        <w:ind w:firstLine="480" w:firstLineChars="200"/>
        <w:rPr>
          <w:sz w:val="24"/>
        </w:rPr>
      </w:pPr>
      <w:r>
        <w:rPr>
          <w:rFonts w:hint="eastAsia"/>
          <w:sz w:val="24"/>
        </w:rPr>
        <w:t>（1）专利</w:t>
      </w:r>
    </w:p>
    <w:p>
      <w:pPr>
        <w:spacing w:line="360" w:lineRule="auto"/>
        <w:ind w:firstLine="480" w:firstLineChars="200"/>
        <w:rPr>
          <w:sz w:val="24"/>
        </w:rPr>
      </w:pPr>
      <w:r>
        <w:rPr>
          <w:rFonts w:hint="eastAsia"/>
          <w:sz w:val="24"/>
        </w:rPr>
        <w:t>（2）学位论文</w:t>
      </w:r>
    </w:p>
    <w:p>
      <w:pPr>
        <w:spacing w:line="360" w:lineRule="auto"/>
        <w:ind w:firstLine="480" w:firstLineChars="200"/>
        <w:rPr>
          <w:sz w:val="24"/>
        </w:rPr>
      </w:pPr>
      <w:r>
        <w:rPr>
          <w:rFonts w:hint="eastAsia"/>
          <w:sz w:val="24"/>
        </w:rPr>
        <w:t>（3）标准</w:t>
      </w:r>
    </w:p>
    <w:p>
      <w:pPr>
        <w:spacing w:line="360" w:lineRule="auto"/>
        <w:ind w:firstLine="480" w:firstLineChars="200"/>
        <w:rPr>
          <w:sz w:val="24"/>
        </w:rPr>
      </w:pPr>
      <w:r>
        <w:rPr>
          <w:rFonts w:hint="eastAsia"/>
          <w:sz w:val="24"/>
        </w:rPr>
        <w:t>（4）国内外会议论文</w:t>
      </w:r>
    </w:p>
    <w:p>
      <w:pPr>
        <w:spacing w:line="360" w:lineRule="auto"/>
        <w:ind w:firstLine="480" w:firstLineChars="200"/>
        <w:rPr>
          <w:sz w:val="24"/>
        </w:rPr>
      </w:pPr>
      <w:r>
        <w:rPr>
          <w:rFonts w:hint="eastAsia"/>
          <w:sz w:val="24"/>
        </w:rPr>
        <w:t>2、基本要求</w:t>
      </w:r>
    </w:p>
    <w:p>
      <w:pPr>
        <w:spacing w:line="360" w:lineRule="auto"/>
        <w:ind w:firstLine="480" w:firstLineChars="200"/>
        <w:rPr>
          <w:sz w:val="24"/>
        </w:rPr>
      </w:pPr>
      <w:r>
        <w:rPr>
          <w:rFonts w:hint="eastAsia"/>
          <w:sz w:val="24"/>
        </w:rPr>
        <w:t>（1）掌握会议论文、专利、标准和学位论文的检索与下载</w:t>
      </w:r>
    </w:p>
    <w:p>
      <w:pPr>
        <w:spacing w:line="360" w:lineRule="auto"/>
        <w:ind w:firstLine="480" w:firstLineChars="200"/>
        <w:rPr>
          <w:sz w:val="24"/>
        </w:rPr>
      </w:pPr>
      <w:r>
        <w:rPr>
          <w:rFonts w:hint="eastAsia"/>
          <w:sz w:val="24"/>
        </w:rPr>
        <w:t>（2）熟悉教材所提及常用中外文特种文献的资源</w:t>
      </w:r>
    </w:p>
    <w:p>
      <w:pPr>
        <w:spacing w:line="360" w:lineRule="auto"/>
        <w:ind w:firstLine="480" w:firstLineChars="200"/>
        <w:rPr>
          <w:sz w:val="24"/>
        </w:rPr>
      </w:pPr>
      <w:r>
        <w:rPr>
          <w:rFonts w:hint="eastAsia"/>
          <w:sz w:val="24"/>
        </w:rPr>
        <w:t>（3）了解特种文献的定义和种类</w:t>
      </w:r>
    </w:p>
    <w:p>
      <w:pPr>
        <w:spacing w:line="360" w:lineRule="auto"/>
        <w:ind w:firstLine="480" w:firstLineChars="200"/>
        <w:rPr>
          <w:sz w:val="24"/>
        </w:rPr>
      </w:pPr>
      <w:r>
        <w:rPr>
          <w:rFonts w:hint="eastAsia"/>
          <w:sz w:val="24"/>
        </w:rPr>
        <w:t>3、重点、难点</w:t>
      </w:r>
    </w:p>
    <w:p>
      <w:pPr>
        <w:spacing w:line="360" w:lineRule="auto"/>
        <w:ind w:firstLine="480" w:firstLineChars="200"/>
        <w:rPr>
          <w:sz w:val="24"/>
        </w:rPr>
      </w:pPr>
      <w:r>
        <w:rPr>
          <w:rFonts w:hint="eastAsia"/>
          <w:sz w:val="24"/>
        </w:rPr>
        <w:t>运用各种文献检索平台进行检索。</w:t>
      </w:r>
    </w:p>
    <w:p>
      <w:pPr>
        <w:spacing w:line="360" w:lineRule="auto"/>
        <w:ind w:firstLine="480" w:firstLineChars="200"/>
        <w:rPr>
          <w:sz w:val="24"/>
        </w:rPr>
      </w:pPr>
      <w:r>
        <w:rPr>
          <w:rFonts w:hint="eastAsia"/>
          <w:sz w:val="24"/>
        </w:rPr>
        <w:t>第七章 学术论文的撰写与投稿</w:t>
      </w:r>
    </w:p>
    <w:p>
      <w:pPr>
        <w:spacing w:line="360" w:lineRule="auto"/>
        <w:ind w:firstLine="480" w:firstLineChars="200"/>
        <w:rPr>
          <w:sz w:val="24"/>
        </w:rPr>
      </w:pPr>
      <w:r>
        <w:rPr>
          <w:rFonts w:hint="eastAsia"/>
          <w:sz w:val="24"/>
        </w:rPr>
        <w:t>1、教学内容</w:t>
      </w:r>
    </w:p>
    <w:p>
      <w:pPr>
        <w:spacing w:line="360" w:lineRule="auto"/>
        <w:ind w:firstLine="480" w:firstLineChars="200"/>
        <w:rPr>
          <w:sz w:val="24"/>
        </w:rPr>
      </w:pPr>
      <w:r>
        <w:rPr>
          <w:rFonts w:hint="eastAsia"/>
          <w:sz w:val="24"/>
        </w:rPr>
        <w:t>（1）学术论文的概述</w:t>
      </w:r>
    </w:p>
    <w:p>
      <w:pPr>
        <w:spacing w:line="360" w:lineRule="auto"/>
        <w:ind w:firstLine="480" w:firstLineChars="200"/>
        <w:rPr>
          <w:sz w:val="24"/>
        </w:rPr>
      </w:pPr>
      <w:r>
        <w:rPr>
          <w:rFonts w:hint="eastAsia"/>
          <w:sz w:val="24"/>
        </w:rPr>
        <w:t>（2）学术论文的格式规范</w:t>
      </w:r>
    </w:p>
    <w:p>
      <w:pPr>
        <w:spacing w:line="360" w:lineRule="auto"/>
        <w:ind w:firstLine="480" w:firstLineChars="200"/>
        <w:rPr>
          <w:sz w:val="24"/>
        </w:rPr>
      </w:pPr>
      <w:r>
        <w:rPr>
          <w:rFonts w:hint="eastAsia"/>
          <w:sz w:val="24"/>
        </w:rPr>
        <w:t>（3）一般性学术论文的写作</w:t>
      </w:r>
    </w:p>
    <w:p>
      <w:pPr>
        <w:spacing w:line="360" w:lineRule="auto"/>
        <w:ind w:firstLine="480" w:firstLineChars="200"/>
        <w:rPr>
          <w:sz w:val="24"/>
        </w:rPr>
      </w:pPr>
      <w:r>
        <w:rPr>
          <w:rFonts w:hint="eastAsia"/>
          <w:sz w:val="24"/>
        </w:rPr>
        <w:t>（4）学位论文</w:t>
      </w:r>
    </w:p>
    <w:p>
      <w:pPr>
        <w:spacing w:line="360" w:lineRule="auto"/>
        <w:ind w:firstLine="480" w:firstLineChars="200"/>
        <w:rPr>
          <w:sz w:val="24"/>
        </w:rPr>
      </w:pPr>
      <w:r>
        <w:rPr>
          <w:rFonts w:hint="eastAsia"/>
          <w:sz w:val="24"/>
        </w:rPr>
        <w:t>（5）综述和述评</w:t>
      </w:r>
    </w:p>
    <w:p>
      <w:pPr>
        <w:spacing w:line="360" w:lineRule="auto"/>
        <w:ind w:firstLine="480" w:firstLineChars="200"/>
        <w:rPr>
          <w:sz w:val="24"/>
        </w:rPr>
      </w:pPr>
      <w:r>
        <w:rPr>
          <w:rFonts w:hint="eastAsia"/>
          <w:sz w:val="24"/>
        </w:rPr>
        <w:t>（6）学术论文的投稿与发表</w:t>
      </w:r>
    </w:p>
    <w:p>
      <w:pPr>
        <w:spacing w:line="360" w:lineRule="auto"/>
        <w:ind w:firstLine="480" w:firstLineChars="200"/>
        <w:rPr>
          <w:sz w:val="24"/>
        </w:rPr>
      </w:pPr>
      <w:r>
        <w:rPr>
          <w:rFonts w:hint="eastAsia"/>
          <w:sz w:val="24"/>
        </w:rPr>
        <w:t>2、基本要求</w:t>
      </w:r>
    </w:p>
    <w:p>
      <w:pPr>
        <w:spacing w:line="360" w:lineRule="auto"/>
        <w:ind w:firstLine="480" w:firstLineChars="200"/>
        <w:rPr>
          <w:sz w:val="24"/>
        </w:rPr>
      </w:pPr>
      <w:r>
        <w:rPr>
          <w:rFonts w:hint="eastAsia"/>
          <w:sz w:val="24"/>
        </w:rPr>
        <w:t>（1）掌握学术论文的规范格式，学术论文的写作过程，学术素质与学术论文写作</w:t>
      </w:r>
    </w:p>
    <w:p>
      <w:pPr>
        <w:spacing w:line="360" w:lineRule="auto"/>
        <w:ind w:firstLine="480" w:firstLineChars="200"/>
        <w:rPr>
          <w:rFonts w:hint="eastAsia"/>
          <w:sz w:val="24"/>
        </w:rPr>
      </w:pPr>
      <w:r>
        <w:rPr>
          <w:rFonts w:hint="eastAsia"/>
          <w:sz w:val="24"/>
        </w:rPr>
        <w:t>（2）熟悉学术论文的特点，学术论文的文体分类</w:t>
      </w:r>
    </w:p>
    <w:p>
      <w:pPr>
        <w:spacing w:line="360" w:lineRule="auto"/>
        <w:ind w:firstLine="480" w:firstLineChars="200"/>
        <w:rPr>
          <w:rFonts w:hint="eastAsia"/>
        </w:rPr>
      </w:pPr>
      <w:r>
        <w:rPr>
          <w:rFonts w:hint="eastAsia"/>
          <w:sz w:val="24"/>
        </w:rPr>
        <w:t>（3）了解学术论文的投稿与发表</w:t>
      </w:r>
    </w:p>
    <w:p>
      <w:pPr>
        <w:spacing w:line="360" w:lineRule="auto"/>
        <w:ind w:firstLine="480" w:firstLineChars="200"/>
        <w:rPr>
          <w:sz w:val="24"/>
        </w:rPr>
      </w:pPr>
      <w:r>
        <w:rPr>
          <w:rFonts w:hint="eastAsia"/>
          <w:sz w:val="24"/>
        </w:rPr>
        <w:t>3、重点、难点</w:t>
      </w:r>
    </w:p>
    <w:p>
      <w:pPr>
        <w:spacing w:line="360" w:lineRule="auto"/>
        <w:ind w:firstLine="720" w:firstLineChars="300"/>
        <w:rPr>
          <w:rFonts w:hint="eastAsia"/>
          <w:sz w:val="24"/>
        </w:rPr>
      </w:pPr>
      <w:r>
        <w:rPr>
          <w:rFonts w:hint="eastAsia"/>
          <w:sz w:val="24"/>
        </w:rPr>
        <w:t>能按照学术论文的规范格式来书写并注重论文的内在和外在质量。</w:t>
      </w:r>
    </w:p>
    <w:p>
      <w:pPr>
        <w:spacing w:line="360" w:lineRule="auto"/>
        <w:ind w:firstLine="472" w:firstLineChars="196"/>
        <w:rPr>
          <w:b/>
          <w:sz w:val="24"/>
        </w:rPr>
      </w:pPr>
      <w:r>
        <w:rPr>
          <w:rFonts w:hint="eastAsia"/>
          <w:b/>
          <w:sz w:val="24"/>
        </w:rPr>
        <w:t xml:space="preserve">第八章 </w:t>
      </w:r>
      <w:r>
        <w:rPr>
          <w:b/>
          <w:sz w:val="24"/>
        </w:rPr>
        <w:t>Inorganic compounds</w:t>
      </w:r>
    </w:p>
    <w:p>
      <w:pPr>
        <w:spacing w:line="360" w:lineRule="auto"/>
        <w:ind w:firstLine="480" w:firstLineChars="200"/>
        <w:rPr>
          <w:sz w:val="24"/>
        </w:rPr>
      </w:pPr>
      <w:r>
        <w:rPr>
          <w:sz w:val="24"/>
        </w:rPr>
        <w:t>1.教学内容</w:t>
      </w:r>
    </w:p>
    <w:p>
      <w:pPr>
        <w:spacing w:line="400" w:lineRule="exact"/>
        <w:ind w:firstLine="480" w:firstLineChars="200"/>
        <w:rPr>
          <w:rFonts w:hint="eastAsia"/>
          <w:sz w:val="24"/>
        </w:rPr>
      </w:pPr>
      <w:r>
        <w:rPr>
          <w:sz w:val="24"/>
        </w:rPr>
        <w:t>（1）The Physical properties of substances</w:t>
      </w:r>
      <w:r>
        <w:rPr>
          <w:rFonts w:hint="eastAsia"/>
          <w:sz w:val="24"/>
        </w:rPr>
        <w:t xml:space="preserve"> </w:t>
      </w:r>
    </w:p>
    <w:p>
      <w:pPr>
        <w:spacing w:line="400" w:lineRule="exact"/>
        <w:ind w:firstLine="480" w:firstLineChars="200"/>
        <w:rPr>
          <w:rFonts w:hint="eastAsia"/>
          <w:sz w:val="24"/>
        </w:rPr>
      </w:pPr>
      <w:r>
        <w:rPr>
          <w:sz w:val="24"/>
        </w:rPr>
        <w:t xml:space="preserve">（2）The Chemical properties of substances </w:t>
      </w:r>
      <w:r>
        <w:rPr>
          <w:rFonts w:hint="eastAsia"/>
          <w:sz w:val="24"/>
        </w:rPr>
        <w:t xml:space="preserve"> </w:t>
      </w:r>
    </w:p>
    <w:p>
      <w:pPr>
        <w:spacing w:line="400" w:lineRule="exact"/>
        <w:ind w:firstLine="480" w:firstLineChars="200"/>
        <w:rPr>
          <w:rFonts w:hint="eastAsia"/>
          <w:sz w:val="24"/>
        </w:rPr>
      </w:pPr>
      <w:r>
        <w:rPr>
          <w:rFonts w:hint="eastAsia"/>
          <w:sz w:val="24"/>
        </w:rPr>
        <w:t>（3）</w:t>
      </w:r>
      <w:r>
        <w:rPr>
          <w:sz w:val="24"/>
        </w:rPr>
        <w:t xml:space="preserve">Chemical calculations </w:t>
      </w:r>
      <w:r>
        <w:rPr>
          <w:rFonts w:hint="eastAsia"/>
          <w:sz w:val="24"/>
        </w:rPr>
        <w:t xml:space="preserve"> </w:t>
      </w:r>
    </w:p>
    <w:p>
      <w:pPr>
        <w:spacing w:line="400" w:lineRule="exact"/>
        <w:ind w:firstLine="480" w:firstLineChars="200"/>
        <w:rPr>
          <w:rFonts w:hint="eastAsia"/>
          <w:sz w:val="24"/>
        </w:rPr>
      </w:pPr>
      <w:r>
        <w:rPr>
          <w:sz w:val="24"/>
        </w:rPr>
        <w:t xml:space="preserve">（4）The classification of inorganic compounds </w:t>
      </w:r>
      <w:r>
        <w:rPr>
          <w:rFonts w:hint="eastAsia"/>
          <w:sz w:val="24"/>
        </w:rPr>
        <w:t xml:space="preserve"> </w:t>
      </w:r>
    </w:p>
    <w:p>
      <w:pPr>
        <w:spacing w:line="400" w:lineRule="exact"/>
        <w:ind w:firstLine="480" w:firstLineChars="200"/>
        <w:rPr>
          <w:rFonts w:hint="eastAsia"/>
          <w:sz w:val="24"/>
        </w:rPr>
      </w:pPr>
      <w:r>
        <w:rPr>
          <w:sz w:val="24"/>
        </w:rPr>
        <w:t>（5）Nomenclature of inorganic compounds (Ⅰ)</w:t>
      </w:r>
      <w:r>
        <w:rPr>
          <w:rFonts w:hint="eastAsia"/>
          <w:sz w:val="24"/>
        </w:rPr>
        <w:t xml:space="preserve"> </w:t>
      </w:r>
    </w:p>
    <w:p>
      <w:pPr>
        <w:spacing w:line="400" w:lineRule="exact"/>
        <w:ind w:firstLine="480" w:firstLineChars="200"/>
        <w:rPr>
          <w:rFonts w:hint="eastAsia"/>
          <w:sz w:val="24"/>
        </w:rPr>
      </w:pPr>
      <w:r>
        <w:rPr>
          <w:sz w:val="24"/>
        </w:rPr>
        <w:t xml:space="preserve">（6）Quantitative inorganic analysis introduction </w:t>
      </w:r>
      <w:r>
        <w:rPr>
          <w:rFonts w:hint="eastAsia"/>
          <w:sz w:val="24"/>
        </w:rPr>
        <w:t xml:space="preserve"> </w:t>
      </w:r>
    </w:p>
    <w:p>
      <w:pPr>
        <w:spacing w:line="360" w:lineRule="auto"/>
        <w:ind w:firstLine="480" w:firstLineChars="200"/>
        <w:rPr>
          <w:color w:val="000000"/>
          <w:sz w:val="24"/>
        </w:rPr>
      </w:pPr>
      <w:r>
        <w:rPr>
          <w:color w:val="000000"/>
          <w:sz w:val="24"/>
        </w:rPr>
        <w:t>2.基本要求</w:t>
      </w:r>
    </w:p>
    <w:p>
      <w:pPr>
        <w:spacing w:line="360" w:lineRule="auto"/>
        <w:ind w:firstLine="435"/>
        <w:rPr>
          <w:sz w:val="24"/>
        </w:rPr>
      </w:pPr>
      <w:r>
        <w:rPr>
          <w:sz w:val="24"/>
        </w:rPr>
        <w:t>（1）了解</w:t>
      </w:r>
      <w:r>
        <w:rPr>
          <w:rFonts w:hint="eastAsia"/>
          <w:sz w:val="24"/>
        </w:rPr>
        <w:t>物质的物理性质。</w:t>
      </w:r>
    </w:p>
    <w:p>
      <w:pPr>
        <w:spacing w:line="360" w:lineRule="auto"/>
        <w:ind w:firstLine="435"/>
        <w:rPr>
          <w:sz w:val="24"/>
        </w:rPr>
      </w:pPr>
      <w:r>
        <w:rPr>
          <w:sz w:val="24"/>
        </w:rPr>
        <w:t>（2）了解</w:t>
      </w:r>
      <w:r>
        <w:rPr>
          <w:rFonts w:hint="eastAsia"/>
          <w:sz w:val="24"/>
        </w:rPr>
        <w:t>物质的化学性质。</w:t>
      </w:r>
    </w:p>
    <w:p>
      <w:pPr>
        <w:spacing w:line="360" w:lineRule="auto"/>
        <w:ind w:firstLine="435"/>
        <w:rPr>
          <w:sz w:val="24"/>
        </w:rPr>
      </w:pPr>
      <w:r>
        <w:rPr>
          <w:sz w:val="24"/>
        </w:rPr>
        <w:t>（3）掌握</w:t>
      </w:r>
      <w:r>
        <w:rPr>
          <w:rFonts w:hint="eastAsia"/>
          <w:sz w:val="24"/>
        </w:rPr>
        <w:t>化学反应方程式的配平及计算。</w:t>
      </w:r>
    </w:p>
    <w:p>
      <w:pPr>
        <w:spacing w:line="360" w:lineRule="auto"/>
        <w:ind w:firstLine="435"/>
        <w:rPr>
          <w:sz w:val="24"/>
        </w:rPr>
      </w:pPr>
      <w:r>
        <w:rPr>
          <w:rFonts w:hint="eastAsia"/>
          <w:sz w:val="24"/>
        </w:rPr>
        <w:t>（4）理解无机化合物的分类。</w:t>
      </w:r>
    </w:p>
    <w:p>
      <w:pPr>
        <w:spacing w:line="360" w:lineRule="auto"/>
        <w:ind w:firstLine="435"/>
        <w:rPr>
          <w:sz w:val="24"/>
        </w:rPr>
      </w:pPr>
      <w:r>
        <w:rPr>
          <w:rFonts w:hint="eastAsia"/>
          <w:sz w:val="24"/>
        </w:rPr>
        <w:t>（5）掌握无机化合物的命名方法。</w:t>
      </w:r>
    </w:p>
    <w:p>
      <w:pPr>
        <w:spacing w:line="360" w:lineRule="auto"/>
        <w:ind w:firstLine="435"/>
        <w:rPr>
          <w:sz w:val="24"/>
        </w:rPr>
      </w:pPr>
      <w:r>
        <w:rPr>
          <w:rFonts w:hint="eastAsia"/>
          <w:sz w:val="24"/>
        </w:rPr>
        <w:t>（6）理解定量无机分析方法的分类及运用。</w:t>
      </w:r>
    </w:p>
    <w:p>
      <w:pPr>
        <w:spacing w:line="360" w:lineRule="auto"/>
        <w:ind w:firstLine="472" w:firstLineChars="196"/>
        <w:rPr>
          <w:b/>
          <w:sz w:val="24"/>
        </w:rPr>
      </w:pPr>
      <w:r>
        <w:rPr>
          <w:rFonts w:hint="eastAsia"/>
          <w:b/>
          <w:sz w:val="24"/>
        </w:rPr>
        <w:t xml:space="preserve">第九章 </w:t>
      </w:r>
      <w:r>
        <w:rPr>
          <w:b/>
          <w:sz w:val="24"/>
        </w:rPr>
        <w:t>Organic compounds</w:t>
      </w:r>
    </w:p>
    <w:p>
      <w:pPr>
        <w:spacing w:line="360" w:lineRule="auto"/>
        <w:ind w:firstLine="480" w:firstLineChars="200"/>
        <w:rPr>
          <w:sz w:val="24"/>
        </w:rPr>
      </w:pPr>
      <w:r>
        <w:rPr>
          <w:sz w:val="24"/>
        </w:rPr>
        <w:t>1.教学内容</w:t>
      </w:r>
    </w:p>
    <w:p>
      <w:pPr>
        <w:spacing w:line="400" w:lineRule="exact"/>
        <w:ind w:firstLine="480" w:firstLineChars="200"/>
        <w:rPr>
          <w:rFonts w:hint="eastAsia"/>
          <w:sz w:val="24"/>
        </w:rPr>
      </w:pPr>
      <w:r>
        <w:rPr>
          <w:rFonts w:hint="eastAsia"/>
          <w:sz w:val="24"/>
        </w:rPr>
        <w:t>（1）</w:t>
      </w:r>
      <w:r>
        <w:rPr>
          <w:sz w:val="24"/>
        </w:rPr>
        <w:t xml:space="preserve">Classification and nomenclature of organic compounds </w:t>
      </w:r>
      <w:r>
        <w:rPr>
          <w:rFonts w:hint="eastAsia"/>
          <w:sz w:val="24"/>
        </w:rPr>
        <w:t xml:space="preserve"> </w:t>
      </w:r>
    </w:p>
    <w:p>
      <w:pPr>
        <w:spacing w:line="400" w:lineRule="exact"/>
        <w:ind w:firstLine="480" w:firstLineChars="200"/>
        <w:rPr>
          <w:rFonts w:hint="eastAsia"/>
          <w:sz w:val="24"/>
        </w:rPr>
      </w:pPr>
      <w:r>
        <w:rPr>
          <w:rFonts w:hint="eastAsia"/>
          <w:sz w:val="24"/>
        </w:rPr>
        <w:t>（2）</w:t>
      </w:r>
      <w:r>
        <w:rPr>
          <w:sz w:val="24"/>
        </w:rPr>
        <w:t xml:space="preserve">Alkanes </w:t>
      </w:r>
      <w:r>
        <w:rPr>
          <w:rFonts w:hint="eastAsia"/>
          <w:sz w:val="24"/>
        </w:rPr>
        <w:t xml:space="preserve"> </w:t>
      </w:r>
    </w:p>
    <w:p>
      <w:pPr>
        <w:spacing w:line="400" w:lineRule="exact"/>
        <w:ind w:firstLine="480" w:firstLineChars="200"/>
        <w:rPr>
          <w:rFonts w:hint="eastAsia"/>
          <w:sz w:val="24"/>
        </w:rPr>
      </w:pPr>
      <w:r>
        <w:rPr>
          <w:rFonts w:hint="eastAsia"/>
          <w:sz w:val="24"/>
        </w:rPr>
        <w:t>（3）</w:t>
      </w:r>
      <w:r>
        <w:rPr>
          <w:sz w:val="24"/>
        </w:rPr>
        <w:t>Nomenclature of Cycloalkanes</w:t>
      </w:r>
      <w:r>
        <w:rPr>
          <w:rFonts w:hint="eastAsia"/>
          <w:sz w:val="24"/>
        </w:rPr>
        <w:t xml:space="preserve"> </w:t>
      </w:r>
    </w:p>
    <w:p>
      <w:pPr>
        <w:spacing w:line="400" w:lineRule="exact"/>
        <w:ind w:firstLine="480" w:firstLineChars="200"/>
        <w:rPr>
          <w:rFonts w:hint="eastAsia"/>
          <w:sz w:val="24"/>
        </w:rPr>
      </w:pPr>
      <w:r>
        <w:rPr>
          <w:rFonts w:hint="eastAsia"/>
          <w:sz w:val="24"/>
        </w:rPr>
        <w:t>（4）</w:t>
      </w:r>
      <w:r>
        <w:rPr>
          <w:sz w:val="24"/>
        </w:rPr>
        <w:t>Alkenes</w:t>
      </w:r>
      <w:r>
        <w:rPr>
          <w:rFonts w:hint="eastAsia"/>
          <w:sz w:val="24"/>
        </w:rPr>
        <w:t xml:space="preserve"> </w:t>
      </w:r>
    </w:p>
    <w:p>
      <w:pPr>
        <w:spacing w:line="400" w:lineRule="exact"/>
        <w:ind w:firstLine="480" w:firstLineChars="200"/>
        <w:rPr>
          <w:rFonts w:hint="eastAsia"/>
          <w:sz w:val="24"/>
        </w:rPr>
      </w:pPr>
      <w:r>
        <w:rPr>
          <w:rFonts w:hint="eastAsia"/>
          <w:sz w:val="24"/>
        </w:rPr>
        <w:t>（5）</w:t>
      </w:r>
      <w:r>
        <w:rPr>
          <w:sz w:val="24"/>
        </w:rPr>
        <w:t>Alkynes</w:t>
      </w:r>
      <w:r>
        <w:rPr>
          <w:rFonts w:hint="eastAsia"/>
          <w:sz w:val="24"/>
        </w:rPr>
        <w:t xml:space="preserve"> </w:t>
      </w:r>
    </w:p>
    <w:p>
      <w:pPr>
        <w:spacing w:line="400" w:lineRule="exact"/>
        <w:ind w:firstLine="480" w:firstLineChars="200"/>
        <w:rPr>
          <w:rFonts w:hint="eastAsia"/>
          <w:sz w:val="24"/>
        </w:rPr>
      </w:pPr>
      <w:r>
        <w:rPr>
          <w:rFonts w:hint="eastAsia"/>
          <w:sz w:val="24"/>
        </w:rPr>
        <w:t>（6）</w:t>
      </w:r>
      <w:r>
        <w:rPr>
          <w:sz w:val="24"/>
        </w:rPr>
        <w:t>Alcohols, phenols and ethers</w:t>
      </w:r>
      <w:r>
        <w:rPr>
          <w:rFonts w:hint="eastAsia"/>
          <w:sz w:val="24"/>
        </w:rPr>
        <w:t xml:space="preserve"> </w:t>
      </w:r>
    </w:p>
    <w:p>
      <w:pPr>
        <w:spacing w:line="400" w:lineRule="exact"/>
        <w:ind w:firstLine="480" w:firstLineChars="200"/>
        <w:rPr>
          <w:rFonts w:hint="eastAsia"/>
          <w:sz w:val="24"/>
        </w:rPr>
      </w:pPr>
      <w:r>
        <w:rPr>
          <w:rFonts w:hint="eastAsia"/>
          <w:sz w:val="24"/>
        </w:rPr>
        <w:t>（7）</w:t>
      </w:r>
      <w:r>
        <w:rPr>
          <w:sz w:val="24"/>
        </w:rPr>
        <w:t xml:space="preserve">Aldehydes and ketones </w:t>
      </w:r>
      <w:r>
        <w:rPr>
          <w:rFonts w:hint="eastAsia"/>
          <w:sz w:val="24"/>
        </w:rPr>
        <w:t xml:space="preserve"> </w:t>
      </w:r>
    </w:p>
    <w:p>
      <w:pPr>
        <w:spacing w:line="360" w:lineRule="auto"/>
        <w:ind w:firstLine="480" w:firstLineChars="200"/>
        <w:rPr>
          <w:color w:val="000000"/>
          <w:sz w:val="24"/>
        </w:rPr>
      </w:pPr>
      <w:r>
        <w:rPr>
          <w:color w:val="000000"/>
          <w:sz w:val="24"/>
        </w:rPr>
        <w:t>2.基本要求</w:t>
      </w:r>
    </w:p>
    <w:p>
      <w:pPr>
        <w:spacing w:line="360" w:lineRule="auto"/>
        <w:ind w:firstLine="435"/>
        <w:rPr>
          <w:sz w:val="24"/>
        </w:rPr>
      </w:pPr>
      <w:r>
        <w:rPr>
          <w:sz w:val="24"/>
        </w:rPr>
        <w:t>（1）</w:t>
      </w:r>
      <w:r>
        <w:rPr>
          <w:rFonts w:hint="eastAsia"/>
          <w:sz w:val="24"/>
        </w:rPr>
        <w:t>掌握有机化合物的分类及命名。</w:t>
      </w:r>
    </w:p>
    <w:p>
      <w:pPr>
        <w:spacing w:line="360" w:lineRule="auto"/>
        <w:ind w:firstLine="435"/>
        <w:rPr>
          <w:sz w:val="24"/>
        </w:rPr>
      </w:pPr>
      <w:r>
        <w:rPr>
          <w:sz w:val="24"/>
        </w:rPr>
        <w:t>（2）</w:t>
      </w:r>
      <w:r>
        <w:rPr>
          <w:rFonts w:hint="eastAsia"/>
          <w:sz w:val="24"/>
        </w:rPr>
        <w:t>理解烷烃的命名。</w:t>
      </w:r>
    </w:p>
    <w:p>
      <w:pPr>
        <w:spacing w:line="360" w:lineRule="auto"/>
        <w:ind w:firstLine="435"/>
        <w:rPr>
          <w:sz w:val="24"/>
        </w:rPr>
      </w:pPr>
      <w:r>
        <w:rPr>
          <w:sz w:val="24"/>
        </w:rPr>
        <w:t>（3）</w:t>
      </w:r>
      <w:r>
        <w:rPr>
          <w:rFonts w:hint="eastAsia"/>
          <w:sz w:val="24"/>
        </w:rPr>
        <w:t>了解环烷烃的命名。</w:t>
      </w:r>
    </w:p>
    <w:p>
      <w:pPr>
        <w:spacing w:line="360" w:lineRule="auto"/>
        <w:ind w:firstLine="435"/>
        <w:rPr>
          <w:sz w:val="24"/>
        </w:rPr>
      </w:pPr>
      <w:r>
        <w:rPr>
          <w:rFonts w:hint="eastAsia"/>
          <w:sz w:val="24"/>
        </w:rPr>
        <w:t>（4）理解烯烃的命名。</w:t>
      </w:r>
    </w:p>
    <w:p>
      <w:pPr>
        <w:spacing w:line="360" w:lineRule="auto"/>
        <w:ind w:firstLine="435"/>
        <w:rPr>
          <w:sz w:val="24"/>
        </w:rPr>
      </w:pPr>
      <w:r>
        <w:rPr>
          <w:rFonts w:hint="eastAsia"/>
          <w:sz w:val="24"/>
        </w:rPr>
        <w:t>（5）理解炔烃的命名。</w:t>
      </w:r>
    </w:p>
    <w:p>
      <w:pPr>
        <w:spacing w:line="360" w:lineRule="auto"/>
        <w:ind w:firstLine="435"/>
        <w:rPr>
          <w:sz w:val="24"/>
        </w:rPr>
      </w:pPr>
      <w:r>
        <w:rPr>
          <w:rFonts w:hint="eastAsia"/>
          <w:sz w:val="24"/>
        </w:rPr>
        <w:t>（6）理解醇、酚和醚的命名。</w:t>
      </w:r>
    </w:p>
    <w:p>
      <w:pPr>
        <w:spacing w:line="360" w:lineRule="auto"/>
        <w:ind w:firstLine="435"/>
        <w:rPr>
          <w:sz w:val="24"/>
        </w:rPr>
      </w:pPr>
      <w:r>
        <w:rPr>
          <w:rFonts w:hint="eastAsia"/>
          <w:sz w:val="24"/>
        </w:rPr>
        <w:t>（7）理解醛和酮的命名。</w:t>
      </w:r>
    </w:p>
    <w:p>
      <w:pPr>
        <w:spacing w:line="360" w:lineRule="auto"/>
        <w:ind w:firstLine="480" w:firstLineChars="200"/>
        <w:rPr>
          <w:rFonts w:hint="eastAsia"/>
          <w:sz w:val="24"/>
        </w:rPr>
      </w:pPr>
      <w:r>
        <w:rPr>
          <w:rFonts w:hint="eastAsia"/>
          <w:sz w:val="24"/>
        </w:rPr>
        <w:t>教学内容与</w:t>
      </w:r>
      <w:r>
        <w:rPr>
          <w:sz w:val="24"/>
        </w:rPr>
        <w:t>课程目标的</w:t>
      </w:r>
      <w:r>
        <w:rPr>
          <w:rFonts w:hint="eastAsia"/>
          <w:sz w:val="24"/>
        </w:rPr>
        <w:t>对应关系及</w:t>
      </w:r>
      <w:r>
        <w:rPr>
          <w:sz w:val="24"/>
        </w:rPr>
        <w:t>学时分配</w:t>
      </w:r>
      <w:r>
        <w:rPr>
          <w:rFonts w:hint="eastAsia"/>
          <w:sz w:val="24"/>
        </w:rPr>
        <w:t>如表所示。</w:t>
      </w:r>
    </w:p>
    <w:tbl>
      <w:tblPr>
        <w:tblStyle w:val="10"/>
        <w:tblW w:w="9140"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3476"/>
        <w:gridCol w:w="2084"/>
        <w:gridCol w:w="1470"/>
        <w:gridCol w:w="1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shd w:val="clear" w:color="auto" w:fill="FFFFFF"/>
            <w:vAlign w:val="center"/>
          </w:tcPr>
          <w:p>
            <w:pPr>
              <w:spacing w:line="312" w:lineRule="auto"/>
              <w:jc w:val="center"/>
              <w:rPr>
                <w:color w:val="000000"/>
                <w:szCs w:val="21"/>
              </w:rPr>
            </w:pPr>
            <w:r>
              <w:rPr>
                <w:rFonts w:hint="eastAsia"/>
                <w:color w:val="000000"/>
                <w:szCs w:val="21"/>
              </w:rPr>
              <w:t>序号</w:t>
            </w:r>
          </w:p>
        </w:tc>
        <w:tc>
          <w:tcPr>
            <w:tcW w:w="3476" w:type="dxa"/>
            <w:shd w:val="clear" w:color="auto" w:fill="FFFFFF"/>
            <w:vAlign w:val="center"/>
          </w:tcPr>
          <w:p>
            <w:pPr>
              <w:spacing w:line="312" w:lineRule="auto"/>
              <w:jc w:val="center"/>
              <w:rPr>
                <w:color w:val="000000"/>
                <w:szCs w:val="21"/>
              </w:rPr>
            </w:pPr>
            <w:r>
              <w:rPr>
                <w:color w:val="000000"/>
                <w:szCs w:val="21"/>
              </w:rPr>
              <w:t>教学内容</w:t>
            </w:r>
          </w:p>
        </w:tc>
        <w:tc>
          <w:tcPr>
            <w:tcW w:w="2084" w:type="dxa"/>
            <w:shd w:val="clear" w:color="auto" w:fill="FFFFFF"/>
          </w:tcPr>
          <w:p>
            <w:pPr>
              <w:spacing w:line="312" w:lineRule="auto"/>
              <w:jc w:val="center"/>
              <w:rPr>
                <w:rFonts w:hint="eastAsia"/>
                <w:color w:val="000000"/>
                <w:szCs w:val="21"/>
              </w:rPr>
            </w:pPr>
            <w:r>
              <w:rPr>
                <w:color w:val="000000"/>
                <w:szCs w:val="21"/>
              </w:rPr>
              <w:t>支撑</w:t>
            </w:r>
            <w:r>
              <w:rPr>
                <w:rFonts w:hint="eastAsia"/>
                <w:color w:val="000000"/>
                <w:szCs w:val="21"/>
              </w:rPr>
              <w:t>的</w:t>
            </w:r>
          </w:p>
          <w:p>
            <w:pPr>
              <w:spacing w:line="312" w:lineRule="auto"/>
              <w:jc w:val="center"/>
              <w:rPr>
                <w:color w:val="000000"/>
                <w:szCs w:val="21"/>
              </w:rPr>
            </w:pPr>
            <w:r>
              <w:rPr>
                <w:color w:val="000000"/>
                <w:szCs w:val="21"/>
              </w:rPr>
              <w:t>课程目标</w:t>
            </w:r>
          </w:p>
        </w:tc>
        <w:tc>
          <w:tcPr>
            <w:tcW w:w="1470" w:type="dxa"/>
            <w:shd w:val="clear" w:color="auto" w:fill="FFFFFF"/>
            <w:vAlign w:val="center"/>
          </w:tcPr>
          <w:p>
            <w:pPr>
              <w:spacing w:line="312" w:lineRule="auto"/>
              <w:jc w:val="center"/>
              <w:rPr>
                <w:color w:val="000000"/>
                <w:szCs w:val="21"/>
              </w:rPr>
            </w:pPr>
            <w:r>
              <w:rPr>
                <w:color w:val="000000"/>
                <w:szCs w:val="21"/>
              </w:rPr>
              <w:t>支撑</w:t>
            </w:r>
            <w:r>
              <w:rPr>
                <w:rFonts w:hint="eastAsia"/>
                <w:color w:val="000000"/>
                <w:szCs w:val="21"/>
              </w:rPr>
              <w:t>的</w:t>
            </w:r>
            <w:r>
              <w:rPr>
                <w:color w:val="000000"/>
                <w:szCs w:val="21"/>
              </w:rPr>
              <w:t>毕业要求指标点</w:t>
            </w:r>
          </w:p>
        </w:tc>
        <w:tc>
          <w:tcPr>
            <w:tcW w:w="1370" w:type="dxa"/>
            <w:shd w:val="clear" w:color="auto" w:fill="FFFFFF"/>
            <w:vAlign w:val="center"/>
          </w:tcPr>
          <w:p>
            <w:pPr>
              <w:spacing w:line="312" w:lineRule="auto"/>
              <w:jc w:val="center"/>
              <w:rPr>
                <w:color w:val="000000"/>
                <w:szCs w:val="21"/>
              </w:rPr>
            </w:pPr>
            <w:r>
              <w:rPr>
                <w:color w:val="000000"/>
                <w:szCs w:val="21"/>
              </w:rPr>
              <w:t>讲</w:t>
            </w:r>
            <w:r>
              <w:rPr>
                <w:rFonts w:hint="eastAsia"/>
                <w:color w:val="000000"/>
                <w:szCs w:val="21"/>
              </w:rPr>
              <w:t>授</w:t>
            </w:r>
            <w:r>
              <w:rPr>
                <w:color w:val="000000"/>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Align w:val="center"/>
          </w:tcPr>
          <w:p>
            <w:pPr>
              <w:spacing w:line="312" w:lineRule="auto"/>
              <w:jc w:val="center"/>
              <w:rPr>
                <w:szCs w:val="21"/>
              </w:rPr>
            </w:pPr>
            <w:r>
              <w:rPr>
                <w:szCs w:val="21"/>
              </w:rPr>
              <w:t>1</w:t>
            </w:r>
          </w:p>
        </w:tc>
        <w:tc>
          <w:tcPr>
            <w:tcW w:w="3476" w:type="dxa"/>
            <w:vAlign w:val="center"/>
          </w:tcPr>
          <w:p>
            <w:pPr>
              <w:spacing w:line="400" w:lineRule="exact"/>
              <w:jc w:val="left"/>
              <w:rPr>
                <w:rFonts w:hint="eastAsia"/>
                <w:color w:val="000000"/>
                <w:szCs w:val="21"/>
                <w:highlight w:val="yellow"/>
              </w:rPr>
            </w:pPr>
            <w:r>
              <w:rPr>
                <w:rFonts w:hint="eastAsia"/>
                <w:szCs w:val="21"/>
              </w:rPr>
              <w:t>科技文献检索基础知识</w:t>
            </w:r>
          </w:p>
        </w:tc>
        <w:tc>
          <w:tcPr>
            <w:tcW w:w="2084" w:type="dxa"/>
            <w:vAlign w:val="center"/>
          </w:tcPr>
          <w:p>
            <w:pPr>
              <w:spacing w:line="312" w:lineRule="auto"/>
              <w:jc w:val="center"/>
              <w:rPr>
                <w:rFonts w:hint="eastAsia"/>
                <w:color w:val="000000"/>
                <w:szCs w:val="21"/>
              </w:rPr>
            </w:pPr>
            <w:r>
              <w:rPr>
                <w:color w:val="000000"/>
                <w:szCs w:val="21"/>
              </w:rPr>
              <w:t>目标</w:t>
            </w:r>
            <w:r>
              <w:rPr>
                <w:rFonts w:hint="eastAsia"/>
                <w:color w:val="000000"/>
                <w:szCs w:val="21"/>
              </w:rPr>
              <w:t>1</w:t>
            </w:r>
          </w:p>
        </w:tc>
        <w:tc>
          <w:tcPr>
            <w:tcW w:w="1470" w:type="dxa"/>
            <w:vAlign w:val="center"/>
          </w:tcPr>
          <w:p>
            <w:pPr>
              <w:spacing w:line="312" w:lineRule="auto"/>
              <w:jc w:val="center"/>
              <w:rPr>
                <w:rFonts w:hint="eastAsia"/>
                <w:szCs w:val="21"/>
              </w:rPr>
            </w:pPr>
            <w:r>
              <w:rPr>
                <w:rFonts w:hint="eastAsia"/>
                <w:szCs w:val="21"/>
              </w:rPr>
              <w:t>2-</w:t>
            </w:r>
            <w:r>
              <w:rPr>
                <w:szCs w:val="21"/>
              </w:rPr>
              <w:t>4</w:t>
            </w:r>
          </w:p>
        </w:tc>
        <w:tc>
          <w:tcPr>
            <w:tcW w:w="1370" w:type="dxa"/>
            <w:vAlign w:val="center"/>
          </w:tcPr>
          <w:p>
            <w:pPr>
              <w:spacing w:line="400" w:lineRule="exact"/>
              <w:jc w:val="center"/>
              <w:rPr>
                <w:szCs w:val="21"/>
              </w:rPr>
            </w:pPr>
            <w:r>
              <w:rPr>
                <w:szCs w:val="21"/>
              </w:rPr>
              <w:t>1</w:t>
            </w:r>
            <w:r>
              <w:rPr>
                <w:rFonts w:hint="eastAsia"/>
                <w:szCs w:val="21"/>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Align w:val="center"/>
          </w:tcPr>
          <w:p>
            <w:pPr>
              <w:spacing w:line="312" w:lineRule="auto"/>
              <w:jc w:val="center"/>
              <w:rPr>
                <w:szCs w:val="21"/>
              </w:rPr>
            </w:pPr>
            <w:r>
              <w:rPr>
                <w:szCs w:val="21"/>
              </w:rPr>
              <w:t>2</w:t>
            </w:r>
          </w:p>
        </w:tc>
        <w:tc>
          <w:tcPr>
            <w:tcW w:w="3476" w:type="dxa"/>
            <w:vAlign w:val="center"/>
          </w:tcPr>
          <w:p>
            <w:pPr>
              <w:spacing w:line="400" w:lineRule="exact"/>
              <w:jc w:val="left"/>
              <w:rPr>
                <w:color w:val="000000"/>
                <w:szCs w:val="21"/>
                <w:highlight w:val="yellow"/>
              </w:rPr>
            </w:pPr>
            <w:r>
              <w:rPr>
                <w:rFonts w:hint="eastAsia"/>
                <w:szCs w:val="21"/>
              </w:rPr>
              <w:t>中外文图书、期刊及其检索；搜索引擎与开放获取；特种文献信息检索</w:t>
            </w:r>
          </w:p>
        </w:tc>
        <w:tc>
          <w:tcPr>
            <w:tcW w:w="2084" w:type="dxa"/>
            <w:vAlign w:val="center"/>
          </w:tcPr>
          <w:p>
            <w:pPr>
              <w:spacing w:line="312" w:lineRule="auto"/>
              <w:jc w:val="center"/>
              <w:rPr>
                <w:rFonts w:hint="eastAsia"/>
                <w:color w:val="000000"/>
                <w:szCs w:val="21"/>
              </w:rPr>
            </w:pPr>
            <w:r>
              <w:rPr>
                <w:color w:val="000000"/>
                <w:szCs w:val="21"/>
              </w:rPr>
              <w:t>目标</w:t>
            </w:r>
            <w:r>
              <w:rPr>
                <w:rFonts w:hint="eastAsia"/>
                <w:color w:val="000000"/>
                <w:szCs w:val="21"/>
              </w:rPr>
              <w:t>2、5、6</w:t>
            </w:r>
          </w:p>
        </w:tc>
        <w:tc>
          <w:tcPr>
            <w:tcW w:w="1470" w:type="dxa"/>
            <w:vAlign w:val="center"/>
          </w:tcPr>
          <w:p>
            <w:pPr>
              <w:spacing w:line="312" w:lineRule="auto"/>
              <w:jc w:val="center"/>
              <w:rPr>
                <w:rFonts w:hint="eastAsia"/>
                <w:szCs w:val="21"/>
              </w:rPr>
            </w:pPr>
            <w:r>
              <w:rPr>
                <w:rFonts w:hint="eastAsia"/>
                <w:szCs w:val="21"/>
              </w:rPr>
              <w:t>2-</w:t>
            </w:r>
            <w:r>
              <w:rPr>
                <w:szCs w:val="21"/>
              </w:rPr>
              <w:t>4</w:t>
            </w:r>
          </w:p>
        </w:tc>
        <w:tc>
          <w:tcPr>
            <w:tcW w:w="1370" w:type="dxa"/>
          </w:tcPr>
          <w:p>
            <w:pPr>
              <w:jc w:val="center"/>
            </w:pPr>
            <w:r>
              <w:rPr>
                <w:szCs w:val="21"/>
              </w:rPr>
              <w:t>1</w:t>
            </w:r>
            <w:r>
              <w:rPr>
                <w:rFonts w:hint="eastAsia"/>
                <w:szCs w:val="21"/>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Align w:val="center"/>
          </w:tcPr>
          <w:p>
            <w:pPr>
              <w:spacing w:line="312" w:lineRule="auto"/>
              <w:jc w:val="center"/>
              <w:rPr>
                <w:rFonts w:hint="eastAsia"/>
                <w:szCs w:val="21"/>
              </w:rPr>
            </w:pPr>
            <w:r>
              <w:rPr>
                <w:szCs w:val="21"/>
              </w:rPr>
              <w:t>3</w:t>
            </w:r>
          </w:p>
        </w:tc>
        <w:tc>
          <w:tcPr>
            <w:tcW w:w="3476" w:type="dxa"/>
            <w:vAlign w:val="center"/>
          </w:tcPr>
          <w:p>
            <w:pPr>
              <w:spacing w:line="400" w:lineRule="exact"/>
              <w:jc w:val="left"/>
              <w:rPr>
                <w:szCs w:val="21"/>
                <w:highlight w:val="yellow"/>
              </w:rPr>
            </w:pPr>
            <w:r>
              <w:rPr>
                <w:rFonts w:hint="eastAsia"/>
                <w:szCs w:val="21"/>
              </w:rPr>
              <w:t>学术论文的撰写与投稿</w:t>
            </w:r>
          </w:p>
        </w:tc>
        <w:tc>
          <w:tcPr>
            <w:tcW w:w="2084" w:type="dxa"/>
            <w:vAlign w:val="center"/>
          </w:tcPr>
          <w:p>
            <w:pPr>
              <w:spacing w:line="312" w:lineRule="auto"/>
              <w:jc w:val="center"/>
              <w:rPr>
                <w:rFonts w:hint="eastAsia"/>
                <w:color w:val="000000"/>
                <w:szCs w:val="21"/>
              </w:rPr>
            </w:pPr>
            <w:r>
              <w:rPr>
                <w:color w:val="000000"/>
                <w:szCs w:val="21"/>
              </w:rPr>
              <w:t>目标</w:t>
            </w:r>
            <w:r>
              <w:rPr>
                <w:rFonts w:hint="eastAsia"/>
                <w:color w:val="000000"/>
                <w:szCs w:val="21"/>
              </w:rPr>
              <w:t>3、</w:t>
            </w:r>
            <w:r>
              <w:rPr>
                <w:color w:val="000000"/>
                <w:szCs w:val="21"/>
              </w:rPr>
              <w:t>4</w:t>
            </w:r>
            <w:r>
              <w:rPr>
                <w:rFonts w:hint="eastAsia"/>
                <w:color w:val="000000"/>
                <w:szCs w:val="21"/>
              </w:rPr>
              <w:t>、6</w:t>
            </w:r>
          </w:p>
        </w:tc>
        <w:tc>
          <w:tcPr>
            <w:tcW w:w="1470" w:type="dxa"/>
            <w:vAlign w:val="center"/>
          </w:tcPr>
          <w:p>
            <w:pPr>
              <w:spacing w:line="312" w:lineRule="auto"/>
              <w:jc w:val="center"/>
              <w:rPr>
                <w:color w:val="000000"/>
                <w:szCs w:val="21"/>
              </w:rPr>
            </w:pPr>
            <w:r>
              <w:rPr>
                <w:szCs w:val="21"/>
              </w:rPr>
              <w:t>2</w:t>
            </w:r>
            <w:r>
              <w:rPr>
                <w:rFonts w:hint="eastAsia"/>
                <w:szCs w:val="21"/>
              </w:rPr>
              <w:t>-</w:t>
            </w:r>
            <w:r>
              <w:rPr>
                <w:szCs w:val="21"/>
              </w:rPr>
              <w:t>4</w:t>
            </w:r>
          </w:p>
        </w:tc>
        <w:tc>
          <w:tcPr>
            <w:tcW w:w="1370" w:type="dxa"/>
          </w:tcPr>
          <w:p>
            <w:pPr>
              <w:jc w:val="center"/>
            </w:pPr>
            <w:r>
              <w:rPr>
                <w:szCs w:val="21"/>
              </w:rPr>
              <w:t>1</w:t>
            </w:r>
            <w:r>
              <w:rPr>
                <w:rFonts w:hint="eastAsia"/>
                <w:szCs w:val="21"/>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Align w:val="center"/>
          </w:tcPr>
          <w:p>
            <w:pPr>
              <w:spacing w:line="312" w:lineRule="auto"/>
              <w:jc w:val="center"/>
              <w:rPr>
                <w:szCs w:val="21"/>
              </w:rPr>
            </w:pPr>
            <w:r>
              <w:rPr>
                <w:szCs w:val="21"/>
              </w:rPr>
              <w:t>4</w:t>
            </w:r>
          </w:p>
        </w:tc>
        <w:tc>
          <w:tcPr>
            <w:tcW w:w="3476" w:type="dxa"/>
            <w:vAlign w:val="center"/>
          </w:tcPr>
          <w:p>
            <w:pPr>
              <w:spacing w:line="312" w:lineRule="auto"/>
              <w:rPr>
                <w:color w:val="000000"/>
                <w:szCs w:val="21"/>
              </w:rPr>
            </w:pPr>
            <w:r>
              <w:rPr>
                <w:szCs w:val="21"/>
              </w:rPr>
              <w:t>Inorganic compounds</w:t>
            </w:r>
          </w:p>
        </w:tc>
        <w:tc>
          <w:tcPr>
            <w:tcW w:w="2084" w:type="dxa"/>
            <w:vAlign w:val="center"/>
          </w:tcPr>
          <w:p>
            <w:pPr>
              <w:spacing w:line="312" w:lineRule="auto"/>
              <w:jc w:val="center"/>
              <w:rPr>
                <w:color w:val="000000"/>
                <w:szCs w:val="21"/>
              </w:rPr>
            </w:pPr>
            <w:r>
              <w:rPr>
                <w:color w:val="000000"/>
                <w:szCs w:val="21"/>
              </w:rPr>
              <w:t>目标1、2</w:t>
            </w:r>
            <w:r>
              <w:rPr>
                <w:rFonts w:hint="eastAsia"/>
                <w:color w:val="000000"/>
                <w:szCs w:val="21"/>
              </w:rPr>
              <w:t>、3</w:t>
            </w:r>
          </w:p>
        </w:tc>
        <w:tc>
          <w:tcPr>
            <w:tcW w:w="1470" w:type="dxa"/>
            <w:vAlign w:val="center"/>
          </w:tcPr>
          <w:p>
            <w:pPr>
              <w:spacing w:line="312" w:lineRule="auto"/>
              <w:jc w:val="center"/>
              <w:rPr>
                <w:szCs w:val="21"/>
              </w:rPr>
            </w:pPr>
            <w:r>
              <w:rPr>
                <w:color w:val="000000"/>
                <w:szCs w:val="21"/>
              </w:rPr>
              <w:t>10-</w:t>
            </w:r>
            <w:r>
              <w:rPr>
                <w:rFonts w:hint="eastAsia"/>
                <w:color w:val="000000"/>
                <w:szCs w:val="21"/>
              </w:rPr>
              <w:t>1、10</w:t>
            </w:r>
            <w:r>
              <w:rPr>
                <w:color w:val="000000"/>
                <w:szCs w:val="21"/>
              </w:rPr>
              <w:t>-2</w:t>
            </w:r>
          </w:p>
        </w:tc>
        <w:tc>
          <w:tcPr>
            <w:tcW w:w="1370" w:type="dxa"/>
          </w:tcPr>
          <w:p>
            <w:pPr>
              <w:jc w:val="center"/>
            </w:pPr>
            <w:r>
              <w:rPr>
                <w:szCs w:val="21"/>
              </w:rPr>
              <w:t>1</w:t>
            </w:r>
            <w:r>
              <w:rPr>
                <w:rFonts w:hint="eastAsia"/>
                <w:szCs w:val="21"/>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Align w:val="center"/>
          </w:tcPr>
          <w:p>
            <w:pPr>
              <w:spacing w:line="312" w:lineRule="auto"/>
              <w:jc w:val="center"/>
              <w:rPr>
                <w:szCs w:val="21"/>
              </w:rPr>
            </w:pPr>
            <w:r>
              <w:rPr>
                <w:szCs w:val="21"/>
              </w:rPr>
              <w:t>5</w:t>
            </w:r>
          </w:p>
        </w:tc>
        <w:tc>
          <w:tcPr>
            <w:tcW w:w="3476" w:type="dxa"/>
            <w:vAlign w:val="center"/>
          </w:tcPr>
          <w:p>
            <w:pPr>
              <w:spacing w:line="312" w:lineRule="auto"/>
              <w:rPr>
                <w:color w:val="000000"/>
                <w:szCs w:val="21"/>
              </w:rPr>
            </w:pPr>
            <w:r>
              <w:rPr>
                <w:szCs w:val="21"/>
              </w:rPr>
              <w:t>Organic compounds</w:t>
            </w:r>
          </w:p>
        </w:tc>
        <w:tc>
          <w:tcPr>
            <w:tcW w:w="2084" w:type="dxa"/>
            <w:vAlign w:val="center"/>
          </w:tcPr>
          <w:p>
            <w:pPr>
              <w:spacing w:line="312" w:lineRule="auto"/>
              <w:jc w:val="center"/>
              <w:rPr>
                <w:color w:val="000000"/>
                <w:szCs w:val="21"/>
              </w:rPr>
            </w:pPr>
            <w:r>
              <w:rPr>
                <w:color w:val="000000"/>
                <w:szCs w:val="21"/>
              </w:rPr>
              <w:t>目标1、2</w:t>
            </w:r>
            <w:r>
              <w:rPr>
                <w:rFonts w:hint="eastAsia"/>
                <w:color w:val="000000"/>
                <w:szCs w:val="21"/>
              </w:rPr>
              <w:t>、3</w:t>
            </w:r>
          </w:p>
        </w:tc>
        <w:tc>
          <w:tcPr>
            <w:tcW w:w="1470" w:type="dxa"/>
            <w:vAlign w:val="center"/>
          </w:tcPr>
          <w:p>
            <w:pPr>
              <w:spacing w:line="312" w:lineRule="auto"/>
              <w:jc w:val="center"/>
              <w:rPr>
                <w:szCs w:val="21"/>
              </w:rPr>
            </w:pPr>
            <w:r>
              <w:rPr>
                <w:color w:val="000000"/>
                <w:szCs w:val="21"/>
              </w:rPr>
              <w:t>10-</w:t>
            </w:r>
            <w:r>
              <w:rPr>
                <w:rFonts w:hint="eastAsia"/>
                <w:color w:val="000000"/>
                <w:szCs w:val="21"/>
              </w:rPr>
              <w:t>1、10</w:t>
            </w:r>
            <w:r>
              <w:rPr>
                <w:color w:val="000000"/>
                <w:szCs w:val="21"/>
              </w:rPr>
              <w:t>-2</w:t>
            </w:r>
          </w:p>
        </w:tc>
        <w:tc>
          <w:tcPr>
            <w:tcW w:w="1370" w:type="dxa"/>
          </w:tcPr>
          <w:p>
            <w:pPr>
              <w:jc w:val="center"/>
            </w:pPr>
            <w:r>
              <w:rPr>
                <w:szCs w:val="21"/>
              </w:rPr>
              <w:t>1</w:t>
            </w:r>
            <w:r>
              <w:rPr>
                <w:rFonts w:hint="eastAsia"/>
                <w:szCs w:val="21"/>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0" w:type="dxa"/>
            <w:gridSpan w:val="4"/>
            <w:vAlign w:val="center"/>
          </w:tcPr>
          <w:p>
            <w:pPr>
              <w:spacing w:line="312" w:lineRule="auto"/>
              <w:jc w:val="center"/>
              <w:rPr>
                <w:szCs w:val="21"/>
              </w:rPr>
            </w:pPr>
            <w:r>
              <w:rPr>
                <w:szCs w:val="21"/>
              </w:rPr>
              <w:t>合 计</w:t>
            </w:r>
          </w:p>
        </w:tc>
        <w:tc>
          <w:tcPr>
            <w:tcW w:w="1370" w:type="dxa"/>
            <w:vAlign w:val="center"/>
          </w:tcPr>
          <w:p>
            <w:pPr>
              <w:spacing w:line="312" w:lineRule="auto"/>
              <w:jc w:val="center"/>
              <w:rPr>
                <w:rFonts w:hint="eastAsia"/>
                <w:szCs w:val="21"/>
              </w:rPr>
            </w:pPr>
            <w:r>
              <w:rPr>
                <w:szCs w:val="21"/>
              </w:rPr>
              <w:t>1</w:t>
            </w:r>
            <w:r>
              <w:rPr>
                <w:rFonts w:hint="eastAsia"/>
                <w:szCs w:val="21"/>
              </w:rPr>
              <w:t>周</w:t>
            </w:r>
          </w:p>
        </w:tc>
      </w:tr>
    </w:tbl>
    <w:p>
      <w:pPr>
        <w:spacing w:line="360" w:lineRule="auto"/>
        <w:ind w:firstLine="562" w:firstLineChars="200"/>
        <w:rPr>
          <w:rFonts w:hint="eastAsia"/>
          <w:b/>
          <w:sz w:val="28"/>
          <w:szCs w:val="28"/>
        </w:rPr>
      </w:pPr>
      <w:r>
        <w:rPr>
          <w:rFonts w:hint="eastAsia"/>
          <w:b/>
          <w:sz w:val="28"/>
          <w:szCs w:val="28"/>
        </w:rPr>
        <w:t>四</w:t>
      </w:r>
      <w:r>
        <w:rPr>
          <w:b/>
          <w:sz w:val="28"/>
          <w:szCs w:val="28"/>
        </w:rPr>
        <w:t>、</w:t>
      </w:r>
      <w:r>
        <w:rPr>
          <w:rFonts w:hint="eastAsia"/>
          <w:b/>
          <w:sz w:val="28"/>
          <w:szCs w:val="28"/>
        </w:rPr>
        <w:t>课程实施</w:t>
      </w:r>
    </w:p>
    <w:p>
      <w:pPr>
        <w:spacing w:line="360" w:lineRule="auto"/>
        <w:ind w:firstLine="480" w:firstLineChars="200"/>
        <w:rPr>
          <w:rFonts w:hint="eastAsia"/>
          <w:sz w:val="24"/>
        </w:rPr>
      </w:pPr>
      <w:r>
        <w:rPr>
          <w:sz w:val="24"/>
        </w:rPr>
        <w:t>（一）</w:t>
      </w:r>
      <w:r>
        <w:rPr>
          <w:rFonts w:hint="eastAsia"/>
          <w:sz w:val="24"/>
        </w:rPr>
        <w:t>学习和讲授科技文献检索课程需要以文献检索原理与存储原理为基础，掌握文献检索语言、检索技术或技巧，熟悉检索过程，熟练运用各种检索工具从多种途径检索文献</w:t>
      </w:r>
      <w:r>
        <w:rPr>
          <w:sz w:val="24"/>
        </w:rPr>
        <w:t>。</w:t>
      </w:r>
    </w:p>
    <w:p>
      <w:pPr>
        <w:spacing w:line="360" w:lineRule="auto"/>
        <w:ind w:firstLine="480" w:firstLineChars="200"/>
        <w:rPr>
          <w:sz w:val="24"/>
        </w:rPr>
      </w:pPr>
      <w:r>
        <w:rPr>
          <w:sz w:val="24"/>
        </w:rPr>
        <w:t>（二）采用</w:t>
      </w:r>
      <w:r>
        <w:rPr>
          <w:rFonts w:hint="eastAsia"/>
          <w:sz w:val="24"/>
        </w:rPr>
        <w:t>机房</w:t>
      </w:r>
      <w:r>
        <w:rPr>
          <w:sz w:val="24"/>
        </w:rPr>
        <w:t>教学</w:t>
      </w:r>
      <w:r>
        <w:rPr>
          <w:rFonts w:hint="eastAsia"/>
          <w:sz w:val="24"/>
        </w:rPr>
        <w:t>演示与实时实践的教学</w:t>
      </w:r>
      <w:r>
        <w:rPr>
          <w:sz w:val="24"/>
        </w:rPr>
        <w:t>手段，配合</w:t>
      </w:r>
      <w:r>
        <w:rPr>
          <w:rFonts w:hint="eastAsia"/>
          <w:sz w:val="24"/>
        </w:rPr>
        <w:t>实例</w:t>
      </w:r>
      <w:r>
        <w:rPr>
          <w:sz w:val="24"/>
        </w:rPr>
        <w:t>的讲解及适当的</w:t>
      </w:r>
      <w:r>
        <w:rPr>
          <w:rFonts w:hint="eastAsia"/>
          <w:sz w:val="24"/>
        </w:rPr>
        <w:t>练习操作</w:t>
      </w:r>
      <w:r>
        <w:rPr>
          <w:sz w:val="24"/>
        </w:rPr>
        <w:t>题，保证讲课进度的同时，注意学生的掌握程度。</w:t>
      </w:r>
    </w:p>
    <w:p>
      <w:pPr>
        <w:spacing w:line="360" w:lineRule="auto"/>
        <w:ind w:firstLine="480" w:firstLineChars="200"/>
        <w:rPr>
          <w:bCs/>
          <w:sz w:val="24"/>
        </w:rPr>
      </w:pPr>
      <w:r>
        <w:rPr>
          <w:sz w:val="24"/>
        </w:rPr>
        <w:t>（三）</w:t>
      </w:r>
      <w:r>
        <w:rPr>
          <w:bCs/>
          <w:sz w:val="24"/>
        </w:rPr>
        <w:t>主要教学环节的质量要求如下表所示。</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
        <w:gridCol w:w="1701"/>
        <w:gridCol w:w="6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3" w:type="dxa"/>
            <w:gridSpan w:val="2"/>
            <w:tcBorders>
              <w:top w:val="single" w:color="auto" w:sz="8" w:space="0"/>
              <w:left w:val="single" w:color="auto" w:sz="8" w:space="0"/>
              <w:right w:val="single" w:color="auto" w:sz="8" w:space="0"/>
            </w:tcBorders>
            <w:tcMar>
              <w:left w:w="28" w:type="dxa"/>
              <w:right w:w="28" w:type="dxa"/>
            </w:tcMar>
            <w:vAlign w:val="center"/>
          </w:tcPr>
          <w:p>
            <w:pPr>
              <w:spacing w:line="276" w:lineRule="auto"/>
              <w:jc w:val="center"/>
              <w:rPr>
                <w:szCs w:val="21"/>
              </w:rPr>
            </w:pPr>
            <w:r>
              <w:rPr>
                <w:bCs/>
                <w:szCs w:val="21"/>
              </w:rPr>
              <w:t>主要教学环节</w:t>
            </w:r>
          </w:p>
        </w:tc>
        <w:tc>
          <w:tcPr>
            <w:tcW w:w="6817" w:type="dxa"/>
            <w:tcBorders>
              <w:top w:val="single" w:color="auto" w:sz="8" w:space="0"/>
              <w:left w:val="single" w:color="auto" w:sz="8" w:space="0"/>
              <w:right w:val="single" w:color="auto" w:sz="8" w:space="0"/>
            </w:tcBorders>
            <w:vAlign w:val="center"/>
          </w:tcPr>
          <w:p>
            <w:pPr>
              <w:spacing w:line="276" w:lineRule="auto"/>
              <w:jc w:val="center"/>
              <w:rPr>
                <w:szCs w:val="21"/>
              </w:rPr>
            </w:pPr>
            <w:r>
              <w:rPr>
                <w:bCs/>
                <w:szCs w:val="21"/>
              </w:rPr>
              <w:t>质量</w:t>
            </w:r>
            <w:r>
              <w:rPr>
                <w:rFonts w:hint="eastAsia"/>
                <w:bCs/>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6" w:hRule="atLeast"/>
          <w:jc w:val="center"/>
        </w:trPr>
        <w:tc>
          <w:tcPr>
            <w:tcW w:w="582" w:type="dxa"/>
            <w:tcBorders>
              <w:left w:val="single" w:color="auto" w:sz="8" w:space="0"/>
            </w:tcBorders>
            <w:vAlign w:val="center"/>
          </w:tcPr>
          <w:p>
            <w:pPr>
              <w:spacing w:line="276" w:lineRule="auto"/>
              <w:jc w:val="center"/>
              <w:rPr>
                <w:szCs w:val="21"/>
              </w:rPr>
            </w:pPr>
            <w:r>
              <w:rPr>
                <w:szCs w:val="21"/>
              </w:rPr>
              <w:t>1</w:t>
            </w:r>
          </w:p>
        </w:tc>
        <w:tc>
          <w:tcPr>
            <w:tcW w:w="1701" w:type="dxa"/>
            <w:tcMar>
              <w:left w:w="28" w:type="dxa"/>
              <w:right w:w="28" w:type="dxa"/>
            </w:tcMar>
            <w:vAlign w:val="center"/>
          </w:tcPr>
          <w:p>
            <w:pPr>
              <w:spacing w:line="276" w:lineRule="auto"/>
              <w:jc w:val="center"/>
              <w:rPr>
                <w:szCs w:val="21"/>
              </w:rPr>
            </w:pPr>
            <w:r>
              <w:rPr>
                <w:szCs w:val="21"/>
              </w:rPr>
              <w:t>备课</w:t>
            </w:r>
          </w:p>
        </w:tc>
        <w:tc>
          <w:tcPr>
            <w:tcW w:w="6817" w:type="dxa"/>
            <w:tcBorders>
              <w:right w:val="single" w:color="auto" w:sz="8" w:space="0"/>
            </w:tcBorders>
            <w:vAlign w:val="center"/>
          </w:tcPr>
          <w:p>
            <w:pPr>
              <w:spacing w:line="276" w:lineRule="auto"/>
              <w:rPr>
                <w:szCs w:val="21"/>
              </w:rPr>
            </w:pPr>
            <w:r>
              <w:rPr>
                <w:szCs w:val="21"/>
              </w:rPr>
              <w:t>（1）掌握本课程教学大纲内容，严格按照教学大纲要求进行课程教学内容的组织。</w:t>
            </w:r>
          </w:p>
          <w:p>
            <w:pPr>
              <w:spacing w:line="276" w:lineRule="auto"/>
              <w:rPr>
                <w:szCs w:val="21"/>
              </w:rPr>
            </w:pPr>
            <w:r>
              <w:rPr>
                <w:szCs w:val="21"/>
              </w:rPr>
              <w:t>（2）熟悉教材各章节，借助专业书籍资料，并依据教学大纲编写授课计划，编写每次授课的教案。教案内容包括章节标题、教学目的、教法设计、课堂类型、时间分配、授课内容、课后作业、教学效果分析等方面。</w:t>
            </w:r>
          </w:p>
          <w:p>
            <w:pPr>
              <w:spacing w:line="276" w:lineRule="auto"/>
              <w:rPr>
                <w:szCs w:val="21"/>
              </w:rPr>
            </w:pPr>
            <w:r>
              <w:rPr>
                <w:szCs w:val="21"/>
              </w:rPr>
              <w:t>（3）</w:t>
            </w:r>
            <w:r>
              <w:rPr>
                <w:rFonts w:hint="eastAsia"/>
                <w:szCs w:val="21"/>
              </w:rPr>
              <w:t>根据</w:t>
            </w:r>
            <w:r>
              <w:rPr>
                <w:szCs w:val="21"/>
              </w:rPr>
              <w:t>各部分</w:t>
            </w:r>
            <w:r>
              <w:rPr>
                <w:rFonts w:hint="eastAsia"/>
                <w:szCs w:val="21"/>
              </w:rPr>
              <w:t>教学</w:t>
            </w:r>
            <w:r>
              <w:rPr>
                <w:szCs w:val="21"/>
              </w:rPr>
              <w:t>内容</w:t>
            </w:r>
            <w:r>
              <w:rPr>
                <w:rFonts w:hint="eastAsia"/>
                <w:szCs w:val="21"/>
              </w:rPr>
              <w:t>，</w:t>
            </w:r>
            <w:r>
              <w:rPr>
                <w:szCs w:val="21"/>
              </w:rPr>
              <w:t>构思授课思路、技巧</w:t>
            </w:r>
            <w:r>
              <w:rPr>
                <w:rFonts w:hint="eastAsia"/>
                <w:szCs w:val="21"/>
              </w:rPr>
              <w:t>，选择合适的</w:t>
            </w:r>
            <w:r>
              <w:rPr>
                <w:szCs w:val="21"/>
              </w:rPr>
              <w:t>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tcBorders>
              <w:left w:val="single" w:color="auto" w:sz="8" w:space="0"/>
            </w:tcBorders>
            <w:vAlign w:val="center"/>
          </w:tcPr>
          <w:p>
            <w:pPr>
              <w:spacing w:line="276" w:lineRule="auto"/>
              <w:jc w:val="center"/>
              <w:rPr>
                <w:szCs w:val="21"/>
              </w:rPr>
            </w:pPr>
            <w:r>
              <w:rPr>
                <w:szCs w:val="21"/>
              </w:rPr>
              <w:t>2</w:t>
            </w:r>
          </w:p>
        </w:tc>
        <w:tc>
          <w:tcPr>
            <w:tcW w:w="1701" w:type="dxa"/>
            <w:tcMar>
              <w:left w:w="28" w:type="dxa"/>
              <w:right w:w="28" w:type="dxa"/>
            </w:tcMar>
            <w:vAlign w:val="center"/>
          </w:tcPr>
          <w:p>
            <w:pPr>
              <w:spacing w:line="276" w:lineRule="auto"/>
              <w:jc w:val="center"/>
              <w:rPr>
                <w:szCs w:val="21"/>
              </w:rPr>
            </w:pPr>
            <w:r>
              <w:rPr>
                <w:szCs w:val="21"/>
              </w:rPr>
              <w:t>讲授</w:t>
            </w:r>
          </w:p>
        </w:tc>
        <w:tc>
          <w:tcPr>
            <w:tcW w:w="6817" w:type="dxa"/>
            <w:tcBorders>
              <w:right w:val="single" w:color="auto" w:sz="8" w:space="0"/>
            </w:tcBorders>
            <w:vAlign w:val="center"/>
          </w:tcPr>
          <w:p>
            <w:pPr>
              <w:spacing w:line="276" w:lineRule="auto"/>
              <w:rPr>
                <w:szCs w:val="21"/>
              </w:rPr>
            </w:pPr>
            <w:r>
              <w:rPr>
                <w:rFonts w:hint="eastAsia"/>
                <w:szCs w:val="21"/>
              </w:rPr>
              <w:t>（1）</w:t>
            </w:r>
            <w:r>
              <w:rPr>
                <w:szCs w:val="21"/>
              </w:rPr>
              <w:t>要点准确</w:t>
            </w:r>
            <w:r>
              <w:rPr>
                <w:rFonts w:hint="eastAsia"/>
                <w:szCs w:val="21"/>
              </w:rPr>
              <w:t>、</w:t>
            </w:r>
            <w:r>
              <w:rPr>
                <w:szCs w:val="21"/>
              </w:rPr>
              <w:t>推理正确</w:t>
            </w:r>
            <w:r>
              <w:rPr>
                <w:rFonts w:hint="eastAsia"/>
                <w:szCs w:val="21"/>
              </w:rPr>
              <w:t>、</w:t>
            </w:r>
            <w:r>
              <w:rPr>
                <w:szCs w:val="21"/>
              </w:rPr>
              <w:t>条理清晰</w:t>
            </w:r>
            <w:r>
              <w:rPr>
                <w:rFonts w:hint="eastAsia"/>
                <w:szCs w:val="21"/>
              </w:rPr>
              <w:t>、</w:t>
            </w:r>
            <w:r>
              <w:rPr>
                <w:szCs w:val="21"/>
              </w:rPr>
              <w:t>重点突出，</w:t>
            </w:r>
            <w:r>
              <w:rPr>
                <w:rFonts w:hint="eastAsia"/>
                <w:szCs w:val="21"/>
              </w:rPr>
              <w:t>能够</w:t>
            </w:r>
            <w:r>
              <w:rPr>
                <w:szCs w:val="21"/>
              </w:rPr>
              <w:t>理论联系实际，熟练地解答和讲解例题。</w:t>
            </w:r>
          </w:p>
          <w:p>
            <w:pPr>
              <w:spacing w:line="276" w:lineRule="auto"/>
              <w:rPr>
                <w:szCs w:val="21"/>
              </w:rPr>
            </w:pPr>
            <w:r>
              <w:rPr>
                <w:rFonts w:hint="eastAsia"/>
                <w:szCs w:val="21"/>
              </w:rPr>
              <w:t>（2）</w:t>
            </w:r>
            <w:r>
              <w:rPr>
                <w:szCs w:val="21"/>
              </w:rPr>
              <w:t>采用多种教学方式（如启发式教学、案例分析教学、讨论式教学、多媒体示范教学等），注重培养学生发现、分析和解决问题的能力。</w:t>
            </w:r>
          </w:p>
          <w:p>
            <w:pPr>
              <w:spacing w:line="276" w:lineRule="auto"/>
              <w:rPr>
                <w:szCs w:val="21"/>
              </w:rPr>
            </w:pPr>
            <w:r>
              <w:rPr>
                <w:rFonts w:hint="eastAsia"/>
                <w:szCs w:val="21"/>
              </w:rPr>
              <w:t>（3）能够采用现代信息技术辅助</w:t>
            </w:r>
            <w:r>
              <w:rPr>
                <w:szCs w:val="21"/>
              </w:rPr>
              <w:t>教学。</w:t>
            </w:r>
          </w:p>
          <w:p>
            <w:pPr>
              <w:spacing w:line="276" w:lineRule="auto"/>
              <w:rPr>
                <w:szCs w:val="21"/>
              </w:rPr>
            </w:pPr>
            <w:r>
              <w:rPr>
                <w:rFonts w:hint="eastAsia"/>
                <w:szCs w:val="21"/>
              </w:rPr>
              <w:t>（4）</w:t>
            </w:r>
            <w:r>
              <w:rPr>
                <w:szCs w:val="21"/>
              </w:rPr>
              <w:t>表达方式</w:t>
            </w:r>
            <w:r>
              <w:rPr>
                <w:rFonts w:hint="eastAsia"/>
                <w:szCs w:val="21"/>
              </w:rPr>
              <w:t>应能</w:t>
            </w:r>
            <w:r>
              <w:rPr>
                <w:szCs w:val="21"/>
              </w:rPr>
              <w:t>便于学生理解、接受，力求形象生动，使学生在掌握知识的过程中，保持较为浓厚的</w:t>
            </w:r>
            <w:r>
              <w:rPr>
                <w:rFonts w:hint="eastAsia"/>
                <w:szCs w:val="21"/>
              </w:rPr>
              <w:t>学习</w:t>
            </w:r>
            <w:r>
              <w:rPr>
                <w:szCs w:val="21"/>
              </w:rPr>
              <w:t>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jc w:val="center"/>
        </w:trPr>
        <w:tc>
          <w:tcPr>
            <w:tcW w:w="582" w:type="dxa"/>
            <w:tcBorders>
              <w:left w:val="single" w:color="auto" w:sz="8" w:space="0"/>
            </w:tcBorders>
            <w:vAlign w:val="center"/>
          </w:tcPr>
          <w:p>
            <w:pPr>
              <w:spacing w:line="276" w:lineRule="auto"/>
              <w:jc w:val="center"/>
              <w:rPr>
                <w:szCs w:val="21"/>
              </w:rPr>
            </w:pPr>
            <w:r>
              <w:rPr>
                <w:szCs w:val="21"/>
              </w:rPr>
              <w:t>3</w:t>
            </w:r>
          </w:p>
        </w:tc>
        <w:tc>
          <w:tcPr>
            <w:tcW w:w="1701" w:type="dxa"/>
            <w:tcMar>
              <w:left w:w="28" w:type="dxa"/>
              <w:right w:w="28" w:type="dxa"/>
            </w:tcMar>
            <w:vAlign w:val="center"/>
          </w:tcPr>
          <w:p>
            <w:pPr>
              <w:spacing w:line="276" w:lineRule="auto"/>
              <w:jc w:val="center"/>
              <w:rPr>
                <w:szCs w:val="21"/>
              </w:rPr>
            </w:pPr>
            <w:r>
              <w:rPr>
                <w:szCs w:val="21"/>
              </w:rPr>
              <w:t>作业布置与批改</w:t>
            </w:r>
          </w:p>
        </w:tc>
        <w:tc>
          <w:tcPr>
            <w:tcW w:w="6817" w:type="dxa"/>
            <w:tcBorders>
              <w:right w:val="single" w:color="auto" w:sz="8" w:space="0"/>
            </w:tcBorders>
            <w:vAlign w:val="center"/>
          </w:tcPr>
          <w:p>
            <w:pPr>
              <w:spacing w:line="276" w:lineRule="auto"/>
              <w:rPr>
                <w:szCs w:val="21"/>
              </w:rPr>
            </w:pPr>
            <w:r>
              <w:rPr>
                <w:szCs w:val="21"/>
              </w:rPr>
              <w:t>学生必须完成</w:t>
            </w:r>
            <w:r>
              <w:rPr>
                <w:rFonts w:hint="eastAsia"/>
                <w:szCs w:val="21"/>
              </w:rPr>
              <w:t>规定</w:t>
            </w:r>
            <w:r>
              <w:rPr>
                <w:szCs w:val="21"/>
              </w:rPr>
              <w:t>数量的作业</w:t>
            </w:r>
            <w:r>
              <w:rPr>
                <w:rFonts w:hint="eastAsia"/>
                <w:szCs w:val="21"/>
              </w:rPr>
              <w:t>，</w:t>
            </w:r>
            <w:r>
              <w:rPr>
                <w:szCs w:val="21"/>
              </w:rPr>
              <w:t>作业必须达到以下基本要求：</w:t>
            </w:r>
          </w:p>
          <w:p>
            <w:pPr>
              <w:spacing w:line="276" w:lineRule="auto"/>
              <w:rPr>
                <w:szCs w:val="21"/>
              </w:rPr>
            </w:pPr>
            <w:r>
              <w:rPr>
                <w:rFonts w:hint="eastAsia"/>
                <w:szCs w:val="21"/>
              </w:rPr>
              <w:t>（1）</w:t>
            </w:r>
            <w:r>
              <w:rPr>
                <w:szCs w:val="21"/>
              </w:rPr>
              <w:t>按时按量完成作业，不缺交，不抄袭</w:t>
            </w:r>
            <w:r>
              <w:rPr>
                <w:rFonts w:hint="eastAsia"/>
                <w:szCs w:val="21"/>
              </w:rPr>
              <w:t>。</w:t>
            </w:r>
          </w:p>
          <w:p>
            <w:pPr>
              <w:spacing w:line="276" w:lineRule="auto"/>
              <w:rPr>
                <w:szCs w:val="21"/>
              </w:rPr>
            </w:pPr>
            <w:r>
              <w:rPr>
                <w:rFonts w:hint="eastAsia"/>
                <w:szCs w:val="21"/>
              </w:rPr>
              <w:t>（2）书写</w:t>
            </w:r>
            <w:r>
              <w:rPr>
                <w:szCs w:val="21"/>
              </w:rPr>
              <w:t>规范</w:t>
            </w:r>
            <w:r>
              <w:rPr>
                <w:rFonts w:hint="eastAsia"/>
                <w:szCs w:val="21"/>
              </w:rPr>
              <w:t>、</w:t>
            </w:r>
            <w:r>
              <w:rPr>
                <w:szCs w:val="21"/>
              </w:rPr>
              <w:t>清晰</w:t>
            </w:r>
            <w:r>
              <w:rPr>
                <w:rFonts w:hint="eastAsia"/>
                <w:szCs w:val="21"/>
              </w:rPr>
              <w:t>。</w:t>
            </w:r>
          </w:p>
          <w:p>
            <w:pPr>
              <w:spacing w:line="276" w:lineRule="auto"/>
              <w:rPr>
                <w:szCs w:val="21"/>
              </w:rPr>
            </w:pPr>
            <w:r>
              <w:rPr>
                <w:rFonts w:hint="eastAsia"/>
                <w:szCs w:val="21"/>
              </w:rPr>
              <w:t>（3）</w:t>
            </w:r>
            <w:r>
              <w:rPr>
                <w:szCs w:val="21"/>
              </w:rPr>
              <w:t>解题方法和步骤正确。</w:t>
            </w:r>
          </w:p>
          <w:p>
            <w:pPr>
              <w:spacing w:line="276" w:lineRule="auto"/>
              <w:rPr>
                <w:szCs w:val="21"/>
              </w:rPr>
            </w:pPr>
            <w:r>
              <w:rPr>
                <w:szCs w:val="21"/>
              </w:rPr>
              <w:t>教师批改</w:t>
            </w:r>
            <w:r>
              <w:rPr>
                <w:rFonts w:hint="eastAsia"/>
                <w:szCs w:val="21"/>
              </w:rPr>
              <w:t>和</w:t>
            </w:r>
            <w:r>
              <w:rPr>
                <w:szCs w:val="21"/>
              </w:rPr>
              <w:t>讲评作业要求如下：</w:t>
            </w:r>
          </w:p>
          <w:p>
            <w:pPr>
              <w:spacing w:line="276" w:lineRule="auto"/>
              <w:rPr>
                <w:szCs w:val="21"/>
              </w:rPr>
            </w:pPr>
            <w:r>
              <w:rPr>
                <w:rFonts w:hint="eastAsia"/>
                <w:szCs w:val="21"/>
              </w:rPr>
              <w:t>（1）</w:t>
            </w:r>
            <w:r>
              <w:rPr>
                <w:szCs w:val="21"/>
              </w:rPr>
              <w:t>学生的作业要</w:t>
            </w:r>
            <w:r>
              <w:rPr>
                <w:rFonts w:hint="eastAsia"/>
                <w:szCs w:val="21"/>
              </w:rPr>
              <w:t>按时</w:t>
            </w:r>
            <w:r>
              <w:rPr>
                <w:szCs w:val="21"/>
              </w:rPr>
              <w:t>全</w:t>
            </w:r>
            <w:r>
              <w:rPr>
                <w:rFonts w:hint="eastAsia"/>
                <w:szCs w:val="21"/>
              </w:rPr>
              <w:t>部</w:t>
            </w:r>
            <w:r>
              <w:rPr>
                <w:szCs w:val="21"/>
              </w:rPr>
              <w:t>批改，并</w:t>
            </w:r>
            <w:r>
              <w:rPr>
                <w:rFonts w:hint="eastAsia"/>
                <w:szCs w:val="21"/>
              </w:rPr>
              <w:t>及时进行</w:t>
            </w:r>
            <w:r>
              <w:rPr>
                <w:szCs w:val="21"/>
              </w:rPr>
              <w:t>讲评</w:t>
            </w:r>
            <w:r>
              <w:rPr>
                <w:rFonts w:hint="eastAsia"/>
                <w:szCs w:val="21"/>
              </w:rPr>
              <w:t>。</w:t>
            </w:r>
          </w:p>
          <w:p>
            <w:pPr>
              <w:spacing w:line="276" w:lineRule="auto"/>
              <w:rPr>
                <w:szCs w:val="21"/>
              </w:rPr>
            </w:pPr>
            <w:r>
              <w:rPr>
                <w:rFonts w:hint="eastAsia"/>
                <w:szCs w:val="21"/>
              </w:rPr>
              <w:t>（2）</w:t>
            </w:r>
            <w:r>
              <w:rPr>
                <w:szCs w:val="21"/>
              </w:rPr>
              <w:t>教师批改</w:t>
            </w:r>
            <w:r>
              <w:rPr>
                <w:rFonts w:hint="eastAsia"/>
                <w:szCs w:val="21"/>
              </w:rPr>
              <w:t>和</w:t>
            </w:r>
            <w:r>
              <w:rPr>
                <w:szCs w:val="21"/>
              </w:rPr>
              <w:t>讲评作业要认真、细致，按百分制评定成绩并写明日期</w:t>
            </w:r>
            <w:r>
              <w:rPr>
                <w:rFonts w:hint="eastAsia"/>
                <w:szCs w:val="21"/>
              </w:rPr>
              <w:t>。</w:t>
            </w:r>
          </w:p>
          <w:p>
            <w:pPr>
              <w:spacing w:line="276" w:lineRule="auto"/>
              <w:rPr>
                <w:szCs w:val="21"/>
              </w:rPr>
            </w:pPr>
            <w:r>
              <w:rPr>
                <w:rFonts w:hint="eastAsia"/>
                <w:szCs w:val="21"/>
              </w:rPr>
              <w:t>（3）</w:t>
            </w:r>
            <w:r>
              <w:rPr>
                <w:szCs w:val="21"/>
              </w:rPr>
              <w:t>学生作业的平均成绩</w:t>
            </w:r>
            <w:r>
              <w:rPr>
                <w:rFonts w:hint="eastAsia"/>
                <w:szCs w:val="21"/>
              </w:rPr>
              <w:t>应</w:t>
            </w:r>
            <w:r>
              <w:rPr>
                <w:szCs w:val="21"/>
              </w:rPr>
              <w:t>作为本课程总评成绩中平时成绩的重要组成部分。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582" w:type="dxa"/>
            <w:tcBorders>
              <w:left w:val="single" w:color="auto" w:sz="8" w:space="0"/>
            </w:tcBorders>
            <w:vAlign w:val="center"/>
          </w:tcPr>
          <w:p>
            <w:pPr>
              <w:spacing w:line="276" w:lineRule="auto"/>
              <w:jc w:val="center"/>
              <w:rPr>
                <w:szCs w:val="21"/>
              </w:rPr>
            </w:pPr>
            <w:r>
              <w:rPr>
                <w:szCs w:val="21"/>
              </w:rPr>
              <w:t>4</w:t>
            </w:r>
          </w:p>
        </w:tc>
        <w:tc>
          <w:tcPr>
            <w:tcW w:w="1701" w:type="dxa"/>
            <w:tcMar>
              <w:left w:w="28" w:type="dxa"/>
              <w:right w:w="28" w:type="dxa"/>
            </w:tcMar>
            <w:vAlign w:val="center"/>
          </w:tcPr>
          <w:p>
            <w:pPr>
              <w:spacing w:line="276" w:lineRule="auto"/>
              <w:jc w:val="center"/>
              <w:rPr>
                <w:szCs w:val="21"/>
              </w:rPr>
            </w:pPr>
            <w:r>
              <w:rPr>
                <w:szCs w:val="21"/>
              </w:rPr>
              <w:t>课外答疑</w:t>
            </w:r>
          </w:p>
        </w:tc>
        <w:tc>
          <w:tcPr>
            <w:tcW w:w="6817" w:type="dxa"/>
            <w:tcBorders>
              <w:right w:val="single" w:color="auto" w:sz="8" w:space="0"/>
            </w:tcBorders>
            <w:vAlign w:val="center"/>
          </w:tcPr>
          <w:p>
            <w:pPr>
              <w:spacing w:line="276" w:lineRule="auto"/>
              <w:rPr>
                <w:szCs w:val="21"/>
              </w:rPr>
            </w:pPr>
            <w:r>
              <w:rPr>
                <w:szCs w:val="21"/>
              </w:rPr>
              <w:t>为了解学生的学习情况，帮助学生</w:t>
            </w:r>
            <w:r>
              <w:rPr>
                <w:rFonts w:hint="eastAsia"/>
                <w:szCs w:val="21"/>
              </w:rPr>
              <w:t>更好地</w:t>
            </w:r>
            <w:r>
              <w:rPr>
                <w:szCs w:val="21"/>
              </w:rPr>
              <w:t>理解和消化所学知识、改进学习方法和思维方式，培养其独立思考问题的能力，任课教师</w:t>
            </w:r>
            <w:r>
              <w:rPr>
                <w:rFonts w:hint="eastAsia"/>
                <w:szCs w:val="21"/>
              </w:rPr>
              <w:t>需</w:t>
            </w:r>
            <w:r>
              <w:rPr>
                <w:szCs w:val="21"/>
              </w:rPr>
              <w:t>每周安排</w:t>
            </w:r>
            <w:r>
              <w:rPr>
                <w:rFonts w:hint="eastAsia"/>
                <w:szCs w:val="21"/>
              </w:rPr>
              <w:t>一定</w:t>
            </w:r>
            <w:r>
              <w:rPr>
                <w:szCs w:val="21"/>
              </w:rPr>
              <w:t>时间进行课外答疑与辅导。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582" w:type="dxa"/>
            <w:tcBorders>
              <w:left w:val="single" w:color="auto" w:sz="8" w:space="0"/>
            </w:tcBorders>
            <w:vAlign w:val="center"/>
          </w:tcPr>
          <w:p>
            <w:pPr>
              <w:spacing w:line="276" w:lineRule="auto"/>
              <w:jc w:val="center"/>
              <w:rPr>
                <w:szCs w:val="21"/>
              </w:rPr>
            </w:pPr>
            <w:r>
              <w:rPr>
                <w:szCs w:val="21"/>
              </w:rPr>
              <w:t>5</w:t>
            </w:r>
          </w:p>
        </w:tc>
        <w:tc>
          <w:tcPr>
            <w:tcW w:w="1701" w:type="dxa"/>
            <w:tcMar>
              <w:left w:w="28" w:type="dxa"/>
              <w:right w:w="28" w:type="dxa"/>
            </w:tcMar>
            <w:vAlign w:val="center"/>
          </w:tcPr>
          <w:p>
            <w:pPr>
              <w:spacing w:line="276" w:lineRule="auto"/>
              <w:jc w:val="center"/>
              <w:rPr>
                <w:szCs w:val="21"/>
              </w:rPr>
            </w:pPr>
            <w:r>
              <w:rPr>
                <w:szCs w:val="21"/>
              </w:rPr>
              <w:t>成绩考核</w:t>
            </w:r>
          </w:p>
        </w:tc>
        <w:tc>
          <w:tcPr>
            <w:tcW w:w="6817" w:type="dxa"/>
            <w:tcBorders>
              <w:right w:val="single" w:color="auto" w:sz="8" w:space="0"/>
            </w:tcBorders>
            <w:vAlign w:val="center"/>
          </w:tcPr>
          <w:p>
            <w:pPr>
              <w:spacing w:line="276" w:lineRule="auto"/>
              <w:rPr>
                <w:szCs w:val="21"/>
              </w:rPr>
            </w:pPr>
            <w:r>
              <w:rPr>
                <w:szCs w:val="21"/>
              </w:rPr>
              <w:t>本课程考核的方式</w:t>
            </w:r>
            <w:r>
              <w:rPr>
                <w:rFonts w:hint="eastAsia"/>
                <w:szCs w:val="21"/>
              </w:rPr>
              <w:t>为课程论文的撰写</w:t>
            </w:r>
            <w:r>
              <w:rPr>
                <w:szCs w:val="21"/>
              </w:rPr>
              <w:t>。有下列情况之一者，总评成绩为不及格：</w:t>
            </w:r>
          </w:p>
          <w:p>
            <w:pPr>
              <w:spacing w:line="276" w:lineRule="auto"/>
              <w:rPr>
                <w:szCs w:val="21"/>
              </w:rPr>
            </w:pPr>
            <w:r>
              <w:rPr>
                <w:rFonts w:hint="eastAsia"/>
                <w:szCs w:val="21"/>
              </w:rPr>
              <w:t>（1）</w:t>
            </w:r>
            <w:r>
              <w:rPr>
                <w:szCs w:val="21"/>
              </w:rPr>
              <w:t>缺交作业次数达1/3</w:t>
            </w:r>
            <w:r>
              <w:rPr>
                <w:rFonts w:hint="eastAsia"/>
                <w:szCs w:val="21"/>
              </w:rPr>
              <w:t>及</w:t>
            </w:r>
            <w:r>
              <w:rPr>
                <w:szCs w:val="21"/>
              </w:rPr>
              <w:t>以上者</w:t>
            </w:r>
            <w:r>
              <w:rPr>
                <w:rFonts w:hint="eastAsia"/>
                <w:szCs w:val="21"/>
              </w:rPr>
              <w:t>。</w:t>
            </w:r>
          </w:p>
          <w:p>
            <w:pPr>
              <w:spacing w:line="276" w:lineRule="auto"/>
              <w:rPr>
                <w:szCs w:val="21"/>
              </w:rPr>
            </w:pPr>
            <w:r>
              <w:rPr>
                <w:rFonts w:hint="eastAsia"/>
                <w:szCs w:val="21"/>
              </w:rPr>
              <w:t>（2）</w:t>
            </w:r>
            <w:r>
              <w:rPr>
                <w:szCs w:val="21"/>
              </w:rPr>
              <w:t>缺课次数达本学期总授课学时的1/3</w:t>
            </w:r>
            <w:r>
              <w:rPr>
                <w:rFonts w:hint="eastAsia"/>
                <w:szCs w:val="21"/>
              </w:rPr>
              <w:t>及</w:t>
            </w:r>
            <w:r>
              <w:rPr>
                <w:szCs w:val="21"/>
              </w:rPr>
              <w:t>以上者</w:t>
            </w:r>
            <w:r>
              <w:rPr>
                <w:rFonts w:hint="eastAsia"/>
                <w:szCs w:val="21"/>
              </w:rPr>
              <w:t>。</w:t>
            </w:r>
          </w:p>
        </w:tc>
      </w:tr>
    </w:tbl>
    <w:p>
      <w:pPr>
        <w:spacing w:line="360" w:lineRule="auto"/>
        <w:ind w:firstLine="562" w:firstLineChars="200"/>
        <w:rPr>
          <w:rFonts w:hint="eastAsia"/>
          <w:b/>
          <w:sz w:val="28"/>
          <w:szCs w:val="28"/>
        </w:rPr>
      </w:pPr>
      <w:r>
        <w:rPr>
          <w:rFonts w:hint="eastAsia"/>
          <w:b/>
          <w:sz w:val="28"/>
          <w:szCs w:val="28"/>
        </w:rPr>
        <w:t>五、课程考核与成绩评定方法</w:t>
      </w:r>
    </w:p>
    <w:p>
      <w:pPr>
        <w:spacing w:line="360" w:lineRule="auto"/>
        <w:ind w:firstLine="720" w:firstLineChars="300"/>
        <w:rPr>
          <w:rFonts w:hint="eastAsia"/>
          <w:sz w:val="24"/>
          <w:szCs w:val="22"/>
        </w:rPr>
      </w:pPr>
      <w:r>
        <w:rPr>
          <w:rFonts w:hint="eastAsia"/>
          <w:sz w:val="24"/>
          <w:szCs w:val="22"/>
        </w:rPr>
        <w:t>1. 命题要求</w:t>
      </w:r>
    </w:p>
    <w:p>
      <w:pPr>
        <w:spacing w:line="360" w:lineRule="auto"/>
        <w:ind w:firstLine="720" w:firstLineChars="300"/>
        <w:rPr>
          <w:rFonts w:hint="eastAsia"/>
          <w:sz w:val="24"/>
          <w:szCs w:val="22"/>
        </w:rPr>
      </w:pPr>
      <w:r>
        <w:rPr>
          <w:rFonts w:hint="eastAsia"/>
          <w:sz w:val="24"/>
          <w:szCs w:val="22"/>
        </w:rPr>
        <w:t>（1）命题内容要求</w:t>
      </w:r>
    </w:p>
    <w:p>
      <w:pPr>
        <w:spacing w:line="360" w:lineRule="auto"/>
        <w:ind w:firstLine="960" w:firstLineChars="400"/>
        <w:rPr>
          <w:rFonts w:hint="eastAsia"/>
          <w:bCs/>
          <w:sz w:val="24"/>
        </w:rPr>
      </w:pPr>
      <w:r>
        <w:rPr>
          <w:rFonts w:hint="eastAsia"/>
          <w:bCs/>
          <w:kern w:val="0"/>
          <w:sz w:val="24"/>
        </w:rPr>
        <w:t>本课程是培养学术的信息意识、信息能力、信息素质，掌握通过手工检索方式和计算机检索方式获取所需信息的一门方法课，具有较强的理论性、知识性和实践性。课程论文的命题主要是考查学生对本专业及相关专业信息资源的熟悉程度；是否具备通过多种方式获取和利用信息资源的基本技能；是否能自如地利用我院图书馆拥有的资源和通过互联网查阅各种有用资料，并合理有效地利用信息资源；是否具备对丰富信息资源有良好的分析和鉴别能力。</w:t>
      </w:r>
    </w:p>
    <w:p>
      <w:pPr>
        <w:spacing w:line="360" w:lineRule="auto"/>
        <w:ind w:firstLine="720" w:firstLineChars="300"/>
        <w:rPr>
          <w:rFonts w:hint="eastAsia"/>
          <w:sz w:val="24"/>
          <w:szCs w:val="22"/>
        </w:rPr>
      </w:pPr>
      <w:r>
        <w:rPr>
          <w:rFonts w:hint="eastAsia"/>
          <w:sz w:val="24"/>
          <w:szCs w:val="22"/>
        </w:rPr>
        <w:t>（2）命题的覆盖面、难易度、题型结构等要求</w:t>
      </w:r>
    </w:p>
    <w:p>
      <w:pPr>
        <w:spacing w:line="360" w:lineRule="auto"/>
        <w:ind w:firstLine="720" w:firstLineChars="300"/>
        <w:rPr>
          <w:rFonts w:hint="eastAsia"/>
          <w:sz w:val="24"/>
          <w:szCs w:val="22"/>
        </w:rPr>
      </w:pPr>
      <w:r>
        <w:rPr>
          <w:rFonts w:hint="eastAsia"/>
          <w:sz w:val="24"/>
          <w:szCs w:val="22"/>
        </w:rPr>
        <w:t>重点考查内容为中英文期刊文献及图书的检索、专利的检索、学位论文的检索及会议论文的检索。课后作业会结合授课内容和专业实际布置相关的上机操作作业。课程论文以综合训练形式考查学生对文献检索技能的学习效果。</w:t>
      </w:r>
    </w:p>
    <w:p>
      <w:pPr>
        <w:spacing w:line="360" w:lineRule="auto"/>
        <w:ind w:firstLine="720" w:firstLineChars="300"/>
        <w:rPr>
          <w:rFonts w:hint="eastAsia"/>
          <w:sz w:val="24"/>
          <w:szCs w:val="22"/>
        </w:rPr>
      </w:pPr>
      <w:r>
        <w:rPr>
          <w:rFonts w:hint="eastAsia"/>
          <w:sz w:val="24"/>
          <w:szCs w:val="22"/>
        </w:rPr>
        <w:t>2. 考核方法及用时</w:t>
      </w:r>
    </w:p>
    <w:p>
      <w:pPr>
        <w:spacing w:line="360" w:lineRule="auto"/>
        <w:ind w:firstLine="720" w:firstLineChars="300"/>
        <w:rPr>
          <w:rFonts w:hint="eastAsia"/>
          <w:sz w:val="24"/>
          <w:szCs w:val="22"/>
        </w:rPr>
      </w:pPr>
      <w:r>
        <w:rPr>
          <w:rFonts w:hint="eastAsia"/>
          <w:sz w:val="24"/>
          <w:szCs w:val="22"/>
        </w:rPr>
        <w:t>本课程考核采取课程论文撰写的形式。作业和课程论文均在课外完成。</w:t>
      </w:r>
    </w:p>
    <w:p>
      <w:pPr>
        <w:spacing w:line="360" w:lineRule="auto"/>
        <w:ind w:firstLine="720" w:firstLineChars="300"/>
        <w:rPr>
          <w:rFonts w:hint="eastAsia"/>
          <w:sz w:val="24"/>
          <w:szCs w:val="22"/>
        </w:rPr>
      </w:pPr>
      <w:r>
        <w:rPr>
          <w:rFonts w:hint="eastAsia"/>
          <w:sz w:val="24"/>
          <w:szCs w:val="22"/>
        </w:rPr>
        <w:t>3. 课程考核成绩构成</w:t>
      </w:r>
    </w:p>
    <w:p>
      <w:pPr>
        <w:spacing w:line="360" w:lineRule="auto"/>
        <w:ind w:firstLine="720" w:firstLineChars="300"/>
        <w:rPr>
          <w:rFonts w:hint="eastAsia"/>
          <w:sz w:val="24"/>
          <w:szCs w:val="22"/>
        </w:rPr>
      </w:pPr>
      <w:r>
        <w:rPr>
          <w:rFonts w:hint="eastAsia"/>
          <w:sz w:val="24"/>
          <w:szCs w:val="22"/>
        </w:rPr>
        <w:t>成绩采用五级制。</w:t>
      </w:r>
    </w:p>
    <w:p>
      <w:pPr>
        <w:spacing w:line="360" w:lineRule="auto"/>
        <w:ind w:firstLine="720" w:firstLineChars="300"/>
        <w:rPr>
          <w:sz w:val="24"/>
          <w:szCs w:val="22"/>
        </w:rPr>
      </w:pPr>
      <w:r>
        <w:rPr>
          <w:sz w:val="24"/>
          <w:szCs w:val="22"/>
        </w:rPr>
        <w:t>学期总成绩</w:t>
      </w:r>
      <w:r>
        <w:rPr>
          <w:rFonts w:hint="eastAsia"/>
          <w:sz w:val="24"/>
          <w:szCs w:val="22"/>
        </w:rPr>
        <w:t>=平时</w:t>
      </w:r>
      <w:r>
        <w:rPr>
          <w:sz w:val="24"/>
          <w:szCs w:val="22"/>
        </w:rPr>
        <w:t>成绩×4</w:t>
      </w:r>
      <w:r>
        <w:rPr>
          <w:rFonts w:hint="eastAsia"/>
          <w:sz w:val="24"/>
          <w:szCs w:val="22"/>
        </w:rPr>
        <w:t>0% +课程论文成绩</w:t>
      </w:r>
      <w:r>
        <w:rPr>
          <w:sz w:val="24"/>
          <w:szCs w:val="22"/>
        </w:rPr>
        <w:t>×6</w:t>
      </w:r>
      <w:r>
        <w:rPr>
          <w:rFonts w:hint="eastAsia"/>
          <w:sz w:val="24"/>
          <w:szCs w:val="22"/>
        </w:rPr>
        <w:t>0%</w:t>
      </w:r>
      <w:r>
        <w:rPr>
          <w:sz w:val="24"/>
        </w:rPr>
        <w:t>。</w:t>
      </w:r>
      <w:r>
        <w:rPr>
          <w:rFonts w:hint="eastAsia"/>
          <w:sz w:val="24"/>
        </w:rPr>
        <w:t>具体内容和比例如表所示。</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1565"/>
        <w:gridCol w:w="808"/>
        <w:gridCol w:w="4410"/>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FFFFFF"/>
            <w:tcMar>
              <w:left w:w="57" w:type="dxa"/>
              <w:right w:w="57" w:type="dxa"/>
            </w:tcMar>
            <w:vAlign w:val="center"/>
          </w:tcPr>
          <w:p>
            <w:pPr>
              <w:pStyle w:val="14"/>
              <w:jc w:val="center"/>
              <w:rPr>
                <w:rFonts w:eastAsia="宋体"/>
              </w:rPr>
            </w:pPr>
            <w:r>
              <w:rPr>
                <w:rFonts w:eastAsia="宋体"/>
              </w:rPr>
              <w:t>成绩组成</w:t>
            </w:r>
          </w:p>
        </w:tc>
        <w:tc>
          <w:tcPr>
            <w:tcW w:w="1565" w:type="dxa"/>
            <w:shd w:val="clear" w:color="auto" w:fill="FFFFFF"/>
            <w:vAlign w:val="center"/>
          </w:tcPr>
          <w:p>
            <w:pPr>
              <w:pStyle w:val="14"/>
              <w:jc w:val="center"/>
              <w:rPr>
                <w:rFonts w:eastAsia="宋体"/>
              </w:rPr>
            </w:pPr>
            <w:r>
              <w:rPr>
                <w:rFonts w:eastAsia="宋体"/>
              </w:rPr>
              <w:t>考核/评价环节</w:t>
            </w:r>
          </w:p>
        </w:tc>
        <w:tc>
          <w:tcPr>
            <w:tcW w:w="808" w:type="dxa"/>
            <w:shd w:val="clear" w:color="auto" w:fill="FFFFFF"/>
            <w:vAlign w:val="center"/>
          </w:tcPr>
          <w:p>
            <w:pPr>
              <w:pStyle w:val="14"/>
              <w:jc w:val="center"/>
              <w:rPr>
                <w:rFonts w:eastAsia="宋体"/>
              </w:rPr>
            </w:pPr>
            <w:r>
              <w:rPr>
                <w:rFonts w:hint="eastAsia" w:eastAsia="宋体"/>
              </w:rPr>
              <w:t>权重</w:t>
            </w:r>
          </w:p>
        </w:tc>
        <w:tc>
          <w:tcPr>
            <w:tcW w:w="4410" w:type="dxa"/>
            <w:shd w:val="clear" w:color="auto" w:fill="FFFFFF"/>
            <w:vAlign w:val="center"/>
          </w:tcPr>
          <w:p>
            <w:pPr>
              <w:pStyle w:val="14"/>
              <w:jc w:val="center"/>
              <w:rPr>
                <w:rFonts w:eastAsia="宋体"/>
              </w:rPr>
            </w:pPr>
            <w:r>
              <w:rPr>
                <w:rFonts w:eastAsia="宋体"/>
              </w:rPr>
              <w:t>考核/评价细则</w:t>
            </w:r>
          </w:p>
        </w:tc>
        <w:tc>
          <w:tcPr>
            <w:tcW w:w="1470" w:type="dxa"/>
            <w:shd w:val="clear" w:color="auto" w:fill="FFFFFF"/>
            <w:vAlign w:val="center"/>
          </w:tcPr>
          <w:p>
            <w:pPr>
              <w:pStyle w:val="14"/>
              <w:jc w:val="center"/>
              <w:rPr>
                <w:rFonts w:eastAsia="宋体"/>
              </w:rPr>
            </w:pPr>
            <w:r>
              <w:rPr>
                <w:rFonts w:eastAsia="宋体"/>
              </w:rPr>
              <w:t>对应的毕业要求指标点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044" w:type="dxa"/>
            <w:vMerge w:val="restart"/>
            <w:tcMar>
              <w:left w:w="57" w:type="dxa"/>
              <w:right w:w="57" w:type="dxa"/>
            </w:tcMar>
            <w:vAlign w:val="center"/>
          </w:tcPr>
          <w:p>
            <w:pPr>
              <w:pStyle w:val="14"/>
              <w:jc w:val="center"/>
              <w:rPr>
                <w:rFonts w:eastAsia="宋体"/>
              </w:rPr>
            </w:pPr>
            <w:r>
              <w:rPr>
                <w:rFonts w:eastAsia="宋体"/>
              </w:rPr>
              <w:t>平时成绩</w:t>
            </w:r>
          </w:p>
        </w:tc>
        <w:tc>
          <w:tcPr>
            <w:tcW w:w="1565" w:type="dxa"/>
            <w:vAlign w:val="center"/>
          </w:tcPr>
          <w:p>
            <w:pPr>
              <w:pStyle w:val="14"/>
              <w:jc w:val="center"/>
              <w:rPr>
                <w:rFonts w:eastAsia="宋体"/>
              </w:rPr>
            </w:pPr>
            <w:r>
              <w:rPr>
                <w:rFonts w:eastAsia="宋体"/>
              </w:rPr>
              <w:t>平时作业</w:t>
            </w:r>
          </w:p>
        </w:tc>
        <w:tc>
          <w:tcPr>
            <w:tcW w:w="808" w:type="dxa"/>
            <w:vAlign w:val="center"/>
          </w:tcPr>
          <w:p>
            <w:pPr>
              <w:pStyle w:val="14"/>
              <w:jc w:val="center"/>
              <w:rPr>
                <w:rFonts w:eastAsia="宋体"/>
              </w:rPr>
            </w:pPr>
            <w:r>
              <w:rPr>
                <w:rFonts w:eastAsia="宋体"/>
              </w:rPr>
              <w:t>20%</w:t>
            </w:r>
          </w:p>
        </w:tc>
        <w:tc>
          <w:tcPr>
            <w:tcW w:w="4410" w:type="dxa"/>
            <w:vAlign w:val="center"/>
          </w:tcPr>
          <w:p>
            <w:pPr>
              <w:pStyle w:val="14"/>
              <w:rPr>
                <w:rFonts w:eastAsia="宋体"/>
              </w:rPr>
            </w:pPr>
            <w:r>
              <w:rPr>
                <w:rFonts w:eastAsia="宋体"/>
              </w:rPr>
              <w:t>课后完成20-30个习题，主要考核学生对每节课知识点的复习、理解和掌握程度，计算全部作业的平均成绩再按20%计入总成绩。</w:t>
            </w:r>
          </w:p>
        </w:tc>
        <w:tc>
          <w:tcPr>
            <w:tcW w:w="1470" w:type="dxa"/>
            <w:vAlign w:val="center"/>
          </w:tcPr>
          <w:p>
            <w:pPr>
              <w:pStyle w:val="14"/>
              <w:jc w:val="center"/>
              <w:rPr>
                <w:rFonts w:hint="eastAsia"/>
              </w:rPr>
            </w:pPr>
            <w:r>
              <w:rPr>
                <w:rFonts w:hint="eastAsia" w:eastAsia="宋体"/>
                <w:color w:val="000000"/>
                <w:szCs w:val="21"/>
              </w:rPr>
              <w:t>2-4、</w:t>
            </w:r>
            <w:r>
              <w:rPr>
                <w:rFonts w:hint="eastAsia"/>
                <w:color w:val="000000"/>
                <w:szCs w:val="21"/>
              </w:rPr>
              <w:t>10-1、</w:t>
            </w:r>
            <w:r>
              <w:rPr>
                <w:rFonts w:hint="eastAsia" w:eastAsia="宋体"/>
                <w:color w:val="000000"/>
                <w:szCs w:val="21"/>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trPr>
        <w:tc>
          <w:tcPr>
            <w:tcW w:w="1044" w:type="dxa"/>
            <w:vMerge w:val="continue"/>
            <w:tcMar>
              <w:left w:w="57" w:type="dxa"/>
              <w:right w:w="57" w:type="dxa"/>
            </w:tcMar>
            <w:vAlign w:val="center"/>
          </w:tcPr>
          <w:p>
            <w:pPr>
              <w:pStyle w:val="14"/>
              <w:jc w:val="center"/>
              <w:rPr>
                <w:rFonts w:eastAsia="宋体"/>
              </w:rPr>
            </w:pPr>
          </w:p>
        </w:tc>
        <w:tc>
          <w:tcPr>
            <w:tcW w:w="1565" w:type="dxa"/>
            <w:vAlign w:val="center"/>
          </w:tcPr>
          <w:p>
            <w:pPr>
              <w:pStyle w:val="14"/>
              <w:jc w:val="center"/>
              <w:rPr>
                <w:rFonts w:eastAsia="宋体"/>
              </w:rPr>
            </w:pPr>
            <w:r>
              <w:rPr>
                <w:rFonts w:hint="eastAsia" w:eastAsia="宋体"/>
              </w:rPr>
              <w:t>考勤</w:t>
            </w:r>
            <w:r>
              <w:rPr>
                <w:rFonts w:eastAsia="宋体"/>
              </w:rPr>
              <w:t>及</w:t>
            </w:r>
          </w:p>
          <w:p>
            <w:pPr>
              <w:pStyle w:val="14"/>
              <w:jc w:val="center"/>
              <w:rPr>
                <w:rFonts w:eastAsia="宋体"/>
              </w:rPr>
            </w:pPr>
            <w:r>
              <w:rPr>
                <w:rFonts w:eastAsia="宋体"/>
              </w:rPr>
              <w:t>课堂练习</w:t>
            </w:r>
          </w:p>
        </w:tc>
        <w:tc>
          <w:tcPr>
            <w:tcW w:w="808" w:type="dxa"/>
            <w:vAlign w:val="center"/>
          </w:tcPr>
          <w:p>
            <w:pPr>
              <w:pStyle w:val="14"/>
              <w:jc w:val="center"/>
              <w:rPr>
                <w:rFonts w:eastAsia="宋体"/>
              </w:rPr>
            </w:pPr>
            <w:r>
              <w:rPr>
                <w:rFonts w:eastAsia="宋体"/>
              </w:rPr>
              <w:t>20%</w:t>
            </w:r>
          </w:p>
        </w:tc>
        <w:tc>
          <w:tcPr>
            <w:tcW w:w="4410" w:type="dxa"/>
            <w:vAlign w:val="center"/>
          </w:tcPr>
          <w:p>
            <w:pPr>
              <w:pStyle w:val="14"/>
              <w:rPr>
                <w:rFonts w:eastAsia="宋体"/>
                <w:szCs w:val="21"/>
              </w:rPr>
            </w:pPr>
            <w:r>
              <w:rPr>
                <w:rFonts w:eastAsia="宋体"/>
                <w:color w:val="000000"/>
                <w:szCs w:val="21"/>
              </w:rPr>
              <w:t>以随机的形式，在每章内容进行中或结束后，随堂测试1-3题，主要考核学生课堂的听课效果和课后及时复习消化本章知识的能力</w:t>
            </w:r>
            <w:r>
              <w:rPr>
                <w:rFonts w:eastAsia="宋体"/>
                <w:szCs w:val="21"/>
              </w:rPr>
              <w:t>，结合平时</w:t>
            </w:r>
            <w:r>
              <w:rPr>
                <w:rFonts w:hint="eastAsia" w:eastAsia="宋体"/>
                <w:szCs w:val="21"/>
              </w:rPr>
              <w:t>考勤</w:t>
            </w:r>
            <w:r>
              <w:rPr>
                <w:rFonts w:eastAsia="宋体"/>
                <w:szCs w:val="21"/>
              </w:rPr>
              <w:t>，最后按20%计入课程总成绩。</w:t>
            </w:r>
          </w:p>
        </w:tc>
        <w:tc>
          <w:tcPr>
            <w:tcW w:w="1470" w:type="dxa"/>
            <w:vAlign w:val="center"/>
          </w:tcPr>
          <w:p>
            <w:pPr>
              <w:pStyle w:val="14"/>
              <w:jc w:val="center"/>
              <w:rPr>
                <w:rFonts w:eastAsia="宋体"/>
              </w:rPr>
            </w:pPr>
            <w:r>
              <w:rPr>
                <w:rFonts w:hint="eastAsia" w:eastAsia="宋体"/>
                <w:color w:val="000000"/>
                <w:szCs w:val="21"/>
              </w:rPr>
              <w:t>2-4、10-2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1044" w:type="dxa"/>
            <w:tcMar>
              <w:left w:w="57" w:type="dxa"/>
              <w:right w:w="57" w:type="dxa"/>
            </w:tcMar>
            <w:vAlign w:val="center"/>
          </w:tcPr>
          <w:p>
            <w:pPr>
              <w:pStyle w:val="14"/>
              <w:jc w:val="center"/>
              <w:rPr>
                <w:rFonts w:eastAsia="宋体"/>
              </w:rPr>
            </w:pPr>
            <w:r>
              <w:rPr>
                <w:rFonts w:hint="eastAsia" w:eastAsia="宋体"/>
              </w:rPr>
              <w:t>课程报告成绩</w:t>
            </w:r>
          </w:p>
          <w:p>
            <w:pPr>
              <w:pStyle w:val="14"/>
              <w:jc w:val="center"/>
              <w:rPr>
                <w:rFonts w:eastAsia="宋体"/>
              </w:rPr>
            </w:pPr>
          </w:p>
        </w:tc>
        <w:tc>
          <w:tcPr>
            <w:tcW w:w="1565" w:type="dxa"/>
            <w:vAlign w:val="center"/>
          </w:tcPr>
          <w:p>
            <w:pPr>
              <w:pStyle w:val="14"/>
              <w:jc w:val="center"/>
              <w:rPr>
                <w:rFonts w:eastAsia="宋体"/>
              </w:rPr>
            </w:pPr>
            <w:r>
              <w:rPr>
                <w:rFonts w:hint="eastAsia" w:eastAsia="宋体"/>
              </w:rPr>
              <w:t>课程报告</w:t>
            </w:r>
          </w:p>
        </w:tc>
        <w:tc>
          <w:tcPr>
            <w:tcW w:w="808" w:type="dxa"/>
            <w:vAlign w:val="center"/>
          </w:tcPr>
          <w:p>
            <w:pPr>
              <w:pStyle w:val="14"/>
              <w:jc w:val="center"/>
              <w:rPr>
                <w:rFonts w:eastAsia="宋体"/>
              </w:rPr>
            </w:pPr>
            <w:r>
              <w:rPr>
                <w:rFonts w:eastAsia="宋体"/>
              </w:rPr>
              <w:t>60%</w:t>
            </w:r>
          </w:p>
        </w:tc>
        <w:tc>
          <w:tcPr>
            <w:tcW w:w="4410" w:type="dxa"/>
            <w:vAlign w:val="center"/>
          </w:tcPr>
          <w:p>
            <w:pPr>
              <w:pStyle w:val="14"/>
              <w:rPr>
                <w:rFonts w:eastAsia="宋体"/>
                <w:color w:val="000000"/>
                <w:szCs w:val="21"/>
              </w:rPr>
            </w:pPr>
            <w:r>
              <w:rPr>
                <w:rFonts w:hint="eastAsia" w:eastAsia="宋体"/>
                <w:color w:val="000000"/>
                <w:szCs w:val="21"/>
              </w:rPr>
              <w:t>从论文主题库中抽取一个主题，查阅文献，以毕业论文的格式要求撰写课程报告</w:t>
            </w:r>
            <w:r>
              <w:rPr>
                <w:rFonts w:eastAsia="宋体"/>
                <w:color w:val="000000"/>
                <w:szCs w:val="21"/>
              </w:rPr>
              <w:t>，以</w:t>
            </w:r>
            <w:r>
              <w:rPr>
                <w:rFonts w:hint="eastAsia" w:eastAsia="宋体"/>
                <w:color w:val="000000"/>
                <w:szCs w:val="21"/>
              </w:rPr>
              <w:t>报告</w:t>
            </w:r>
            <w:r>
              <w:rPr>
                <w:rFonts w:eastAsia="宋体"/>
                <w:color w:val="000000"/>
                <w:szCs w:val="21"/>
              </w:rPr>
              <w:t>成绩的60%计入课程总成绩。</w:t>
            </w:r>
          </w:p>
        </w:tc>
        <w:tc>
          <w:tcPr>
            <w:tcW w:w="1470" w:type="dxa"/>
            <w:vAlign w:val="center"/>
          </w:tcPr>
          <w:p>
            <w:pPr>
              <w:pStyle w:val="14"/>
              <w:jc w:val="center"/>
              <w:rPr>
                <w:rFonts w:hint="eastAsia" w:eastAsia="宋体"/>
              </w:rPr>
            </w:pPr>
            <w:r>
              <w:rPr>
                <w:rFonts w:hint="eastAsia" w:eastAsia="宋体"/>
                <w:color w:val="000000"/>
                <w:szCs w:val="21"/>
              </w:rPr>
              <w:t>2-4、10-2</w:t>
            </w:r>
          </w:p>
        </w:tc>
      </w:tr>
    </w:tbl>
    <w:p>
      <w:pPr>
        <w:spacing w:line="360" w:lineRule="auto"/>
        <w:ind w:firstLine="562" w:firstLineChars="200"/>
        <w:rPr>
          <w:rFonts w:hint="eastAsia"/>
          <w:b/>
          <w:sz w:val="28"/>
          <w:szCs w:val="28"/>
        </w:rPr>
      </w:pPr>
      <w:r>
        <w:rPr>
          <w:rFonts w:hint="eastAsia"/>
          <w:b/>
          <w:sz w:val="28"/>
          <w:szCs w:val="28"/>
        </w:rPr>
        <w:t>六</w:t>
      </w:r>
      <w:r>
        <w:rPr>
          <w:b/>
          <w:sz w:val="28"/>
          <w:szCs w:val="28"/>
        </w:rPr>
        <w:t>、</w:t>
      </w:r>
      <w:r>
        <w:rPr>
          <w:rFonts w:hint="eastAsia"/>
          <w:b/>
          <w:sz w:val="28"/>
          <w:szCs w:val="28"/>
        </w:rPr>
        <w:t>有关说明</w:t>
      </w:r>
    </w:p>
    <w:p>
      <w:pPr>
        <w:spacing w:line="360" w:lineRule="auto"/>
        <w:ind w:firstLine="482" w:firstLineChars="200"/>
        <w:rPr>
          <w:rFonts w:hint="eastAsia"/>
          <w:b/>
          <w:color w:val="000000"/>
          <w:sz w:val="24"/>
        </w:rPr>
      </w:pPr>
      <w:r>
        <w:rPr>
          <w:rFonts w:hint="eastAsia"/>
          <w:b/>
          <w:color w:val="000000"/>
          <w:sz w:val="24"/>
        </w:rPr>
        <w:t>（一）持续改进</w:t>
      </w:r>
    </w:p>
    <w:p>
      <w:pPr>
        <w:spacing w:line="360" w:lineRule="auto"/>
        <w:ind w:firstLine="480" w:firstLineChars="200"/>
        <w:rPr>
          <w:sz w:val="24"/>
          <w:szCs w:val="22"/>
        </w:rPr>
      </w:pPr>
      <w:r>
        <w:rPr>
          <w:sz w:val="24"/>
          <w:szCs w:val="22"/>
        </w:rPr>
        <w:t>本课程根据学生作业、课堂</w:t>
      </w:r>
      <w:r>
        <w:rPr>
          <w:rFonts w:hint="eastAsia"/>
          <w:sz w:val="24"/>
          <w:szCs w:val="22"/>
        </w:rPr>
        <w:t>操作</w:t>
      </w:r>
      <w:r>
        <w:rPr>
          <w:sz w:val="24"/>
          <w:szCs w:val="22"/>
        </w:rPr>
        <w:t>、平时考核情况和学生、教学督导等</w:t>
      </w:r>
      <w:r>
        <w:rPr>
          <w:rFonts w:hint="eastAsia"/>
          <w:sz w:val="24"/>
          <w:szCs w:val="22"/>
        </w:rPr>
        <w:t>的</w:t>
      </w:r>
      <w:r>
        <w:rPr>
          <w:sz w:val="24"/>
          <w:szCs w:val="22"/>
        </w:rPr>
        <w:t>反馈，及时对教学中</w:t>
      </w:r>
      <w:r>
        <w:rPr>
          <w:rFonts w:hint="eastAsia"/>
          <w:sz w:val="24"/>
          <w:szCs w:val="22"/>
        </w:rPr>
        <w:t>的</w:t>
      </w:r>
      <w:r>
        <w:rPr>
          <w:sz w:val="24"/>
          <w:szCs w:val="22"/>
        </w:rPr>
        <w:t>不足之处进行改进，并在下一轮课程教学中</w:t>
      </w:r>
      <w:r>
        <w:rPr>
          <w:rFonts w:hint="eastAsia"/>
          <w:sz w:val="24"/>
          <w:szCs w:val="22"/>
        </w:rPr>
        <w:t>整改完善</w:t>
      </w:r>
      <w:r>
        <w:rPr>
          <w:sz w:val="24"/>
          <w:szCs w:val="22"/>
        </w:rPr>
        <w:t>，确保相应毕业要求指标点达成。</w:t>
      </w:r>
    </w:p>
    <w:p>
      <w:pPr>
        <w:spacing w:line="360" w:lineRule="auto"/>
        <w:ind w:firstLine="482" w:firstLineChars="200"/>
        <w:rPr>
          <w:rFonts w:hint="eastAsia"/>
          <w:b/>
          <w:color w:val="000000"/>
          <w:sz w:val="24"/>
        </w:rPr>
      </w:pPr>
      <w:r>
        <w:rPr>
          <w:rFonts w:hint="eastAsia"/>
          <w:b/>
          <w:color w:val="000000"/>
          <w:sz w:val="24"/>
        </w:rPr>
        <w:t>（二）教材</w:t>
      </w:r>
      <w:r>
        <w:rPr>
          <w:b/>
          <w:color w:val="000000"/>
          <w:sz w:val="24"/>
        </w:rPr>
        <w:t>及</w:t>
      </w:r>
      <w:r>
        <w:rPr>
          <w:rFonts w:hint="eastAsia"/>
          <w:b/>
          <w:color w:val="000000"/>
          <w:sz w:val="24"/>
        </w:rPr>
        <w:t>参考</w:t>
      </w:r>
      <w:r>
        <w:rPr>
          <w:b/>
          <w:color w:val="000000"/>
          <w:sz w:val="24"/>
        </w:rPr>
        <w:t>资料</w:t>
      </w:r>
    </w:p>
    <w:p>
      <w:pPr>
        <w:spacing w:line="360" w:lineRule="auto"/>
        <w:ind w:firstLine="480" w:firstLineChars="200"/>
        <w:rPr>
          <w:rFonts w:hint="eastAsia"/>
          <w:color w:val="000000"/>
          <w:sz w:val="24"/>
        </w:rPr>
      </w:pPr>
      <w:r>
        <w:rPr>
          <w:rFonts w:hint="eastAsia"/>
          <w:color w:val="000000"/>
          <w:sz w:val="24"/>
        </w:rPr>
        <w:t>教材：</w:t>
      </w:r>
    </w:p>
    <w:p>
      <w:pPr>
        <w:spacing w:line="360" w:lineRule="auto"/>
        <w:ind w:firstLine="480" w:firstLineChars="200"/>
        <w:rPr>
          <w:rFonts w:hint="eastAsia"/>
          <w:color w:val="000000"/>
          <w:sz w:val="24"/>
        </w:rPr>
      </w:pPr>
      <w:r>
        <w:rPr>
          <w:rFonts w:hint="eastAsia"/>
          <w:kern w:val="0"/>
          <w:sz w:val="24"/>
        </w:rPr>
        <w:t>1. 王立诚</w:t>
      </w:r>
      <w:r>
        <w:rPr>
          <w:rFonts w:hint="eastAsia"/>
          <w:sz w:val="24"/>
          <w:szCs w:val="21"/>
        </w:rPr>
        <w:t>. 科技文献检索与利用</w:t>
      </w:r>
      <w:r>
        <w:rPr>
          <w:sz w:val="24"/>
          <w:szCs w:val="21"/>
        </w:rPr>
        <w:t>（第</w:t>
      </w:r>
      <w:r>
        <w:rPr>
          <w:rFonts w:hint="eastAsia"/>
          <w:sz w:val="24"/>
          <w:szCs w:val="21"/>
        </w:rPr>
        <w:t>5</w:t>
      </w:r>
      <w:r>
        <w:rPr>
          <w:sz w:val="24"/>
          <w:szCs w:val="21"/>
        </w:rPr>
        <w:t>版）</w:t>
      </w:r>
      <w:r>
        <w:rPr>
          <w:rFonts w:hint="eastAsia"/>
          <w:sz w:val="24"/>
          <w:szCs w:val="21"/>
        </w:rPr>
        <w:t>[M]. 南京：东南大学</w:t>
      </w:r>
      <w:r>
        <w:rPr>
          <w:sz w:val="24"/>
          <w:szCs w:val="21"/>
        </w:rPr>
        <w:t>出版社，201</w:t>
      </w:r>
      <w:r>
        <w:rPr>
          <w:rFonts w:hint="eastAsia"/>
          <w:sz w:val="24"/>
          <w:szCs w:val="21"/>
        </w:rPr>
        <w:t>4</w:t>
      </w:r>
    </w:p>
    <w:p>
      <w:pPr>
        <w:spacing w:line="360" w:lineRule="auto"/>
        <w:ind w:firstLine="480" w:firstLineChars="200"/>
        <w:rPr>
          <w:rFonts w:hint="eastAsia"/>
          <w:color w:val="000000"/>
          <w:sz w:val="24"/>
        </w:rPr>
      </w:pPr>
      <w:r>
        <w:rPr>
          <w:rFonts w:hint="eastAsia"/>
          <w:color w:val="000000"/>
          <w:sz w:val="24"/>
        </w:rPr>
        <w:t>参考资料：</w:t>
      </w:r>
    </w:p>
    <w:p>
      <w:pPr>
        <w:spacing w:line="400" w:lineRule="exact"/>
        <w:ind w:firstLine="480" w:firstLineChars="200"/>
        <w:rPr>
          <w:sz w:val="24"/>
        </w:rPr>
      </w:pPr>
      <w:r>
        <w:rPr>
          <w:sz w:val="24"/>
        </w:rPr>
        <w:t>1.</w:t>
      </w:r>
      <w:r>
        <w:rPr>
          <w:rFonts w:hint="eastAsia"/>
          <w:sz w:val="24"/>
        </w:rPr>
        <w:t>《</w:t>
      </w:r>
      <w:r>
        <w:rPr>
          <w:sz w:val="24"/>
        </w:rPr>
        <w:t>化学工程与工艺专业英语</w:t>
      </w:r>
      <w:r>
        <w:rPr>
          <w:rFonts w:hint="eastAsia"/>
          <w:sz w:val="24"/>
        </w:rPr>
        <w:t>》，</w:t>
      </w:r>
      <w:r>
        <w:rPr>
          <w:sz w:val="24"/>
        </w:rPr>
        <w:t>胡鸣</w:t>
      </w:r>
      <w:r>
        <w:rPr>
          <w:rFonts w:hint="eastAsia"/>
          <w:sz w:val="24"/>
        </w:rPr>
        <w:t>、刘霞，</w:t>
      </w:r>
      <w:r>
        <w:rPr>
          <w:sz w:val="24"/>
        </w:rPr>
        <w:t>化学工业出版社</w:t>
      </w:r>
      <w:r>
        <w:rPr>
          <w:rFonts w:hint="eastAsia"/>
          <w:sz w:val="24"/>
        </w:rPr>
        <w:t>，2</w:t>
      </w:r>
      <w:r>
        <w:rPr>
          <w:sz w:val="24"/>
        </w:rPr>
        <w:t>007.1</w:t>
      </w:r>
    </w:p>
    <w:p>
      <w:pPr>
        <w:tabs>
          <w:tab w:val="left" w:pos="900"/>
        </w:tabs>
        <w:spacing w:line="400" w:lineRule="exact"/>
        <w:ind w:firstLine="480" w:firstLineChars="200"/>
        <w:rPr>
          <w:sz w:val="24"/>
        </w:rPr>
      </w:pPr>
      <w:r>
        <w:rPr>
          <w:sz w:val="24"/>
        </w:rPr>
        <w:t>2.</w:t>
      </w:r>
      <w:r>
        <w:rPr>
          <w:rFonts w:hint="eastAsia"/>
          <w:sz w:val="24"/>
        </w:rPr>
        <w:t>《</w:t>
      </w:r>
      <w:r>
        <w:rPr>
          <w:sz w:val="24"/>
        </w:rPr>
        <w:t>化工专业英语</w:t>
      </w:r>
      <w:r>
        <w:rPr>
          <w:rFonts w:hint="eastAsia"/>
          <w:sz w:val="24"/>
        </w:rPr>
        <w:t>》，丁丽、王志萍，</w:t>
      </w:r>
      <w:r>
        <w:rPr>
          <w:sz w:val="24"/>
        </w:rPr>
        <w:t>化学工业出版社</w:t>
      </w:r>
      <w:r>
        <w:rPr>
          <w:rFonts w:hint="eastAsia"/>
          <w:sz w:val="24"/>
        </w:rPr>
        <w:t>，2</w:t>
      </w:r>
      <w:r>
        <w:rPr>
          <w:sz w:val="24"/>
        </w:rPr>
        <w:t>012.6</w:t>
      </w:r>
    </w:p>
    <w:p>
      <w:pPr>
        <w:tabs>
          <w:tab w:val="left" w:pos="900"/>
        </w:tabs>
        <w:spacing w:line="400" w:lineRule="exact"/>
        <w:ind w:firstLine="480" w:firstLineChars="200"/>
        <w:rPr>
          <w:rFonts w:hint="eastAsia"/>
          <w:sz w:val="24"/>
        </w:rPr>
      </w:pPr>
      <w:r>
        <w:rPr>
          <w:rFonts w:hint="eastAsia"/>
          <w:sz w:val="24"/>
        </w:rPr>
        <w:t>3. 吴燕，金少林.信息检索与利用[M]. 上海：上海交通大学出版社，20</w:t>
      </w:r>
      <w:r>
        <w:rPr>
          <w:sz w:val="24"/>
        </w:rPr>
        <w:t>14</w:t>
      </w:r>
    </w:p>
    <w:p>
      <w:pPr>
        <w:tabs>
          <w:tab w:val="left" w:pos="900"/>
        </w:tabs>
        <w:spacing w:line="400" w:lineRule="exact"/>
        <w:ind w:firstLine="480" w:firstLineChars="200"/>
        <w:rPr>
          <w:sz w:val="24"/>
        </w:rPr>
      </w:pPr>
      <w:r>
        <w:rPr>
          <w:rFonts w:hint="eastAsia"/>
          <w:sz w:val="24"/>
        </w:rPr>
        <w:t>4. 刘廷元，邵卫东，汤凝. 信息检索教程[M]. 北京：北京交通大学出版社，200</w:t>
      </w:r>
      <w:r>
        <w:rPr>
          <w:sz w:val="24"/>
        </w:rPr>
        <w:t>8</w:t>
      </w:r>
    </w:p>
    <w:p>
      <w:pPr>
        <w:tabs>
          <w:tab w:val="left" w:pos="900"/>
        </w:tabs>
        <w:spacing w:line="400" w:lineRule="exact"/>
        <w:ind w:firstLine="480" w:firstLineChars="200"/>
        <w:rPr>
          <w:sz w:val="24"/>
        </w:rPr>
      </w:pPr>
      <w:r>
        <w:rPr>
          <w:sz w:val="24"/>
        </w:rPr>
        <w:t>5.</w:t>
      </w:r>
      <w:r>
        <w:rPr>
          <w:rFonts w:hint="eastAsia"/>
          <w:sz w:val="24"/>
        </w:rPr>
        <w:t>《常州工学院毕业设计（论文）撰写规范》</w:t>
      </w:r>
    </w:p>
    <w:p>
      <w:pPr>
        <w:tabs>
          <w:tab w:val="left" w:pos="900"/>
        </w:tabs>
        <w:spacing w:line="400" w:lineRule="exact"/>
        <w:ind w:firstLine="480" w:firstLineChars="200"/>
        <w:rPr>
          <w:rFonts w:hint="eastAsia"/>
          <w:sz w:val="24"/>
        </w:rPr>
      </w:pPr>
    </w:p>
    <w:p>
      <w:pPr>
        <w:autoSpaceDE w:val="0"/>
        <w:autoSpaceDN w:val="0"/>
        <w:adjustRightInd w:val="0"/>
        <w:spacing w:line="360" w:lineRule="auto"/>
        <w:ind w:firstLine="480" w:firstLineChars="200"/>
        <w:jc w:val="left"/>
        <w:rPr>
          <w:rFonts w:hint="eastAsia"/>
          <w:sz w:val="24"/>
        </w:rPr>
      </w:pPr>
    </w:p>
    <w:p>
      <w:pPr>
        <w:autoSpaceDE w:val="0"/>
        <w:autoSpaceDN w:val="0"/>
        <w:adjustRightInd w:val="0"/>
        <w:spacing w:line="360" w:lineRule="auto"/>
        <w:ind w:firstLine="480" w:firstLineChars="200"/>
        <w:jc w:val="left"/>
        <w:rPr>
          <w:rFonts w:hint="eastAsia"/>
          <w:kern w:val="0"/>
          <w:sz w:val="24"/>
          <w:szCs w:val="21"/>
        </w:rPr>
      </w:pPr>
    </w:p>
    <w:p>
      <w:pPr>
        <w:autoSpaceDE w:val="0"/>
        <w:autoSpaceDN w:val="0"/>
        <w:adjustRightInd w:val="0"/>
        <w:spacing w:line="360" w:lineRule="auto"/>
        <w:ind w:firstLine="6000" w:firstLineChars="2500"/>
        <w:jc w:val="left"/>
        <w:rPr>
          <w:kern w:val="0"/>
          <w:sz w:val="24"/>
          <w:szCs w:val="21"/>
        </w:rPr>
      </w:pPr>
      <w:r>
        <w:rPr>
          <w:kern w:val="0"/>
          <w:sz w:val="24"/>
          <w:szCs w:val="21"/>
        </w:rPr>
        <w:t>执笔人：刘福燕</w:t>
      </w:r>
    </w:p>
    <w:p>
      <w:pPr>
        <w:spacing w:line="360" w:lineRule="auto"/>
        <w:ind w:firstLine="5964" w:firstLineChars="2485"/>
        <w:rPr>
          <w:rFonts w:hint="eastAsia"/>
          <w:sz w:val="24"/>
        </w:rPr>
      </w:pPr>
      <w:r>
        <w:rPr>
          <w:rFonts w:hint="eastAsia"/>
          <w:sz w:val="24"/>
        </w:rPr>
        <w:t>审定人：魏雪姣</w:t>
      </w:r>
    </w:p>
    <w:p>
      <w:pPr>
        <w:spacing w:line="360" w:lineRule="auto"/>
        <w:ind w:firstLine="5964" w:firstLineChars="2485"/>
        <w:rPr>
          <w:rFonts w:hint="eastAsia"/>
          <w:sz w:val="24"/>
        </w:rPr>
      </w:pPr>
      <w:r>
        <w:rPr>
          <w:rFonts w:hint="eastAsia"/>
          <w:sz w:val="24"/>
        </w:rPr>
        <w:t>批准人：吴泽颖</w:t>
      </w:r>
    </w:p>
    <w:p>
      <w:pPr>
        <w:rPr>
          <w:kern w:val="0"/>
          <w:sz w:val="24"/>
          <w:szCs w:val="21"/>
        </w:rPr>
      </w:pPr>
      <w:r>
        <w:rPr>
          <w:rFonts w:hint="eastAsia"/>
          <w:sz w:val="24"/>
        </w:rPr>
        <w:t xml:space="preserve">                                                </w:t>
      </w:r>
      <w:r>
        <w:rPr>
          <w:rFonts w:hint="eastAsia"/>
          <w:kern w:val="0"/>
          <w:sz w:val="24"/>
          <w:szCs w:val="21"/>
        </w:rPr>
        <w:t>批准时间：20</w:t>
      </w:r>
      <w:r>
        <w:rPr>
          <w:kern w:val="0"/>
          <w:sz w:val="24"/>
          <w:szCs w:val="21"/>
        </w:rPr>
        <w:t>21</w:t>
      </w:r>
      <w:r>
        <w:rPr>
          <w:rFonts w:hint="eastAsia"/>
          <w:kern w:val="0"/>
          <w:sz w:val="24"/>
          <w:szCs w:val="21"/>
        </w:rPr>
        <w:t>. 9.1</w:t>
      </w:r>
    </w:p>
    <w:p>
      <w:pPr>
        <w:rPr>
          <w:kern w:val="0"/>
          <w:sz w:val="24"/>
          <w:szCs w:val="21"/>
        </w:rPr>
      </w:pPr>
    </w:p>
    <w:p>
      <w:pPr>
        <w:rPr>
          <w:kern w:val="0"/>
          <w:sz w:val="24"/>
          <w:szCs w:val="21"/>
        </w:rPr>
      </w:pPr>
    </w:p>
    <w:p>
      <w:pPr>
        <w:autoSpaceDE w:val="0"/>
        <w:autoSpaceDN w:val="0"/>
        <w:adjustRightInd w:val="0"/>
        <w:spacing w:line="360" w:lineRule="auto"/>
        <w:ind w:firstLine="5640" w:firstLineChars="2350"/>
        <w:jc w:val="right"/>
        <w:rPr>
          <w:rFonts w:hint="eastAsia"/>
          <w:kern w:val="0"/>
          <w:sz w:val="24"/>
          <w:szCs w:val="21"/>
        </w:rPr>
      </w:pPr>
    </w:p>
    <w:p>
      <w:pPr>
        <w:autoSpaceDE w:val="0"/>
        <w:autoSpaceDN w:val="0"/>
        <w:adjustRightInd w:val="0"/>
        <w:spacing w:line="360" w:lineRule="auto"/>
        <w:ind w:firstLine="5640" w:firstLineChars="2350"/>
        <w:jc w:val="right"/>
        <w:rPr>
          <w:rFonts w:hint="eastAsia"/>
          <w:kern w:val="0"/>
          <w:sz w:val="24"/>
          <w:szCs w:val="21"/>
        </w:rPr>
      </w:pPr>
    </w:p>
    <w:p>
      <w:pPr>
        <w:autoSpaceDE w:val="0"/>
        <w:autoSpaceDN w:val="0"/>
        <w:adjustRightInd w:val="0"/>
        <w:spacing w:line="360" w:lineRule="auto"/>
        <w:ind w:firstLine="5640" w:firstLineChars="2350"/>
        <w:jc w:val="right"/>
        <w:rPr>
          <w:rFonts w:hint="eastAsia"/>
          <w:kern w:val="0"/>
          <w:sz w:val="24"/>
          <w:szCs w:val="21"/>
        </w:rPr>
      </w:pPr>
    </w:p>
    <w:p>
      <w:pPr>
        <w:autoSpaceDE w:val="0"/>
        <w:autoSpaceDN w:val="0"/>
        <w:adjustRightInd w:val="0"/>
        <w:spacing w:line="360" w:lineRule="auto"/>
        <w:ind w:firstLine="5640" w:firstLineChars="2350"/>
        <w:jc w:val="right"/>
        <w:rPr>
          <w:rFonts w:hint="eastAsia"/>
          <w:kern w:val="0"/>
          <w:sz w:val="24"/>
          <w:szCs w:val="21"/>
        </w:rPr>
      </w:pPr>
    </w:p>
    <w:p>
      <w:pPr>
        <w:pStyle w:val="3"/>
        <w:bidi w:val="0"/>
        <w:jc w:val="center"/>
        <w:rPr>
          <w:rFonts w:hint="eastAsia" w:ascii="黑体" w:hAnsi="黑体" w:eastAsia="黑体" w:cs="黑体"/>
        </w:rPr>
      </w:pPr>
      <w:bookmarkStart w:id="296" w:name="_Toc15384"/>
      <w:bookmarkStart w:id="297" w:name="_Toc2636"/>
      <w:bookmarkStart w:id="298" w:name="_Toc19971"/>
      <w:bookmarkStart w:id="299" w:name="_Toc13395"/>
      <w:bookmarkStart w:id="300" w:name="_Toc18300"/>
      <w:bookmarkStart w:id="301" w:name="_Toc26723"/>
      <w:bookmarkStart w:id="302" w:name="_Toc28495"/>
      <w:bookmarkStart w:id="303" w:name="_Toc9312"/>
      <w:bookmarkStart w:id="304" w:name="_Toc18039"/>
      <w:bookmarkStart w:id="305" w:name="_Toc9315"/>
      <w:r>
        <w:rPr>
          <w:rFonts w:hint="eastAsia"/>
        </w:rPr>
        <w:t>化工综合设计课程教学大纲</w:t>
      </w:r>
      <w:bookmarkEnd w:id="296"/>
      <w:bookmarkEnd w:id="297"/>
      <w:bookmarkEnd w:id="298"/>
      <w:bookmarkEnd w:id="299"/>
      <w:bookmarkEnd w:id="300"/>
      <w:bookmarkEnd w:id="301"/>
      <w:bookmarkEnd w:id="302"/>
      <w:bookmarkEnd w:id="303"/>
      <w:bookmarkEnd w:id="304"/>
      <w:bookmarkEnd w:id="305"/>
    </w:p>
    <w:p>
      <w:pPr>
        <w:jc w:val="center"/>
        <w:rPr>
          <w:rFonts w:hint="eastAsia" w:eastAsia="黑体"/>
          <w:sz w:val="24"/>
        </w:rPr>
      </w:pPr>
      <w:r>
        <w:rPr>
          <w:rFonts w:hint="eastAsia" w:eastAsia="黑体"/>
          <w:sz w:val="24"/>
        </w:rPr>
        <w:t>（</w:t>
      </w:r>
      <w:r>
        <w:rPr>
          <w:szCs w:val="21"/>
        </w:rPr>
        <w:t xml:space="preserve">Comprehensive </w:t>
      </w:r>
      <w:r>
        <w:rPr>
          <w:rFonts w:hint="eastAsia"/>
          <w:szCs w:val="21"/>
        </w:rPr>
        <w:t>D</w:t>
      </w:r>
      <w:r>
        <w:rPr>
          <w:szCs w:val="21"/>
        </w:rPr>
        <w:t xml:space="preserve">esign of </w:t>
      </w:r>
      <w:r>
        <w:rPr>
          <w:rFonts w:hint="eastAsia"/>
          <w:szCs w:val="21"/>
        </w:rPr>
        <w:t>C</w:t>
      </w:r>
      <w:r>
        <w:rPr>
          <w:szCs w:val="21"/>
        </w:rPr>
        <w:t xml:space="preserve">hemical </w:t>
      </w:r>
      <w:r>
        <w:rPr>
          <w:rFonts w:hint="eastAsia"/>
          <w:szCs w:val="21"/>
        </w:rPr>
        <w:t>I</w:t>
      </w:r>
      <w:r>
        <w:rPr>
          <w:szCs w:val="21"/>
        </w:rPr>
        <w:t>ndustry</w:t>
      </w:r>
      <w:r>
        <w:rPr>
          <w:rFonts w:hint="eastAsia" w:eastAsia="黑体"/>
          <w:sz w:val="24"/>
        </w:rPr>
        <w:t>）</w:t>
      </w:r>
    </w:p>
    <w:p>
      <w:pPr>
        <w:spacing w:line="440" w:lineRule="exact"/>
        <w:jc w:val="center"/>
        <w:rPr>
          <w:sz w:val="24"/>
        </w:rPr>
      </w:pPr>
    </w:p>
    <w:p>
      <w:pPr>
        <w:spacing w:line="360" w:lineRule="auto"/>
        <w:ind w:firstLine="551" w:firstLineChars="196"/>
        <w:rPr>
          <w:rFonts w:hint="eastAsia"/>
          <w:b/>
          <w:sz w:val="28"/>
          <w:szCs w:val="28"/>
        </w:rPr>
      </w:pPr>
      <w:r>
        <w:rPr>
          <w:b/>
          <w:sz w:val="28"/>
          <w:szCs w:val="28"/>
        </w:rPr>
        <w:t>一、课程概况</w:t>
      </w:r>
    </w:p>
    <w:p>
      <w:pPr>
        <w:spacing w:line="360" w:lineRule="auto"/>
        <w:ind w:firstLine="482" w:firstLineChars="200"/>
        <w:rPr>
          <w:rFonts w:hint="eastAsia"/>
          <w:b/>
          <w:sz w:val="44"/>
          <w:szCs w:val="28"/>
        </w:rPr>
      </w:pPr>
      <w:r>
        <w:rPr>
          <w:b/>
          <w:bCs/>
          <w:kern w:val="0"/>
          <w:sz w:val="24"/>
        </w:rPr>
        <w:t>课程代码</w:t>
      </w:r>
      <w:r>
        <w:rPr>
          <w:b/>
          <w:kern w:val="0"/>
          <w:sz w:val="24"/>
        </w:rPr>
        <w:t>：</w:t>
      </w:r>
      <w:r>
        <w:rPr>
          <w:rFonts w:hint="eastAsia"/>
          <w:b/>
          <w:kern w:val="0"/>
          <w:sz w:val="24"/>
        </w:rPr>
        <w:t>2501</w:t>
      </w:r>
      <w:r>
        <w:rPr>
          <w:b/>
          <w:kern w:val="0"/>
          <w:sz w:val="24"/>
        </w:rPr>
        <w:t>814</w:t>
      </w:r>
    </w:p>
    <w:p>
      <w:pPr>
        <w:spacing w:line="360" w:lineRule="auto"/>
        <w:ind w:firstLine="482" w:firstLineChars="200"/>
        <w:rPr>
          <w:rFonts w:hint="eastAsia"/>
          <w:kern w:val="0"/>
          <w:sz w:val="24"/>
        </w:rPr>
      </w:pPr>
      <w:r>
        <w:rPr>
          <w:b/>
          <w:bCs/>
          <w:kern w:val="0"/>
          <w:sz w:val="24"/>
        </w:rPr>
        <w:t>学    分：4</w:t>
      </w:r>
      <w:r>
        <w:rPr>
          <w:rFonts w:hint="eastAsia"/>
          <w:b/>
          <w:bCs/>
          <w:kern w:val="0"/>
          <w:sz w:val="24"/>
        </w:rPr>
        <w:t>.</w:t>
      </w:r>
      <w:r>
        <w:rPr>
          <w:b/>
          <w:bCs/>
          <w:kern w:val="0"/>
          <w:sz w:val="24"/>
        </w:rPr>
        <w:t>0</w:t>
      </w:r>
    </w:p>
    <w:p>
      <w:pPr>
        <w:spacing w:line="360" w:lineRule="auto"/>
        <w:ind w:firstLine="482" w:firstLineChars="200"/>
        <w:rPr>
          <w:rFonts w:hint="eastAsia"/>
          <w:kern w:val="0"/>
          <w:sz w:val="24"/>
        </w:rPr>
      </w:pPr>
      <w:r>
        <w:rPr>
          <w:b/>
          <w:bCs/>
          <w:kern w:val="0"/>
          <w:sz w:val="24"/>
        </w:rPr>
        <w:t>学    时：64</w:t>
      </w:r>
    </w:p>
    <w:p>
      <w:pPr>
        <w:spacing w:line="360" w:lineRule="auto"/>
        <w:ind w:firstLine="482" w:firstLineChars="200"/>
        <w:rPr>
          <w:rFonts w:hint="eastAsia"/>
          <w:bCs/>
          <w:kern w:val="0"/>
          <w:sz w:val="24"/>
        </w:rPr>
      </w:pPr>
      <w:r>
        <w:rPr>
          <w:b/>
          <w:bCs/>
          <w:kern w:val="0"/>
          <w:sz w:val="24"/>
        </w:rPr>
        <w:t>先修课程：</w:t>
      </w:r>
      <w:r>
        <w:rPr>
          <w:rFonts w:hint="eastAsia"/>
          <w:kern w:val="0"/>
          <w:sz w:val="24"/>
        </w:rPr>
        <w:t>高等数学、物理化学、化工原理、化工热力学、化学反应工程等。</w:t>
      </w:r>
    </w:p>
    <w:p>
      <w:pPr>
        <w:spacing w:line="360" w:lineRule="auto"/>
        <w:ind w:firstLine="482" w:firstLineChars="200"/>
        <w:rPr>
          <w:rFonts w:hint="eastAsia"/>
          <w:kern w:val="0"/>
          <w:sz w:val="24"/>
        </w:rPr>
      </w:pPr>
      <w:r>
        <w:rPr>
          <w:b/>
          <w:bCs/>
          <w:kern w:val="0"/>
          <w:sz w:val="24"/>
        </w:rPr>
        <w:t>适用专业：</w:t>
      </w:r>
      <w:r>
        <w:rPr>
          <w:rFonts w:hint="eastAsia"/>
          <w:b/>
          <w:bCs/>
          <w:kern w:val="0"/>
          <w:sz w:val="24"/>
        </w:rPr>
        <w:t>应用化学、化学工程与工艺</w:t>
      </w:r>
      <w:r>
        <w:rPr>
          <w:kern w:val="0"/>
          <w:sz w:val="24"/>
        </w:rPr>
        <w:t xml:space="preserve">                          </w:t>
      </w:r>
    </w:p>
    <w:p>
      <w:pPr>
        <w:spacing w:line="360" w:lineRule="auto"/>
        <w:ind w:firstLine="482" w:firstLineChars="200"/>
        <w:rPr>
          <w:b/>
          <w:bCs/>
          <w:kern w:val="0"/>
          <w:sz w:val="24"/>
        </w:rPr>
      </w:pPr>
      <w:r>
        <w:rPr>
          <w:b/>
          <w:bCs/>
          <w:kern w:val="0"/>
          <w:sz w:val="24"/>
        </w:rPr>
        <w:t>课程归口：</w:t>
      </w:r>
      <w:r>
        <w:rPr>
          <w:rFonts w:hint="eastAsia"/>
          <w:kern w:val="0"/>
          <w:sz w:val="24"/>
        </w:rPr>
        <w:t>化工与材料学院</w:t>
      </w:r>
    </w:p>
    <w:p>
      <w:pPr>
        <w:spacing w:line="360" w:lineRule="auto"/>
        <w:ind w:firstLine="472" w:firstLineChars="196"/>
        <w:rPr>
          <w:kern w:val="0"/>
          <w:sz w:val="24"/>
        </w:rPr>
      </w:pPr>
      <w:r>
        <w:rPr>
          <w:b/>
          <w:bCs/>
          <w:kern w:val="0"/>
          <w:sz w:val="24"/>
        </w:rPr>
        <w:t>课程的性质与任务</w:t>
      </w:r>
      <w:r>
        <w:rPr>
          <w:rFonts w:hint="eastAsia"/>
          <w:b/>
          <w:bCs/>
          <w:kern w:val="0"/>
          <w:sz w:val="24"/>
        </w:rPr>
        <w:t>：</w:t>
      </w:r>
      <w:r>
        <w:rPr>
          <w:rFonts w:hint="eastAsia"/>
          <w:kern w:val="0"/>
          <w:sz w:val="24"/>
        </w:rPr>
        <w:t>本课程是化学工程与工艺专业的一门实践课，在课程教学中起着承载专业基础知识的作用，将为制药工程专业宽口径人才的培养提供专业知识和工程思想基础。本课程内容为浓酸废水处理的化工单元操作，它对消除环境污染，节约原材料，降低生产成本等具有重要的意义。通过本设计，培养学生综合运用化工知识的能力，学习进行化工设计的方法，解决化工生产实际问题。通过这次初步训练，为今后的毕业设计及工作岗位上从事设计工作打下必要的基础。</w:t>
      </w:r>
    </w:p>
    <w:p>
      <w:pPr>
        <w:spacing w:line="360" w:lineRule="auto"/>
        <w:ind w:firstLine="551" w:firstLineChars="196"/>
        <w:rPr>
          <w:b/>
          <w:sz w:val="28"/>
          <w:szCs w:val="28"/>
        </w:rPr>
      </w:pPr>
      <w:r>
        <w:rPr>
          <w:rFonts w:hint="eastAsia"/>
          <w:b/>
          <w:sz w:val="28"/>
          <w:szCs w:val="28"/>
        </w:rPr>
        <w:t>二</w:t>
      </w:r>
      <w:r>
        <w:rPr>
          <w:b/>
          <w:sz w:val="28"/>
          <w:szCs w:val="28"/>
        </w:rPr>
        <w:t>、课程目标</w:t>
      </w:r>
    </w:p>
    <w:p>
      <w:pPr>
        <w:spacing w:line="360" w:lineRule="auto"/>
        <w:ind w:firstLine="480" w:firstLineChars="200"/>
        <w:jc w:val="left"/>
        <w:rPr>
          <w:rFonts w:hint="eastAsia"/>
          <w:sz w:val="24"/>
        </w:rPr>
      </w:pPr>
      <w:r>
        <w:rPr>
          <w:rFonts w:hint="eastAsia"/>
          <w:sz w:val="24"/>
        </w:rPr>
        <w:t>目标1. 通过浓酸废水处理过程原理及设备教学，使学生了解废水处理的概念，熟悉处理过程所涉及的各个环节，认识现代环保行业的发展方向；</w:t>
      </w:r>
    </w:p>
    <w:p>
      <w:pPr>
        <w:spacing w:line="360" w:lineRule="auto"/>
        <w:ind w:firstLine="480" w:firstLineChars="200"/>
        <w:jc w:val="left"/>
        <w:rPr>
          <w:rFonts w:hint="eastAsia"/>
          <w:sz w:val="24"/>
        </w:rPr>
      </w:pPr>
      <w:r>
        <w:rPr>
          <w:rFonts w:hint="eastAsia"/>
          <w:sz w:val="24"/>
        </w:rPr>
        <w:t>目标2. 学生能够系统掌握废水处理技术的基本原理、理论和方法；</w:t>
      </w:r>
    </w:p>
    <w:p>
      <w:pPr>
        <w:spacing w:line="360" w:lineRule="auto"/>
        <w:ind w:firstLine="480" w:firstLineChars="200"/>
        <w:jc w:val="left"/>
        <w:rPr>
          <w:rFonts w:hint="eastAsia"/>
          <w:sz w:val="24"/>
        </w:rPr>
      </w:pPr>
      <w:r>
        <w:rPr>
          <w:rFonts w:hint="eastAsia"/>
          <w:sz w:val="24"/>
        </w:rPr>
        <w:t>目标3. 掌握废水处理过程中的主要设备、主要工艺技术和关键操作要点；</w:t>
      </w:r>
    </w:p>
    <w:p>
      <w:pPr>
        <w:spacing w:line="360" w:lineRule="auto"/>
        <w:ind w:firstLine="480" w:firstLineChars="200"/>
        <w:jc w:val="left"/>
        <w:rPr>
          <w:rFonts w:hint="eastAsia"/>
          <w:sz w:val="24"/>
        </w:rPr>
      </w:pPr>
      <w:r>
        <w:rPr>
          <w:rFonts w:hint="eastAsia"/>
          <w:sz w:val="24"/>
        </w:rPr>
        <w:t>目标4. 学生能够运用所学知识进行废水处理工程的创新。</w:t>
      </w:r>
    </w:p>
    <w:p>
      <w:pPr>
        <w:spacing w:line="360" w:lineRule="auto"/>
        <w:ind w:firstLine="480" w:firstLineChars="200"/>
        <w:rPr>
          <w:rFonts w:hint="eastAsia"/>
          <w:color w:val="000000"/>
          <w:sz w:val="24"/>
        </w:rPr>
      </w:pPr>
      <w:r>
        <w:rPr>
          <w:rFonts w:hint="eastAsia"/>
          <w:sz w:val="24"/>
        </w:rPr>
        <w:t>本</w:t>
      </w:r>
      <w:r>
        <w:rPr>
          <w:sz w:val="24"/>
        </w:rPr>
        <w:t>课程设计支撑专业</w:t>
      </w:r>
      <w:r>
        <w:rPr>
          <w:rFonts w:hint="eastAsia"/>
          <w:sz w:val="24"/>
        </w:rPr>
        <w:t>人才</w:t>
      </w:r>
      <w:r>
        <w:rPr>
          <w:sz w:val="24"/>
        </w:rPr>
        <w:t>培养</w:t>
      </w:r>
      <w:r>
        <w:rPr>
          <w:rFonts w:hint="eastAsia"/>
          <w:sz w:val="24"/>
        </w:rPr>
        <w:t>方案</w:t>
      </w:r>
      <w:r>
        <w:rPr>
          <w:sz w:val="24"/>
        </w:rPr>
        <w:t>中毕业要求</w:t>
      </w:r>
      <w:r>
        <w:rPr>
          <w:rFonts w:hint="eastAsia"/>
          <w:sz w:val="24"/>
        </w:rPr>
        <w:t>1（</w:t>
      </w:r>
      <w:r>
        <w:rPr>
          <w:sz w:val="24"/>
        </w:rPr>
        <w:t>占该指标点达成度的</w:t>
      </w:r>
      <w:r>
        <w:rPr>
          <w:rFonts w:hint="eastAsia"/>
          <w:sz w:val="24"/>
        </w:rPr>
        <w:t>1</w:t>
      </w:r>
      <w:r>
        <w:rPr>
          <w:sz w:val="24"/>
        </w:rPr>
        <w:t>0%</w:t>
      </w:r>
      <w:r>
        <w:rPr>
          <w:rFonts w:hint="eastAsia"/>
          <w:sz w:val="24"/>
        </w:rPr>
        <w:t>）</w:t>
      </w:r>
      <w:r>
        <w:rPr>
          <w:sz w:val="24"/>
        </w:rPr>
        <w:t>、毕业要求</w:t>
      </w:r>
      <w:r>
        <w:rPr>
          <w:rFonts w:hint="eastAsia"/>
          <w:sz w:val="24"/>
        </w:rPr>
        <w:t>3（</w:t>
      </w:r>
      <w:r>
        <w:rPr>
          <w:sz w:val="24"/>
        </w:rPr>
        <w:t>占该指标点达成度的</w:t>
      </w:r>
      <w:r>
        <w:rPr>
          <w:rFonts w:hint="eastAsia"/>
          <w:sz w:val="24"/>
        </w:rPr>
        <w:t>1</w:t>
      </w:r>
      <w:r>
        <w:rPr>
          <w:sz w:val="24"/>
        </w:rPr>
        <w:t>0%</w:t>
      </w:r>
      <w:r>
        <w:rPr>
          <w:rFonts w:hint="eastAsia"/>
          <w:sz w:val="24"/>
        </w:rPr>
        <w:t>）、</w:t>
      </w:r>
      <w:r>
        <w:rPr>
          <w:sz w:val="24"/>
        </w:rPr>
        <w:t>7</w:t>
      </w:r>
      <w:r>
        <w:rPr>
          <w:rFonts w:hint="eastAsia"/>
          <w:sz w:val="24"/>
        </w:rPr>
        <w:t>（</w:t>
      </w:r>
      <w:r>
        <w:rPr>
          <w:sz w:val="24"/>
        </w:rPr>
        <w:t>占该指标点达成度的</w:t>
      </w:r>
      <w:r>
        <w:rPr>
          <w:rFonts w:hint="eastAsia"/>
          <w:sz w:val="24"/>
        </w:rPr>
        <w:t>10</w:t>
      </w:r>
      <w:r>
        <w:rPr>
          <w:sz w:val="24"/>
        </w:rPr>
        <w:t>%</w:t>
      </w:r>
      <w:r>
        <w:rPr>
          <w:rFonts w:hint="eastAsia"/>
          <w:sz w:val="24"/>
        </w:rPr>
        <w:t>）</w:t>
      </w:r>
      <w:r>
        <w:rPr>
          <w:sz w:val="24"/>
        </w:rPr>
        <w:t>、10</w:t>
      </w:r>
      <w:r>
        <w:rPr>
          <w:rFonts w:hint="eastAsia"/>
          <w:sz w:val="24"/>
        </w:rPr>
        <w:t>（</w:t>
      </w:r>
      <w:r>
        <w:rPr>
          <w:sz w:val="24"/>
        </w:rPr>
        <w:t>占该指标点达成度的</w:t>
      </w:r>
      <w:r>
        <w:rPr>
          <w:rFonts w:hint="eastAsia"/>
          <w:sz w:val="24"/>
        </w:rPr>
        <w:t>10</w:t>
      </w:r>
      <w:r>
        <w:rPr>
          <w:sz w:val="24"/>
        </w:rPr>
        <w:t>%</w:t>
      </w:r>
      <w:r>
        <w:rPr>
          <w:rFonts w:hint="eastAsia"/>
          <w:sz w:val="24"/>
        </w:rPr>
        <w:t>），1</w:t>
      </w:r>
      <w:r>
        <w:rPr>
          <w:sz w:val="24"/>
        </w:rPr>
        <w:t>17</w:t>
      </w:r>
      <w:r>
        <w:rPr>
          <w:rFonts w:hint="eastAsia"/>
          <w:sz w:val="24"/>
        </w:rPr>
        <w:t>（</w:t>
      </w:r>
      <w:r>
        <w:rPr>
          <w:sz w:val="24"/>
        </w:rPr>
        <w:t>占该指标点达成度的</w:t>
      </w:r>
      <w:r>
        <w:rPr>
          <w:rFonts w:hint="eastAsia"/>
          <w:sz w:val="24"/>
        </w:rPr>
        <w:t>10</w:t>
      </w:r>
      <w:r>
        <w:rPr>
          <w:sz w:val="24"/>
        </w:rPr>
        <w:t>%</w:t>
      </w:r>
      <w:r>
        <w:rPr>
          <w:rFonts w:hint="eastAsia"/>
          <w:sz w:val="24"/>
        </w:rPr>
        <w:t>）</w:t>
      </w:r>
      <w:r>
        <w:rPr>
          <w:rFonts w:hint="eastAsia"/>
          <w:color w:val="000000"/>
          <w:sz w:val="24"/>
        </w:rPr>
        <w:t>对应关系如表所示。</w:t>
      </w:r>
    </w:p>
    <w:tbl>
      <w:tblPr>
        <w:tblStyle w:val="10"/>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850"/>
        <w:gridCol w:w="1134"/>
        <w:gridCol w:w="1134"/>
        <w:gridCol w:w="1134"/>
        <w:gridCol w:w="1134"/>
        <w:gridCol w:w="1134"/>
        <w:gridCol w:w="1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Merge w:val="restart"/>
            <w:noWrap w:val="0"/>
            <w:vAlign w:val="center"/>
          </w:tcPr>
          <w:p>
            <w:pPr>
              <w:widowControl/>
              <w:jc w:val="center"/>
              <w:rPr>
                <w:kern w:val="0"/>
                <w:szCs w:val="21"/>
              </w:rPr>
            </w:pPr>
            <w:r>
              <w:rPr>
                <w:kern w:val="0"/>
                <w:szCs w:val="21"/>
              </w:rPr>
              <w:t>毕业要求</w:t>
            </w:r>
          </w:p>
          <w:p>
            <w:pPr>
              <w:spacing w:line="360" w:lineRule="auto"/>
              <w:jc w:val="center"/>
              <w:rPr>
                <w:color w:val="000000"/>
                <w:sz w:val="24"/>
              </w:rPr>
            </w:pPr>
            <w:r>
              <w:rPr>
                <w:kern w:val="0"/>
                <w:szCs w:val="21"/>
              </w:rPr>
              <w:t>指标点</w:t>
            </w:r>
          </w:p>
        </w:tc>
        <w:tc>
          <w:tcPr>
            <w:tcW w:w="7618" w:type="dxa"/>
            <w:gridSpan w:val="7"/>
            <w:noWrap w:val="0"/>
            <w:vAlign w:val="center"/>
          </w:tcPr>
          <w:p>
            <w:pPr>
              <w:spacing w:line="360" w:lineRule="auto"/>
              <w:jc w:val="center"/>
              <w:rPr>
                <w:color w:val="000000"/>
                <w:sz w:val="24"/>
              </w:rPr>
            </w:pPr>
            <w:r>
              <w:rPr>
                <w:kern w:val="0"/>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668" w:type="dxa"/>
            <w:vMerge w:val="continue"/>
            <w:noWrap w:val="0"/>
            <w:vAlign w:val="top"/>
          </w:tcPr>
          <w:p>
            <w:pPr>
              <w:spacing w:line="360" w:lineRule="auto"/>
              <w:rPr>
                <w:color w:val="000000"/>
                <w:sz w:val="24"/>
              </w:rPr>
            </w:pPr>
          </w:p>
        </w:tc>
        <w:tc>
          <w:tcPr>
            <w:tcW w:w="850" w:type="dxa"/>
            <w:noWrap w:val="0"/>
            <w:vAlign w:val="center"/>
          </w:tcPr>
          <w:p>
            <w:pPr>
              <w:widowControl/>
              <w:jc w:val="center"/>
              <w:rPr>
                <w:kern w:val="0"/>
                <w:szCs w:val="21"/>
              </w:rPr>
            </w:pPr>
            <w:r>
              <w:rPr>
                <w:kern w:val="0"/>
                <w:szCs w:val="21"/>
              </w:rPr>
              <w:t>目标1</w:t>
            </w:r>
          </w:p>
        </w:tc>
        <w:tc>
          <w:tcPr>
            <w:tcW w:w="1134" w:type="dxa"/>
            <w:noWrap w:val="0"/>
            <w:vAlign w:val="center"/>
          </w:tcPr>
          <w:p>
            <w:pPr>
              <w:widowControl/>
              <w:jc w:val="center"/>
              <w:rPr>
                <w:kern w:val="0"/>
                <w:szCs w:val="21"/>
              </w:rPr>
            </w:pPr>
            <w:r>
              <w:rPr>
                <w:kern w:val="0"/>
                <w:szCs w:val="21"/>
              </w:rPr>
              <w:t>目标2</w:t>
            </w:r>
          </w:p>
        </w:tc>
        <w:tc>
          <w:tcPr>
            <w:tcW w:w="1134" w:type="dxa"/>
            <w:noWrap w:val="0"/>
            <w:vAlign w:val="center"/>
          </w:tcPr>
          <w:p>
            <w:pPr>
              <w:widowControl/>
              <w:jc w:val="center"/>
              <w:rPr>
                <w:kern w:val="0"/>
                <w:szCs w:val="21"/>
              </w:rPr>
            </w:pPr>
            <w:r>
              <w:rPr>
                <w:kern w:val="0"/>
                <w:szCs w:val="21"/>
              </w:rPr>
              <w:t>目标3</w:t>
            </w:r>
          </w:p>
        </w:tc>
        <w:tc>
          <w:tcPr>
            <w:tcW w:w="1134" w:type="dxa"/>
            <w:noWrap w:val="0"/>
            <w:vAlign w:val="center"/>
          </w:tcPr>
          <w:p>
            <w:pPr>
              <w:widowControl/>
              <w:jc w:val="center"/>
              <w:rPr>
                <w:kern w:val="0"/>
                <w:szCs w:val="21"/>
              </w:rPr>
            </w:pPr>
            <w:r>
              <w:rPr>
                <w:kern w:val="0"/>
                <w:szCs w:val="21"/>
              </w:rPr>
              <w:t>目标4</w:t>
            </w:r>
          </w:p>
        </w:tc>
        <w:tc>
          <w:tcPr>
            <w:tcW w:w="1134" w:type="dxa"/>
            <w:noWrap w:val="0"/>
            <w:vAlign w:val="center"/>
          </w:tcPr>
          <w:p>
            <w:pPr>
              <w:widowControl/>
              <w:jc w:val="center"/>
              <w:rPr>
                <w:kern w:val="0"/>
                <w:szCs w:val="21"/>
              </w:rPr>
            </w:pPr>
          </w:p>
        </w:tc>
        <w:tc>
          <w:tcPr>
            <w:tcW w:w="1134" w:type="dxa"/>
            <w:noWrap w:val="0"/>
            <w:vAlign w:val="center"/>
          </w:tcPr>
          <w:p>
            <w:pPr>
              <w:widowControl/>
              <w:jc w:val="center"/>
              <w:rPr>
                <w:kern w:val="0"/>
                <w:szCs w:val="21"/>
                <w:highlight w:val="yellow"/>
              </w:rPr>
            </w:pPr>
          </w:p>
        </w:tc>
        <w:tc>
          <w:tcPr>
            <w:tcW w:w="1098" w:type="dxa"/>
            <w:noWrap w:val="0"/>
            <w:vAlign w:val="center"/>
          </w:tcPr>
          <w:p>
            <w:pPr>
              <w:widowControl/>
              <w:jc w:val="center"/>
              <w:rPr>
                <w:kern w:val="0"/>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1668" w:type="dxa"/>
            <w:noWrap w:val="0"/>
            <w:vAlign w:val="center"/>
          </w:tcPr>
          <w:p>
            <w:pPr>
              <w:widowControl/>
              <w:jc w:val="center"/>
              <w:rPr>
                <w:rFonts w:hint="eastAsia"/>
                <w:kern w:val="0"/>
                <w:szCs w:val="21"/>
              </w:rPr>
            </w:pPr>
            <w:r>
              <w:rPr>
                <w:kern w:val="0"/>
                <w:szCs w:val="21"/>
              </w:rPr>
              <w:t>毕业要求</w:t>
            </w:r>
            <w:r>
              <w:rPr>
                <w:rFonts w:hint="eastAsia"/>
                <w:kern w:val="0"/>
                <w:szCs w:val="21"/>
              </w:rPr>
              <w:t>1</w:t>
            </w:r>
          </w:p>
        </w:tc>
        <w:tc>
          <w:tcPr>
            <w:tcW w:w="850"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p>
        </w:tc>
        <w:tc>
          <w:tcPr>
            <w:tcW w:w="1134" w:type="dxa"/>
            <w:noWrap w:val="0"/>
            <w:vAlign w:val="center"/>
          </w:tcPr>
          <w:p>
            <w:pPr>
              <w:widowControl/>
              <w:jc w:val="center"/>
              <w:rPr>
                <w:kern w:val="0"/>
                <w:szCs w:val="21"/>
                <w:highlight w:val="yellow"/>
              </w:rPr>
            </w:pPr>
          </w:p>
        </w:tc>
        <w:tc>
          <w:tcPr>
            <w:tcW w:w="1098" w:type="dxa"/>
            <w:noWrap w:val="0"/>
            <w:vAlign w:val="center"/>
          </w:tcPr>
          <w:p>
            <w:pPr>
              <w:widowControl/>
              <w:jc w:val="center"/>
              <w:rPr>
                <w:kern w:val="0"/>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668" w:type="dxa"/>
            <w:noWrap w:val="0"/>
            <w:vAlign w:val="center"/>
          </w:tcPr>
          <w:p>
            <w:pPr>
              <w:widowControl/>
              <w:jc w:val="center"/>
              <w:rPr>
                <w:kern w:val="0"/>
                <w:szCs w:val="21"/>
              </w:rPr>
            </w:pPr>
            <w:r>
              <w:rPr>
                <w:kern w:val="0"/>
                <w:szCs w:val="21"/>
              </w:rPr>
              <w:t>毕业要求2</w:t>
            </w:r>
          </w:p>
        </w:tc>
        <w:tc>
          <w:tcPr>
            <w:tcW w:w="850"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p>
        </w:tc>
        <w:tc>
          <w:tcPr>
            <w:tcW w:w="1134" w:type="dxa"/>
            <w:noWrap w:val="0"/>
            <w:vAlign w:val="center"/>
          </w:tcPr>
          <w:p>
            <w:pPr>
              <w:widowControl/>
              <w:jc w:val="center"/>
              <w:rPr>
                <w:kern w:val="0"/>
                <w:szCs w:val="21"/>
                <w:highlight w:val="yellow"/>
              </w:rPr>
            </w:pPr>
          </w:p>
        </w:tc>
        <w:tc>
          <w:tcPr>
            <w:tcW w:w="1098" w:type="dxa"/>
            <w:noWrap w:val="0"/>
            <w:vAlign w:val="center"/>
          </w:tcPr>
          <w:p>
            <w:pPr>
              <w:widowControl/>
              <w:jc w:val="center"/>
              <w:rPr>
                <w:kern w:val="0"/>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668" w:type="dxa"/>
            <w:noWrap w:val="0"/>
            <w:vAlign w:val="center"/>
          </w:tcPr>
          <w:p>
            <w:pPr>
              <w:widowControl/>
              <w:jc w:val="center"/>
              <w:rPr>
                <w:kern w:val="0"/>
                <w:szCs w:val="21"/>
              </w:rPr>
            </w:pPr>
            <w:r>
              <w:rPr>
                <w:kern w:val="0"/>
                <w:szCs w:val="21"/>
              </w:rPr>
              <w:t>毕业要求</w:t>
            </w:r>
            <w:r>
              <w:rPr>
                <w:rFonts w:hint="eastAsia"/>
                <w:kern w:val="0"/>
                <w:szCs w:val="21"/>
              </w:rPr>
              <w:t>3</w:t>
            </w:r>
          </w:p>
        </w:tc>
        <w:tc>
          <w:tcPr>
            <w:tcW w:w="850"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p>
        </w:tc>
        <w:tc>
          <w:tcPr>
            <w:tcW w:w="1134" w:type="dxa"/>
            <w:noWrap w:val="0"/>
            <w:vAlign w:val="center"/>
          </w:tcPr>
          <w:p>
            <w:pPr>
              <w:widowControl/>
              <w:jc w:val="center"/>
              <w:rPr>
                <w:kern w:val="0"/>
                <w:szCs w:val="21"/>
                <w:highlight w:val="yellow"/>
              </w:rPr>
            </w:pPr>
          </w:p>
        </w:tc>
        <w:tc>
          <w:tcPr>
            <w:tcW w:w="1098" w:type="dxa"/>
            <w:noWrap w:val="0"/>
            <w:vAlign w:val="center"/>
          </w:tcPr>
          <w:p>
            <w:pPr>
              <w:widowControl/>
              <w:jc w:val="center"/>
              <w:rPr>
                <w:kern w:val="0"/>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668" w:type="dxa"/>
            <w:noWrap w:val="0"/>
            <w:vAlign w:val="center"/>
          </w:tcPr>
          <w:p>
            <w:pPr>
              <w:widowControl/>
              <w:jc w:val="center"/>
              <w:rPr>
                <w:rFonts w:hint="eastAsia"/>
                <w:kern w:val="0"/>
                <w:szCs w:val="21"/>
              </w:rPr>
            </w:pPr>
            <w:r>
              <w:rPr>
                <w:kern w:val="0"/>
                <w:szCs w:val="21"/>
              </w:rPr>
              <w:t>毕业要求7</w:t>
            </w:r>
          </w:p>
        </w:tc>
        <w:tc>
          <w:tcPr>
            <w:tcW w:w="850"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p>
        </w:tc>
        <w:tc>
          <w:tcPr>
            <w:tcW w:w="1134" w:type="dxa"/>
            <w:noWrap w:val="0"/>
            <w:vAlign w:val="center"/>
          </w:tcPr>
          <w:p>
            <w:pPr>
              <w:widowControl/>
              <w:jc w:val="center"/>
              <w:rPr>
                <w:kern w:val="0"/>
                <w:szCs w:val="21"/>
                <w:highlight w:val="yellow"/>
              </w:rPr>
            </w:pPr>
          </w:p>
        </w:tc>
        <w:tc>
          <w:tcPr>
            <w:tcW w:w="1098" w:type="dxa"/>
            <w:noWrap w:val="0"/>
            <w:vAlign w:val="center"/>
          </w:tcPr>
          <w:p>
            <w:pPr>
              <w:widowControl/>
              <w:jc w:val="center"/>
              <w:rPr>
                <w:kern w:val="0"/>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668" w:type="dxa"/>
            <w:noWrap w:val="0"/>
            <w:vAlign w:val="center"/>
          </w:tcPr>
          <w:p>
            <w:pPr>
              <w:widowControl/>
              <w:jc w:val="center"/>
              <w:rPr>
                <w:rFonts w:hint="eastAsia"/>
                <w:kern w:val="0"/>
                <w:szCs w:val="21"/>
              </w:rPr>
            </w:pPr>
            <w:r>
              <w:rPr>
                <w:kern w:val="0"/>
                <w:szCs w:val="21"/>
              </w:rPr>
              <w:t>毕业要求10</w:t>
            </w:r>
          </w:p>
        </w:tc>
        <w:tc>
          <w:tcPr>
            <w:tcW w:w="850"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p>
        </w:tc>
        <w:tc>
          <w:tcPr>
            <w:tcW w:w="1134" w:type="dxa"/>
            <w:noWrap w:val="0"/>
            <w:vAlign w:val="center"/>
          </w:tcPr>
          <w:p>
            <w:pPr>
              <w:widowControl/>
              <w:jc w:val="center"/>
              <w:rPr>
                <w:kern w:val="0"/>
                <w:szCs w:val="21"/>
                <w:highlight w:val="yellow"/>
              </w:rPr>
            </w:pPr>
          </w:p>
        </w:tc>
        <w:tc>
          <w:tcPr>
            <w:tcW w:w="1098" w:type="dxa"/>
            <w:noWrap w:val="0"/>
            <w:vAlign w:val="center"/>
          </w:tcPr>
          <w:p>
            <w:pPr>
              <w:widowControl/>
              <w:jc w:val="center"/>
              <w:rPr>
                <w:kern w:val="0"/>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668" w:type="dxa"/>
            <w:noWrap w:val="0"/>
            <w:vAlign w:val="center"/>
          </w:tcPr>
          <w:p>
            <w:pPr>
              <w:widowControl/>
              <w:jc w:val="center"/>
              <w:rPr>
                <w:kern w:val="0"/>
                <w:szCs w:val="21"/>
              </w:rPr>
            </w:pPr>
            <w:r>
              <w:rPr>
                <w:kern w:val="0"/>
                <w:szCs w:val="21"/>
              </w:rPr>
              <w:t>毕业要求11</w:t>
            </w:r>
          </w:p>
        </w:tc>
        <w:tc>
          <w:tcPr>
            <w:tcW w:w="850"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r>
              <w:rPr>
                <w:kern w:val="0"/>
                <w:szCs w:val="21"/>
              </w:rPr>
              <w:t>√</w:t>
            </w:r>
          </w:p>
        </w:tc>
        <w:tc>
          <w:tcPr>
            <w:tcW w:w="1134" w:type="dxa"/>
            <w:noWrap w:val="0"/>
            <w:vAlign w:val="center"/>
          </w:tcPr>
          <w:p>
            <w:pPr>
              <w:widowControl/>
              <w:jc w:val="center"/>
              <w:rPr>
                <w:kern w:val="0"/>
                <w:szCs w:val="21"/>
              </w:rPr>
            </w:pPr>
          </w:p>
        </w:tc>
        <w:tc>
          <w:tcPr>
            <w:tcW w:w="1134" w:type="dxa"/>
            <w:noWrap w:val="0"/>
            <w:vAlign w:val="center"/>
          </w:tcPr>
          <w:p>
            <w:pPr>
              <w:widowControl/>
              <w:jc w:val="center"/>
              <w:rPr>
                <w:kern w:val="0"/>
                <w:szCs w:val="21"/>
                <w:highlight w:val="yellow"/>
              </w:rPr>
            </w:pPr>
          </w:p>
        </w:tc>
        <w:tc>
          <w:tcPr>
            <w:tcW w:w="1098" w:type="dxa"/>
            <w:noWrap w:val="0"/>
            <w:vAlign w:val="center"/>
          </w:tcPr>
          <w:p>
            <w:pPr>
              <w:widowControl/>
              <w:jc w:val="center"/>
              <w:rPr>
                <w:kern w:val="0"/>
                <w:szCs w:val="21"/>
                <w:highlight w:val="yellow"/>
              </w:rPr>
            </w:pPr>
          </w:p>
        </w:tc>
      </w:tr>
    </w:tbl>
    <w:p>
      <w:pPr>
        <w:spacing w:line="360" w:lineRule="auto"/>
        <w:ind w:firstLine="551" w:firstLineChars="196"/>
        <w:rPr>
          <w:b/>
          <w:sz w:val="28"/>
          <w:szCs w:val="28"/>
        </w:rPr>
      </w:pPr>
      <w:r>
        <w:rPr>
          <w:rFonts w:hint="eastAsia"/>
          <w:b/>
          <w:sz w:val="28"/>
          <w:szCs w:val="28"/>
        </w:rPr>
        <w:t>三</w:t>
      </w:r>
      <w:r>
        <w:rPr>
          <w:b/>
          <w:sz w:val="28"/>
          <w:szCs w:val="28"/>
        </w:rPr>
        <w:t>、课程内容与要求</w:t>
      </w:r>
    </w:p>
    <w:p>
      <w:pPr>
        <w:pStyle w:val="15"/>
        <w:spacing w:line="360" w:lineRule="auto"/>
        <w:ind w:left="480" w:firstLine="0" w:firstLineChars="0"/>
        <w:rPr>
          <w:sz w:val="24"/>
        </w:rPr>
      </w:pPr>
      <w:r>
        <w:rPr>
          <w:rFonts w:hint="eastAsia"/>
          <w:b/>
          <w:sz w:val="24"/>
        </w:rPr>
        <w:t>（一）课程</w:t>
      </w:r>
      <w:r>
        <w:rPr>
          <w:b/>
          <w:sz w:val="24"/>
        </w:rPr>
        <w:t>内容</w:t>
      </w:r>
    </w:p>
    <w:p>
      <w:pPr>
        <w:adjustRightInd w:val="0"/>
        <w:snapToGrid w:val="0"/>
        <w:spacing w:line="300" w:lineRule="auto"/>
        <w:ind w:firstLine="480" w:firstLineChars="200"/>
        <w:rPr>
          <w:rFonts w:hint="eastAsia"/>
          <w:sz w:val="24"/>
        </w:rPr>
      </w:pPr>
      <w:r>
        <w:rPr>
          <w:rFonts w:hint="eastAsia"/>
          <w:sz w:val="24"/>
        </w:rPr>
        <w:t>三效顺流中央循环管式蒸发器的工艺设计。</w:t>
      </w:r>
    </w:p>
    <w:p>
      <w:pPr>
        <w:adjustRightInd w:val="0"/>
        <w:snapToGrid w:val="0"/>
        <w:spacing w:line="300" w:lineRule="auto"/>
        <w:ind w:firstLine="480" w:firstLineChars="200"/>
        <w:rPr>
          <w:rFonts w:hint="eastAsia"/>
          <w:sz w:val="24"/>
        </w:rPr>
      </w:pPr>
      <w:r>
        <w:rPr>
          <w:rFonts w:hint="eastAsia"/>
          <w:sz w:val="24"/>
        </w:rPr>
        <w:t>具体内容为：</w:t>
      </w:r>
    </w:p>
    <w:p>
      <w:pPr>
        <w:adjustRightInd w:val="0"/>
        <w:snapToGrid w:val="0"/>
        <w:spacing w:line="300" w:lineRule="auto"/>
        <w:ind w:firstLine="480" w:firstLineChars="200"/>
        <w:rPr>
          <w:rFonts w:hint="eastAsia"/>
          <w:sz w:val="24"/>
        </w:rPr>
      </w:pPr>
      <w:r>
        <w:rPr>
          <w:rFonts w:hint="eastAsia"/>
          <w:sz w:val="24"/>
        </w:rPr>
        <w:t>（1）关于蒸发器的型式、流程和效数的论证；</w:t>
      </w:r>
    </w:p>
    <w:p>
      <w:pPr>
        <w:adjustRightInd w:val="0"/>
        <w:snapToGrid w:val="0"/>
        <w:spacing w:line="300" w:lineRule="auto"/>
        <w:ind w:firstLine="480" w:firstLineChars="200"/>
        <w:rPr>
          <w:rFonts w:hint="eastAsia"/>
          <w:sz w:val="24"/>
        </w:rPr>
      </w:pPr>
      <w:r>
        <w:rPr>
          <w:rFonts w:hint="eastAsia"/>
          <w:sz w:val="24"/>
        </w:rPr>
        <w:t>（2）工艺计算；</w:t>
      </w:r>
    </w:p>
    <w:p>
      <w:pPr>
        <w:adjustRightInd w:val="0"/>
        <w:snapToGrid w:val="0"/>
        <w:spacing w:line="300" w:lineRule="auto"/>
        <w:ind w:firstLine="480" w:firstLineChars="200"/>
        <w:rPr>
          <w:rFonts w:hint="eastAsia"/>
          <w:sz w:val="24"/>
        </w:rPr>
      </w:pPr>
      <w:r>
        <w:rPr>
          <w:rFonts w:hint="eastAsia"/>
          <w:sz w:val="24"/>
        </w:rPr>
        <w:t>（3）蒸发器主要尺寸（加热室，蒸发室）的设备计算；</w:t>
      </w:r>
    </w:p>
    <w:p>
      <w:pPr>
        <w:adjustRightInd w:val="0"/>
        <w:snapToGrid w:val="0"/>
        <w:spacing w:line="300" w:lineRule="auto"/>
        <w:ind w:firstLine="480" w:firstLineChars="200"/>
        <w:rPr>
          <w:rFonts w:hint="eastAsia"/>
          <w:sz w:val="24"/>
        </w:rPr>
      </w:pPr>
      <w:r>
        <w:rPr>
          <w:rFonts w:hint="eastAsia"/>
          <w:sz w:val="24"/>
        </w:rPr>
        <w:t>（4）设计图纸；</w:t>
      </w:r>
    </w:p>
    <w:p>
      <w:pPr>
        <w:adjustRightInd w:val="0"/>
        <w:snapToGrid w:val="0"/>
        <w:spacing w:line="300" w:lineRule="auto"/>
        <w:ind w:firstLine="480" w:firstLineChars="200"/>
        <w:rPr>
          <w:sz w:val="24"/>
        </w:rPr>
      </w:pPr>
      <w:r>
        <w:rPr>
          <w:rFonts w:hint="eastAsia"/>
          <w:sz w:val="24"/>
        </w:rPr>
        <w:t>（5）问题讨论与自我评述（包括对本次设计的看法，存在问题与不足。亦可谈一下收获与体会等）。</w:t>
      </w:r>
    </w:p>
    <w:p>
      <w:pPr>
        <w:pStyle w:val="15"/>
        <w:spacing w:line="360" w:lineRule="auto"/>
        <w:ind w:left="480" w:firstLine="0" w:firstLineChars="0"/>
        <w:jc w:val="left"/>
        <w:rPr>
          <w:rFonts w:hint="eastAsia"/>
          <w:sz w:val="24"/>
        </w:rPr>
      </w:pPr>
      <w:r>
        <w:rPr>
          <w:rFonts w:hint="eastAsia"/>
          <w:b/>
          <w:sz w:val="24"/>
        </w:rPr>
        <w:t>（二）课程</w:t>
      </w:r>
      <w:r>
        <w:rPr>
          <w:b/>
          <w:sz w:val="24"/>
        </w:rPr>
        <w:t>要求</w:t>
      </w:r>
    </w:p>
    <w:p>
      <w:pPr>
        <w:pStyle w:val="15"/>
        <w:spacing w:line="360" w:lineRule="auto"/>
        <w:ind w:firstLine="480"/>
        <w:rPr>
          <w:sz w:val="24"/>
        </w:rPr>
      </w:pPr>
      <w:r>
        <w:rPr>
          <w:rFonts w:hint="eastAsia"/>
          <w:sz w:val="24"/>
        </w:rPr>
        <w:t>（1）掌握生产中各种单元操作的基本理论；</w:t>
      </w:r>
      <w:r>
        <w:rPr>
          <w:sz w:val="24"/>
        </w:rPr>
        <w:t> </w:t>
      </w:r>
    </w:p>
    <w:p>
      <w:pPr>
        <w:pStyle w:val="15"/>
        <w:spacing w:line="360" w:lineRule="auto"/>
        <w:ind w:firstLine="480"/>
        <w:rPr>
          <w:sz w:val="24"/>
        </w:rPr>
      </w:pPr>
      <w:r>
        <w:rPr>
          <w:rFonts w:hint="eastAsia"/>
          <w:sz w:val="24"/>
        </w:rPr>
        <w:t>（2）了解各类处理设备的主要特点、性能和适用范围，并能根据生产要求选择合适的生产设备；</w:t>
      </w:r>
      <w:r>
        <w:rPr>
          <w:sz w:val="24"/>
        </w:rPr>
        <w:t> </w:t>
      </w:r>
    </w:p>
    <w:p>
      <w:pPr>
        <w:pStyle w:val="15"/>
        <w:spacing w:line="360" w:lineRule="auto"/>
        <w:ind w:firstLine="480"/>
        <w:rPr>
          <w:sz w:val="24"/>
        </w:rPr>
      </w:pPr>
      <w:r>
        <w:rPr>
          <w:rFonts w:hint="eastAsia"/>
          <w:sz w:val="24"/>
        </w:rPr>
        <w:t>（3）熟悉GMP和自动化处理的特点，在三废处理工业中能初步应用这些知识。</w:t>
      </w:r>
    </w:p>
    <w:p>
      <w:pPr>
        <w:pStyle w:val="15"/>
        <w:spacing w:line="360" w:lineRule="auto"/>
        <w:ind w:left="480" w:firstLine="0" w:firstLineChars="0"/>
        <w:rPr>
          <w:rFonts w:hint="eastAsia"/>
          <w:b/>
          <w:sz w:val="24"/>
        </w:rPr>
      </w:pPr>
      <w:r>
        <w:rPr>
          <w:rFonts w:hint="eastAsia"/>
          <w:b/>
          <w:sz w:val="24"/>
        </w:rPr>
        <w:t>（三）教学内容与</w:t>
      </w:r>
      <w:r>
        <w:rPr>
          <w:b/>
          <w:sz w:val="24"/>
        </w:rPr>
        <w:t>目标的</w:t>
      </w:r>
      <w:r>
        <w:rPr>
          <w:rFonts w:hint="eastAsia"/>
          <w:b/>
          <w:sz w:val="24"/>
        </w:rPr>
        <w:t>对应关系及</w:t>
      </w:r>
      <w:r>
        <w:rPr>
          <w:b/>
          <w:sz w:val="24"/>
        </w:rPr>
        <w:t>学时分配</w:t>
      </w:r>
    </w:p>
    <w:p>
      <w:pPr>
        <w:spacing w:line="360" w:lineRule="auto"/>
        <w:ind w:firstLine="480" w:firstLineChars="200"/>
        <w:rPr>
          <w:sz w:val="24"/>
        </w:rPr>
      </w:pPr>
      <w:r>
        <w:rPr>
          <w:sz w:val="24"/>
        </w:rPr>
        <w:t>本</w:t>
      </w:r>
      <w:r>
        <w:rPr>
          <w:rFonts w:hint="eastAsia"/>
          <w:sz w:val="24"/>
        </w:rPr>
        <w:t>实验课程历时16</w:t>
      </w:r>
      <w:r>
        <w:rPr>
          <w:sz w:val="24"/>
        </w:rPr>
        <w:t>周（</w:t>
      </w:r>
      <w:r>
        <w:rPr>
          <w:rFonts w:hint="eastAsia"/>
          <w:sz w:val="24"/>
        </w:rPr>
        <w:t>1-</w:t>
      </w:r>
      <w:r>
        <w:rPr>
          <w:sz w:val="24"/>
        </w:rPr>
        <w:t>1</w:t>
      </w:r>
      <w:r>
        <w:rPr>
          <w:rFonts w:hint="eastAsia"/>
          <w:sz w:val="24"/>
        </w:rPr>
        <w:t>6周</w:t>
      </w:r>
      <w:r>
        <w:rPr>
          <w:sz w:val="24"/>
        </w:rPr>
        <w:t>），</w:t>
      </w:r>
      <w:r>
        <w:rPr>
          <w:rFonts w:hint="eastAsia"/>
          <w:sz w:val="24"/>
        </w:rPr>
        <w:t>周学时2。教学内容与课程目标的对应关系及建议时间分配如表所示。</w:t>
      </w:r>
    </w:p>
    <w:tbl>
      <w:tblPr>
        <w:tblStyle w:val="10"/>
        <w:tblW w:w="9178" w:type="dxa"/>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2803"/>
        <w:gridCol w:w="2041"/>
        <w:gridCol w:w="1361"/>
        <w:gridCol w:w="85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shd w:val="clear" w:color="auto" w:fill="FFFFFF"/>
            <w:noWrap w:val="0"/>
            <w:vAlign w:val="center"/>
          </w:tcPr>
          <w:p>
            <w:pPr>
              <w:jc w:val="center"/>
              <w:rPr>
                <w:bCs/>
                <w:szCs w:val="21"/>
              </w:rPr>
            </w:pPr>
            <w:r>
              <w:rPr>
                <w:bCs/>
                <w:szCs w:val="21"/>
              </w:rPr>
              <w:t>序号</w:t>
            </w:r>
          </w:p>
        </w:tc>
        <w:tc>
          <w:tcPr>
            <w:tcW w:w="2803" w:type="dxa"/>
            <w:shd w:val="clear" w:color="auto" w:fill="FFFFFF"/>
            <w:noWrap w:val="0"/>
            <w:vAlign w:val="center"/>
          </w:tcPr>
          <w:p>
            <w:pPr>
              <w:jc w:val="center"/>
              <w:rPr>
                <w:bCs/>
                <w:szCs w:val="21"/>
              </w:rPr>
            </w:pPr>
            <w:r>
              <w:rPr>
                <w:rFonts w:hint="eastAsia"/>
                <w:bCs/>
                <w:szCs w:val="21"/>
              </w:rPr>
              <w:t>教学内容</w:t>
            </w:r>
          </w:p>
        </w:tc>
        <w:tc>
          <w:tcPr>
            <w:tcW w:w="2041" w:type="dxa"/>
            <w:shd w:val="clear" w:color="auto" w:fill="FFFFFF"/>
            <w:noWrap w:val="0"/>
            <w:vAlign w:val="top"/>
          </w:tcPr>
          <w:p>
            <w:pPr>
              <w:jc w:val="center"/>
              <w:rPr>
                <w:rFonts w:hint="eastAsia"/>
                <w:bCs/>
                <w:szCs w:val="21"/>
              </w:rPr>
            </w:pPr>
            <w:r>
              <w:rPr>
                <w:bCs/>
                <w:szCs w:val="21"/>
              </w:rPr>
              <w:t>支撑的</w:t>
            </w:r>
          </w:p>
          <w:p>
            <w:pPr>
              <w:jc w:val="center"/>
              <w:rPr>
                <w:bCs/>
                <w:szCs w:val="21"/>
              </w:rPr>
            </w:pPr>
            <w:r>
              <w:rPr>
                <w:bCs/>
                <w:szCs w:val="21"/>
              </w:rPr>
              <w:t>课程目标</w:t>
            </w:r>
          </w:p>
        </w:tc>
        <w:tc>
          <w:tcPr>
            <w:tcW w:w="1361" w:type="dxa"/>
            <w:shd w:val="clear" w:color="auto" w:fill="FFFFFF"/>
            <w:noWrap w:val="0"/>
            <w:vAlign w:val="center"/>
          </w:tcPr>
          <w:p>
            <w:pPr>
              <w:jc w:val="center"/>
              <w:rPr>
                <w:bCs/>
                <w:szCs w:val="21"/>
              </w:rPr>
            </w:pPr>
            <w:r>
              <w:rPr>
                <w:bCs/>
                <w:szCs w:val="21"/>
              </w:rPr>
              <w:t>支撑的毕业要求指标点</w:t>
            </w:r>
          </w:p>
        </w:tc>
        <w:tc>
          <w:tcPr>
            <w:tcW w:w="851" w:type="dxa"/>
            <w:shd w:val="clear" w:color="auto" w:fill="FFFFFF"/>
            <w:noWrap w:val="0"/>
            <w:vAlign w:val="center"/>
          </w:tcPr>
          <w:p>
            <w:pPr>
              <w:jc w:val="center"/>
              <w:rPr>
                <w:rFonts w:hint="eastAsia"/>
                <w:bCs/>
                <w:szCs w:val="21"/>
              </w:rPr>
            </w:pPr>
            <w:r>
              <w:rPr>
                <w:bCs/>
                <w:szCs w:val="21"/>
              </w:rPr>
              <w:t>时间分配/</w:t>
            </w:r>
            <w:r>
              <w:rPr>
                <w:rFonts w:hint="eastAsia"/>
                <w:bCs/>
                <w:szCs w:val="21"/>
              </w:rPr>
              <w:t>时</w:t>
            </w:r>
          </w:p>
        </w:tc>
        <w:tc>
          <w:tcPr>
            <w:tcW w:w="1417" w:type="dxa"/>
            <w:shd w:val="clear" w:color="auto" w:fill="FFFFFF"/>
            <w:noWrap w:val="0"/>
            <w:vAlign w:val="center"/>
          </w:tcPr>
          <w:p>
            <w:pPr>
              <w:jc w:val="center"/>
              <w:rPr>
                <w:bCs/>
                <w:szCs w:val="21"/>
              </w:rPr>
            </w:pPr>
            <w:r>
              <w:rPr>
                <w:bCs/>
                <w:szCs w:val="21"/>
              </w:rPr>
              <w:t>教学形式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05" w:type="dxa"/>
            <w:noWrap w:val="0"/>
            <w:vAlign w:val="center"/>
          </w:tcPr>
          <w:p>
            <w:pPr>
              <w:jc w:val="center"/>
              <w:rPr>
                <w:szCs w:val="21"/>
              </w:rPr>
            </w:pPr>
            <w:r>
              <w:rPr>
                <w:szCs w:val="21"/>
              </w:rPr>
              <w:t>1</w:t>
            </w:r>
          </w:p>
        </w:tc>
        <w:tc>
          <w:tcPr>
            <w:tcW w:w="2803" w:type="dxa"/>
            <w:noWrap w:val="0"/>
            <w:vAlign w:val="top"/>
          </w:tcPr>
          <w:p>
            <w:pPr>
              <w:rPr>
                <w:rFonts w:hint="eastAsia"/>
              </w:rPr>
            </w:pPr>
            <w:r>
              <w:rPr>
                <w:rFonts w:hint="eastAsia"/>
                <w:sz w:val="24"/>
              </w:rPr>
              <w:t>设计要求讲解</w:t>
            </w:r>
          </w:p>
        </w:tc>
        <w:tc>
          <w:tcPr>
            <w:tcW w:w="2041" w:type="dxa"/>
            <w:noWrap w:val="0"/>
            <w:vAlign w:val="center"/>
          </w:tcPr>
          <w:p>
            <w:pPr>
              <w:jc w:val="center"/>
              <w:rPr>
                <w:rFonts w:hint="eastAsia"/>
                <w:szCs w:val="21"/>
              </w:rPr>
            </w:pPr>
            <w:r>
              <w:rPr>
                <w:szCs w:val="21"/>
              </w:rPr>
              <w:t>目标1</w:t>
            </w:r>
          </w:p>
        </w:tc>
        <w:tc>
          <w:tcPr>
            <w:tcW w:w="1361" w:type="dxa"/>
            <w:noWrap w:val="0"/>
            <w:vAlign w:val="center"/>
          </w:tcPr>
          <w:p>
            <w:pPr>
              <w:jc w:val="center"/>
              <w:rPr>
                <w:rFonts w:hint="eastAsia"/>
                <w:szCs w:val="21"/>
              </w:rPr>
            </w:pPr>
            <w:r>
              <w:rPr>
                <w:rFonts w:hint="eastAsia"/>
                <w:szCs w:val="21"/>
              </w:rPr>
              <w:t>1、</w:t>
            </w:r>
            <w:r>
              <w:rPr>
                <w:szCs w:val="21"/>
              </w:rPr>
              <w:t>2</w:t>
            </w:r>
            <w:r>
              <w:rPr>
                <w:rFonts w:hint="eastAsia"/>
                <w:szCs w:val="21"/>
              </w:rPr>
              <w:t>、</w:t>
            </w:r>
            <w:r>
              <w:rPr>
                <w:szCs w:val="21"/>
              </w:rPr>
              <w:t>3</w:t>
            </w:r>
            <w:r>
              <w:rPr>
                <w:rFonts w:hint="eastAsia"/>
                <w:szCs w:val="21"/>
              </w:rPr>
              <w:t>、</w:t>
            </w:r>
            <w:r>
              <w:rPr>
                <w:szCs w:val="21"/>
              </w:rPr>
              <w:t>4</w:t>
            </w:r>
          </w:p>
        </w:tc>
        <w:tc>
          <w:tcPr>
            <w:tcW w:w="851" w:type="dxa"/>
            <w:noWrap w:val="0"/>
            <w:vAlign w:val="center"/>
          </w:tcPr>
          <w:p>
            <w:pPr>
              <w:jc w:val="center"/>
              <w:rPr>
                <w:rFonts w:hint="eastAsia"/>
                <w:szCs w:val="21"/>
              </w:rPr>
            </w:pPr>
            <w:r>
              <w:rPr>
                <w:szCs w:val="21"/>
              </w:rPr>
              <w:t>10</w:t>
            </w:r>
          </w:p>
        </w:tc>
        <w:tc>
          <w:tcPr>
            <w:tcW w:w="1417" w:type="dxa"/>
            <w:noWrap w:val="0"/>
            <w:vAlign w:val="center"/>
          </w:tcPr>
          <w:p>
            <w:pPr>
              <w:jc w:val="center"/>
              <w:rPr>
                <w:szCs w:val="21"/>
              </w:rPr>
            </w:pPr>
            <w:r>
              <w:rPr>
                <w:rFonts w:hint="eastAsia"/>
                <w:szCs w:val="21"/>
              </w:rPr>
              <w:t>讲</w:t>
            </w:r>
            <w:r>
              <w:rPr>
                <w:szCs w:val="21"/>
              </w:rPr>
              <w:t>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05" w:type="dxa"/>
            <w:noWrap w:val="0"/>
            <w:vAlign w:val="center"/>
          </w:tcPr>
          <w:p>
            <w:pPr>
              <w:jc w:val="center"/>
              <w:rPr>
                <w:szCs w:val="21"/>
              </w:rPr>
            </w:pPr>
            <w:r>
              <w:rPr>
                <w:szCs w:val="21"/>
              </w:rPr>
              <w:t>2</w:t>
            </w:r>
          </w:p>
        </w:tc>
        <w:tc>
          <w:tcPr>
            <w:tcW w:w="2803" w:type="dxa"/>
            <w:noWrap w:val="0"/>
            <w:vAlign w:val="top"/>
          </w:tcPr>
          <w:p>
            <w:pPr>
              <w:rPr>
                <w:rFonts w:hint="eastAsia"/>
              </w:rPr>
            </w:pPr>
            <w:r>
              <w:rPr>
                <w:rFonts w:hint="eastAsia"/>
                <w:sz w:val="24"/>
              </w:rPr>
              <w:t>设计方案确定</w:t>
            </w:r>
          </w:p>
        </w:tc>
        <w:tc>
          <w:tcPr>
            <w:tcW w:w="2041" w:type="dxa"/>
            <w:noWrap w:val="0"/>
            <w:vAlign w:val="center"/>
          </w:tcPr>
          <w:p>
            <w:pPr>
              <w:jc w:val="center"/>
              <w:rPr>
                <w:szCs w:val="21"/>
              </w:rPr>
            </w:pPr>
            <w:r>
              <w:rPr>
                <w:szCs w:val="21"/>
              </w:rPr>
              <w:t>目标</w:t>
            </w:r>
            <w:r>
              <w:rPr>
                <w:rFonts w:hint="eastAsia"/>
                <w:szCs w:val="21"/>
              </w:rPr>
              <w:t>2</w:t>
            </w:r>
          </w:p>
        </w:tc>
        <w:tc>
          <w:tcPr>
            <w:tcW w:w="1361" w:type="dxa"/>
            <w:noWrap w:val="0"/>
            <w:vAlign w:val="center"/>
          </w:tcPr>
          <w:p>
            <w:pPr>
              <w:jc w:val="center"/>
              <w:rPr>
                <w:rFonts w:hint="eastAsia"/>
                <w:szCs w:val="21"/>
              </w:rPr>
            </w:pPr>
            <w:r>
              <w:rPr>
                <w:rFonts w:hint="eastAsia"/>
                <w:szCs w:val="21"/>
              </w:rPr>
              <w:t>1、</w:t>
            </w:r>
            <w:r>
              <w:rPr>
                <w:szCs w:val="21"/>
              </w:rPr>
              <w:t>2</w:t>
            </w:r>
            <w:r>
              <w:rPr>
                <w:rFonts w:hint="eastAsia"/>
                <w:szCs w:val="21"/>
              </w:rPr>
              <w:t>、</w:t>
            </w:r>
            <w:r>
              <w:rPr>
                <w:szCs w:val="21"/>
              </w:rPr>
              <w:t>3</w:t>
            </w:r>
            <w:r>
              <w:rPr>
                <w:rFonts w:hint="eastAsia"/>
                <w:szCs w:val="21"/>
              </w:rPr>
              <w:t>、</w:t>
            </w:r>
            <w:r>
              <w:rPr>
                <w:szCs w:val="21"/>
              </w:rPr>
              <w:t>4</w:t>
            </w:r>
          </w:p>
        </w:tc>
        <w:tc>
          <w:tcPr>
            <w:tcW w:w="851" w:type="dxa"/>
            <w:noWrap w:val="0"/>
            <w:vAlign w:val="top"/>
          </w:tcPr>
          <w:p>
            <w:pPr>
              <w:jc w:val="center"/>
              <w:rPr>
                <w:rFonts w:hint="eastAsia"/>
              </w:rPr>
            </w:pPr>
            <w:r>
              <w:rPr>
                <w:szCs w:val="21"/>
              </w:rPr>
              <w:t>12</w:t>
            </w:r>
          </w:p>
        </w:tc>
        <w:tc>
          <w:tcPr>
            <w:tcW w:w="1417" w:type="dxa"/>
            <w:noWrap w:val="0"/>
            <w:vAlign w:val="center"/>
          </w:tcPr>
          <w:p>
            <w:pPr>
              <w:jc w:val="center"/>
              <w:rPr>
                <w:szCs w:val="21"/>
              </w:rPr>
            </w:pPr>
            <w:r>
              <w:rPr>
                <w:rFonts w:hint="eastAsia"/>
                <w:szCs w:val="21"/>
              </w:rPr>
              <w:t>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05" w:type="dxa"/>
            <w:noWrap w:val="0"/>
            <w:vAlign w:val="center"/>
          </w:tcPr>
          <w:p>
            <w:pPr>
              <w:jc w:val="center"/>
              <w:rPr>
                <w:szCs w:val="21"/>
              </w:rPr>
            </w:pPr>
            <w:r>
              <w:rPr>
                <w:szCs w:val="21"/>
              </w:rPr>
              <w:t>3</w:t>
            </w:r>
          </w:p>
        </w:tc>
        <w:tc>
          <w:tcPr>
            <w:tcW w:w="2803" w:type="dxa"/>
            <w:noWrap w:val="0"/>
            <w:vAlign w:val="top"/>
          </w:tcPr>
          <w:p>
            <w:pPr>
              <w:rPr>
                <w:rFonts w:hint="eastAsia"/>
              </w:rPr>
            </w:pPr>
            <w:r>
              <w:rPr>
                <w:rFonts w:hint="eastAsia"/>
                <w:sz w:val="24"/>
              </w:rPr>
              <w:t>设计计算</w:t>
            </w:r>
          </w:p>
        </w:tc>
        <w:tc>
          <w:tcPr>
            <w:tcW w:w="2041" w:type="dxa"/>
            <w:noWrap w:val="0"/>
            <w:vAlign w:val="center"/>
          </w:tcPr>
          <w:p>
            <w:pPr>
              <w:jc w:val="center"/>
              <w:rPr>
                <w:rFonts w:hint="eastAsia"/>
                <w:szCs w:val="21"/>
              </w:rPr>
            </w:pPr>
            <w:r>
              <w:rPr>
                <w:szCs w:val="21"/>
              </w:rPr>
              <w:t>目标3</w:t>
            </w:r>
          </w:p>
        </w:tc>
        <w:tc>
          <w:tcPr>
            <w:tcW w:w="1361" w:type="dxa"/>
            <w:noWrap w:val="0"/>
            <w:vAlign w:val="center"/>
          </w:tcPr>
          <w:p>
            <w:pPr>
              <w:jc w:val="center"/>
              <w:rPr>
                <w:rFonts w:hint="eastAsia"/>
                <w:szCs w:val="21"/>
              </w:rPr>
            </w:pPr>
            <w:r>
              <w:rPr>
                <w:rFonts w:hint="eastAsia"/>
                <w:szCs w:val="21"/>
              </w:rPr>
              <w:t>1、</w:t>
            </w:r>
            <w:r>
              <w:rPr>
                <w:szCs w:val="21"/>
              </w:rPr>
              <w:t>2</w:t>
            </w:r>
            <w:r>
              <w:rPr>
                <w:rFonts w:hint="eastAsia"/>
                <w:szCs w:val="21"/>
              </w:rPr>
              <w:t>、</w:t>
            </w:r>
            <w:r>
              <w:rPr>
                <w:szCs w:val="21"/>
              </w:rPr>
              <w:t>3</w:t>
            </w:r>
            <w:r>
              <w:rPr>
                <w:rFonts w:hint="eastAsia"/>
                <w:szCs w:val="21"/>
              </w:rPr>
              <w:t>、</w:t>
            </w:r>
            <w:r>
              <w:rPr>
                <w:szCs w:val="21"/>
              </w:rPr>
              <w:t>4</w:t>
            </w:r>
          </w:p>
        </w:tc>
        <w:tc>
          <w:tcPr>
            <w:tcW w:w="851" w:type="dxa"/>
            <w:noWrap w:val="0"/>
            <w:vAlign w:val="top"/>
          </w:tcPr>
          <w:p>
            <w:pPr>
              <w:jc w:val="center"/>
              <w:rPr>
                <w:rFonts w:hint="eastAsia"/>
              </w:rPr>
            </w:pPr>
            <w:r>
              <w:t>12</w:t>
            </w:r>
          </w:p>
        </w:tc>
        <w:tc>
          <w:tcPr>
            <w:tcW w:w="1417" w:type="dxa"/>
            <w:noWrap w:val="0"/>
            <w:vAlign w:val="center"/>
          </w:tcPr>
          <w:p>
            <w:pPr>
              <w:jc w:val="center"/>
              <w:rPr>
                <w:szCs w:val="21"/>
              </w:rPr>
            </w:pPr>
            <w:r>
              <w:rPr>
                <w:rFonts w:hint="eastAsia"/>
                <w:szCs w:val="21"/>
              </w:rPr>
              <w:t>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05" w:type="dxa"/>
            <w:noWrap w:val="0"/>
            <w:vAlign w:val="center"/>
          </w:tcPr>
          <w:p>
            <w:pPr>
              <w:jc w:val="center"/>
              <w:rPr>
                <w:szCs w:val="21"/>
              </w:rPr>
            </w:pPr>
            <w:r>
              <w:rPr>
                <w:szCs w:val="21"/>
              </w:rPr>
              <w:t>4</w:t>
            </w:r>
          </w:p>
        </w:tc>
        <w:tc>
          <w:tcPr>
            <w:tcW w:w="2803" w:type="dxa"/>
            <w:noWrap w:val="0"/>
            <w:vAlign w:val="top"/>
          </w:tcPr>
          <w:p>
            <w:pPr>
              <w:rPr>
                <w:rFonts w:hint="eastAsia"/>
              </w:rPr>
            </w:pPr>
            <w:r>
              <w:rPr>
                <w:rFonts w:hint="eastAsia"/>
                <w:sz w:val="24"/>
              </w:rPr>
              <w:t>设计图纸</w:t>
            </w:r>
          </w:p>
        </w:tc>
        <w:tc>
          <w:tcPr>
            <w:tcW w:w="2041" w:type="dxa"/>
            <w:noWrap w:val="0"/>
            <w:vAlign w:val="center"/>
          </w:tcPr>
          <w:p>
            <w:pPr>
              <w:jc w:val="center"/>
              <w:rPr>
                <w:szCs w:val="21"/>
              </w:rPr>
            </w:pPr>
            <w:r>
              <w:rPr>
                <w:szCs w:val="21"/>
              </w:rPr>
              <w:t>目标7</w:t>
            </w:r>
          </w:p>
        </w:tc>
        <w:tc>
          <w:tcPr>
            <w:tcW w:w="1361" w:type="dxa"/>
            <w:noWrap w:val="0"/>
            <w:vAlign w:val="center"/>
          </w:tcPr>
          <w:p>
            <w:pPr>
              <w:jc w:val="center"/>
              <w:rPr>
                <w:szCs w:val="21"/>
              </w:rPr>
            </w:pPr>
            <w:r>
              <w:rPr>
                <w:rFonts w:hint="eastAsia"/>
                <w:szCs w:val="21"/>
              </w:rPr>
              <w:t>1、</w:t>
            </w:r>
            <w:r>
              <w:rPr>
                <w:szCs w:val="21"/>
              </w:rPr>
              <w:t>2</w:t>
            </w:r>
            <w:r>
              <w:rPr>
                <w:rFonts w:hint="eastAsia"/>
                <w:szCs w:val="21"/>
              </w:rPr>
              <w:t>、</w:t>
            </w:r>
            <w:r>
              <w:rPr>
                <w:szCs w:val="21"/>
              </w:rPr>
              <w:t>3</w:t>
            </w:r>
            <w:r>
              <w:rPr>
                <w:rFonts w:hint="eastAsia"/>
                <w:szCs w:val="21"/>
              </w:rPr>
              <w:t>、</w:t>
            </w:r>
            <w:r>
              <w:rPr>
                <w:szCs w:val="21"/>
              </w:rPr>
              <w:t>4</w:t>
            </w:r>
          </w:p>
        </w:tc>
        <w:tc>
          <w:tcPr>
            <w:tcW w:w="851" w:type="dxa"/>
            <w:noWrap w:val="0"/>
            <w:vAlign w:val="top"/>
          </w:tcPr>
          <w:p>
            <w:pPr>
              <w:jc w:val="center"/>
              <w:rPr>
                <w:rFonts w:hint="eastAsia"/>
              </w:rPr>
            </w:pPr>
            <w:r>
              <w:t>20</w:t>
            </w:r>
          </w:p>
        </w:tc>
        <w:tc>
          <w:tcPr>
            <w:tcW w:w="1417" w:type="dxa"/>
            <w:noWrap w:val="0"/>
            <w:vAlign w:val="center"/>
          </w:tcPr>
          <w:p>
            <w:pPr>
              <w:jc w:val="center"/>
              <w:rPr>
                <w:szCs w:val="21"/>
              </w:rPr>
            </w:pPr>
            <w:r>
              <w:rPr>
                <w:rFonts w:hint="eastAsia"/>
                <w:szCs w:val="21"/>
              </w:rPr>
              <w:t>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05" w:type="dxa"/>
            <w:noWrap w:val="0"/>
            <w:vAlign w:val="center"/>
          </w:tcPr>
          <w:p>
            <w:pPr>
              <w:jc w:val="center"/>
              <w:rPr>
                <w:szCs w:val="21"/>
              </w:rPr>
            </w:pPr>
            <w:r>
              <w:rPr>
                <w:szCs w:val="21"/>
              </w:rPr>
              <w:t>5</w:t>
            </w:r>
          </w:p>
        </w:tc>
        <w:tc>
          <w:tcPr>
            <w:tcW w:w="2803" w:type="dxa"/>
            <w:noWrap w:val="0"/>
            <w:vAlign w:val="top"/>
          </w:tcPr>
          <w:p>
            <w:pPr>
              <w:adjustRightInd w:val="0"/>
              <w:snapToGrid w:val="0"/>
              <w:spacing w:line="300" w:lineRule="auto"/>
              <w:rPr>
                <w:rFonts w:hint="eastAsia"/>
                <w:sz w:val="24"/>
              </w:rPr>
            </w:pPr>
            <w:r>
              <w:rPr>
                <w:rFonts w:hint="eastAsia"/>
                <w:sz w:val="24"/>
              </w:rPr>
              <w:t>设计报告</w:t>
            </w:r>
          </w:p>
        </w:tc>
        <w:tc>
          <w:tcPr>
            <w:tcW w:w="2041" w:type="dxa"/>
            <w:noWrap w:val="0"/>
            <w:vAlign w:val="center"/>
          </w:tcPr>
          <w:p>
            <w:pPr>
              <w:jc w:val="center"/>
              <w:rPr>
                <w:rFonts w:hint="eastAsia"/>
                <w:szCs w:val="21"/>
              </w:rPr>
            </w:pPr>
            <w:r>
              <w:rPr>
                <w:szCs w:val="21"/>
              </w:rPr>
              <w:t>目标</w:t>
            </w:r>
            <w:r>
              <w:rPr>
                <w:rFonts w:hint="eastAsia"/>
                <w:szCs w:val="21"/>
              </w:rPr>
              <w:t>1</w:t>
            </w:r>
            <w:r>
              <w:rPr>
                <w:szCs w:val="21"/>
              </w:rPr>
              <w:t>0</w:t>
            </w:r>
            <w:r>
              <w:rPr>
                <w:rFonts w:hint="eastAsia"/>
                <w:szCs w:val="21"/>
              </w:rPr>
              <w:t>、</w:t>
            </w:r>
            <w:r>
              <w:rPr>
                <w:szCs w:val="21"/>
              </w:rPr>
              <w:t>11</w:t>
            </w:r>
          </w:p>
        </w:tc>
        <w:tc>
          <w:tcPr>
            <w:tcW w:w="1361" w:type="dxa"/>
            <w:noWrap w:val="0"/>
            <w:vAlign w:val="center"/>
          </w:tcPr>
          <w:p>
            <w:pPr>
              <w:jc w:val="center"/>
              <w:rPr>
                <w:szCs w:val="21"/>
              </w:rPr>
            </w:pPr>
            <w:r>
              <w:rPr>
                <w:rFonts w:hint="eastAsia"/>
                <w:szCs w:val="21"/>
              </w:rPr>
              <w:t>1、</w:t>
            </w:r>
            <w:r>
              <w:rPr>
                <w:szCs w:val="21"/>
              </w:rPr>
              <w:t>2</w:t>
            </w:r>
            <w:r>
              <w:rPr>
                <w:rFonts w:hint="eastAsia"/>
                <w:szCs w:val="21"/>
              </w:rPr>
              <w:t>、</w:t>
            </w:r>
            <w:r>
              <w:rPr>
                <w:szCs w:val="21"/>
              </w:rPr>
              <w:t>3</w:t>
            </w:r>
            <w:r>
              <w:rPr>
                <w:rFonts w:hint="eastAsia"/>
                <w:szCs w:val="21"/>
              </w:rPr>
              <w:t>、</w:t>
            </w:r>
            <w:r>
              <w:rPr>
                <w:szCs w:val="21"/>
              </w:rPr>
              <w:t>4</w:t>
            </w:r>
          </w:p>
        </w:tc>
        <w:tc>
          <w:tcPr>
            <w:tcW w:w="851" w:type="dxa"/>
            <w:noWrap w:val="0"/>
            <w:vAlign w:val="top"/>
          </w:tcPr>
          <w:p>
            <w:pPr>
              <w:jc w:val="center"/>
              <w:rPr>
                <w:rFonts w:hint="eastAsia"/>
              </w:rPr>
            </w:pPr>
            <w:r>
              <w:rPr>
                <w:szCs w:val="21"/>
              </w:rPr>
              <w:t>10</w:t>
            </w:r>
          </w:p>
        </w:tc>
        <w:tc>
          <w:tcPr>
            <w:tcW w:w="1417" w:type="dxa"/>
            <w:noWrap w:val="0"/>
            <w:vAlign w:val="center"/>
          </w:tcPr>
          <w:p>
            <w:pPr>
              <w:jc w:val="center"/>
              <w:rPr>
                <w:szCs w:val="21"/>
              </w:rPr>
            </w:pPr>
            <w:r>
              <w:rPr>
                <w:rFonts w:hint="eastAsia"/>
                <w:szCs w:val="21"/>
              </w:rPr>
              <w:t>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6910" w:type="dxa"/>
            <w:gridSpan w:val="4"/>
            <w:noWrap w:val="0"/>
            <w:vAlign w:val="center"/>
          </w:tcPr>
          <w:p>
            <w:pPr>
              <w:jc w:val="center"/>
              <w:rPr>
                <w:szCs w:val="21"/>
              </w:rPr>
            </w:pPr>
            <w:r>
              <w:rPr>
                <w:bCs/>
                <w:szCs w:val="21"/>
              </w:rPr>
              <w:t>合    计</w:t>
            </w:r>
          </w:p>
        </w:tc>
        <w:tc>
          <w:tcPr>
            <w:tcW w:w="851" w:type="dxa"/>
            <w:noWrap w:val="0"/>
            <w:vAlign w:val="center"/>
          </w:tcPr>
          <w:p>
            <w:pPr>
              <w:jc w:val="center"/>
              <w:rPr>
                <w:rFonts w:hint="eastAsia"/>
                <w:szCs w:val="21"/>
              </w:rPr>
            </w:pPr>
            <w:r>
              <w:rPr>
                <w:szCs w:val="21"/>
              </w:rPr>
              <w:t>64</w:t>
            </w:r>
          </w:p>
        </w:tc>
        <w:tc>
          <w:tcPr>
            <w:tcW w:w="1417" w:type="dxa"/>
            <w:noWrap w:val="0"/>
            <w:vAlign w:val="center"/>
          </w:tcPr>
          <w:p>
            <w:pPr>
              <w:jc w:val="center"/>
              <w:rPr>
                <w:szCs w:val="21"/>
              </w:rPr>
            </w:pPr>
          </w:p>
        </w:tc>
      </w:tr>
    </w:tbl>
    <w:p>
      <w:pPr>
        <w:spacing w:line="360" w:lineRule="auto"/>
        <w:rPr>
          <w:rFonts w:hint="eastAsia"/>
          <w:b/>
          <w:sz w:val="28"/>
          <w:szCs w:val="28"/>
        </w:rPr>
      </w:pPr>
    </w:p>
    <w:p>
      <w:pPr>
        <w:spacing w:line="360" w:lineRule="auto"/>
        <w:ind w:firstLine="551" w:firstLineChars="196"/>
        <w:rPr>
          <w:rFonts w:hint="eastAsia"/>
          <w:b/>
          <w:sz w:val="28"/>
          <w:szCs w:val="28"/>
        </w:rPr>
      </w:pPr>
      <w:r>
        <w:rPr>
          <w:rFonts w:hint="eastAsia"/>
          <w:b/>
          <w:sz w:val="28"/>
          <w:szCs w:val="28"/>
        </w:rPr>
        <w:t>四、课内实验（实践）</w:t>
      </w:r>
    </w:p>
    <w:tbl>
      <w:tblPr>
        <w:tblStyle w:val="10"/>
        <w:tblW w:w="9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1467"/>
        <w:gridCol w:w="3568"/>
        <w:gridCol w:w="735"/>
        <w:gridCol w:w="1155"/>
        <w:gridCol w:w="840"/>
        <w:gridCol w:w="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shd w:val="clear" w:color="auto" w:fill="FFFFFF"/>
            <w:noWrap w:val="0"/>
            <w:vAlign w:val="center"/>
          </w:tcPr>
          <w:p>
            <w:pPr>
              <w:adjustRightInd w:val="0"/>
              <w:snapToGrid w:val="0"/>
              <w:jc w:val="center"/>
              <w:rPr>
                <w:bCs/>
                <w:spacing w:val="-20"/>
                <w:szCs w:val="21"/>
              </w:rPr>
            </w:pPr>
            <w:r>
              <w:rPr>
                <w:bCs/>
                <w:spacing w:val="-20"/>
                <w:szCs w:val="21"/>
              </w:rPr>
              <w:t>序号</w:t>
            </w:r>
          </w:p>
        </w:tc>
        <w:tc>
          <w:tcPr>
            <w:tcW w:w="1467" w:type="dxa"/>
            <w:shd w:val="clear" w:color="auto" w:fill="FFFFFF"/>
            <w:noWrap w:val="0"/>
            <w:vAlign w:val="center"/>
          </w:tcPr>
          <w:p>
            <w:pPr>
              <w:adjustRightInd w:val="0"/>
              <w:snapToGrid w:val="0"/>
              <w:jc w:val="center"/>
              <w:rPr>
                <w:bCs/>
                <w:szCs w:val="21"/>
              </w:rPr>
            </w:pPr>
            <w:r>
              <w:rPr>
                <w:bCs/>
                <w:szCs w:val="21"/>
              </w:rPr>
              <w:t>实验项目名称</w:t>
            </w:r>
          </w:p>
        </w:tc>
        <w:tc>
          <w:tcPr>
            <w:tcW w:w="3568" w:type="dxa"/>
            <w:shd w:val="clear" w:color="auto" w:fill="FFFFFF"/>
            <w:noWrap w:val="0"/>
            <w:vAlign w:val="center"/>
          </w:tcPr>
          <w:p>
            <w:pPr>
              <w:adjustRightInd w:val="0"/>
              <w:snapToGrid w:val="0"/>
              <w:jc w:val="center"/>
              <w:rPr>
                <w:bCs/>
                <w:szCs w:val="21"/>
              </w:rPr>
            </w:pPr>
            <w:r>
              <w:rPr>
                <w:bCs/>
                <w:szCs w:val="21"/>
              </w:rPr>
              <w:t>实验内容及要求</w:t>
            </w:r>
          </w:p>
        </w:tc>
        <w:tc>
          <w:tcPr>
            <w:tcW w:w="735" w:type="dxa"/>
            <w:shd w:val="clear" w:color="auto" w:fill="FFFFFF"/>
            <w:noWrap w:val="0"/>
            <w:vAlign w:val="center"/>
          </w:tcPr>
          <w:p>
            <w:pPr>
              <w:adjustRightInd w:val="0"/>
              <w:snapToGrid w:val="0"/>
              <w:jc w:val="center"/>
              <w:rPr>
                <w:bCs/>
                <w:szCs w:val="21"/>
              </w:rPr>
            </w:pPr>
            <w:r>
              <w:rPr>
                <w:bCs/>
                <w:szCs w:val="21"/>
              </w:rPr>
              <w:t>学时</w:t>
            </w:r>
          </w:p>
        </w:tc>
        <w:tc>
          <w:tcPr>
            <w:tcW w:w="1155" w:type="dxa"/>
            <w:shd w:val="clear" w:color="auto" w:fill="FFFFFF"/>
            <w:noWrap w:val="0"/>
            <w:vAlign w:val="center"/>
          </w:tcPr>
          <w:p>
            <w:pPr>
              <w:adjustRightInd w:val="0"/>
              <w:snapToGrid w:val="0"/>
              <w:jc w:val="center"/>
              <w:rPr>
                <w:bCs/>
                <w:szCs w:val="21"/>
              </w:rPr>
            </w:pPr>
            <w:r>
              <w:rPr>
                <w:bCs/>
                <w:szCs w:val="21"/>
              </w:rPr>
              <w:t>对毕业要求的支撑</w:t>
            </w:r>
          </w:p>
        </w:tc>
        <w:tc>
          <w:tcPr>
            <w:tcW w:w="840" w:type="dxa"/>
            <w:shd w:val="clear" w:color="auto" w:fill="FFFFFF"/>
            <w:noWrap w:val="0"/>
            <w:tcMar>
              <w:left w:w="28" w:type="dxa"/>
              <w:right w:w="28" w:type="dxa"/>
            </w:tcMar>
            <w:vAlign w:val="center"/>
          </w:tcPr>
          <w:p>
            <w:pPr>
              <w:adjustRightInd w:val="0"/>
              <w:snapToGrid w:val="0"/>
              <w:jc w:val="center"/>
              <w:rPr>
                <w:bCs/>
                <w:szCs w:val="21"/>
              </w:rPr>
            </w:pPr>
            <w:r>
              <w:rPr>
                <w:bCs/>
                <w:szCs w:val="21"/>
              </w:rPr>
              <w:t>类型</w:t>
            </w:r>
          </w:p>
        </w:tc>
        <w:tc>
          <w:tcPr>
            <w:tcW w:w="630" w:type="dxa"/>
            <w:shd w:val="clear" w:color="auto" w:fill="FFFFFF"/>
            <w:noWrap w:val="0"/>
            <w:tcMar>
              <w:left w:w="28" w:type="dxa"/>
              <w:right w:w="28" w:type="dxa"/>
            </w:tcMar>
            <w:vAlign w:val="center"/>
          </w:tcPr>
          <w:p>
            <w:pPr>
              <w:adjustRightInd w:val="0"/>
              <w:snapToGrid w:val="0"/>
              <w:jc w:val="center"/>
              <w:rPr>
                <w:bCs/>
                <w:szCs w:val="21"/>
              </w:rPr>
            </w:pPr>
            <w:r>
              <w:rPr>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953" w:type="dxa"/>
            <w:noWrap w:val="0"/>
            <w:vAlign w:val="center"/>
          </w:tcPr>
          <w:p>
            <w:pPr>
              <w:jc w:val="center"/>
              <w:rPr>
                <w:bCs/>
                <w:szCs w:val="21"/>
              </w:rPr>
            </w:pPr>
            <w:r>
              <w:rPr>
                <w:bCs/>
                <w:szCs w:val="21"/>
              </w:rPr>
              <w:t>1</w:t>
            </w:r>
          </w:p>
        </w:tc>
        <w:tc>
          <w:tcPr>
            <w:tcW w:w="1467" w:type="dxa"/>
            <w:noWrap w:val="0"/>
            <w:vAlign w:val="center"/>
          </w:tcPr>
          <w:p>
            <w:pPr>
              <w:jc w:val="center"/>
              <w:rPr>
                <w:bCs/>
                <w:szCs w:val="21"/>
              </w:rPr>
            </w:pPr>
            <w:r>
              <w:rPr>
                <w:szCs w:val="21"/>
              </w:rPr>
              <w:t>1</w:t>
            </w:r>
          </w:p>
        </w:tc>
        <w:tc>
          <w:tcPr>
            <w:tcW w:w="3568" w:type="dxa"/>
            <w:noWrap w:val="0"/>
            <w:vAlign w:val="top"/>
          </w:tcPr>
          <w:p>
            <w:pPr>
              <w:rPr>
                <w:bCs/>
                <w:szCs w:val="21"/>
              </w:rPr>
            </w:pPr>
          </w:p>
        </w:tc>
        <w:tc>
          <w:tcPr>
            <w:tcW w:w="735" w:type="dxa"/>
            <w:noWrap w:val="0"/>
            <w:vAlign w:val="center"/>
          </w:tcPr>
          <w:p>
            <w:pPr>
              <w:jc w:val="center"/>
              <w:rPr>
                <w:bCs/>
                <w:szCs w:val="21"/>
              </w:rPr>
            </w:pPr>
          </w:p>
        </w:tc>
        <w:tc>
          <w:tcPr>
            <w:tcW w:w="1155" w:type="dxa"/>
            <w:noWrap w:val="0"/>
            <w:vAlign w:val="center"/>
          </w:tcPr>
          <w:p>
            <w:pPr>
              <w:jc w:val="center"/>
              <w:rPr>
                <w:bCs/>
                <w:szCs w:val="21"/>
              </w:rPr>
            </w:pPr>
          </w:p>
        </w:tc>
        <w:tc>
          <w:tcPr>
            <w:tcW w:w="840" w:type="dxa"/>
            <w:noWrap w:val="0"/>
            <w:tcMar>
              <w:left w:w="28" w:type="dxa"/>
              <w:right w:w="28" w:type="dxa"/>
            </w:tcMar>
            <w:vAlign w:val="center"/>
          </w:tcPr>
          <w:p>
            <w:pPr>
              <w:jc w:val="center"/>
              <w:rPr>
                <w:szCs w:val="21"/>
              </w:rPr>
            </w:pPr>
          </w:p>
        </w:tc>
        <w:tc>
          <w:tcPr>
            <w:tcW w:w="630" w:type="dxa"/>
            <w:noWrap w:val="0"/>
            <w:tcMar>
              <w:left w:w="28" w:type="dxa"/>
              <w:right w:w="28" w:type="dxa"/>
            </w:tcMar>
            <w:vAlign w:val="center"/>
          </w:tcPr>
          <w:p>
            <w:pPr>
              <w:jc w:val="center"/>
              <w:rPr>
                <w:rFonts w:hint="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953" w:type="dxa"/>
            <w:noWrap w:val="0"/>
            <w:vAlign w:val="center"/>
          </w:tcPr>
          <w:p>
            <w:pPr>
              <w:jc w:val="center"/>
              <w:rPr>
                <w:bCs/>
                <w:szCs w:val="21"/>
              </w:rPr>
            </w:pPr>
            <w:r>
              <w:rPr>
                <w:bCs/>
                <w:szCs w:val="21"/>
              </w:rPr>
              <w:t>2</w:t>
            </w:r>
          </w:p>
        </w:tc>
        <w:tc>
          <w:tcPr>
            <w:tcW w:w="1467" w:type="dxa"/>
            <w:noWrap w:val="0"/>
            <w:vAlign w:val="center"/>
          </w:tcPr>
          <w:p>
            <w:pPr>
              <w:jc w:val="center"/>
              <w:rPr>
                <w:bCs/>
                <w:szCs w:val="21"/>
              </w:rPr>
            </w:pPr>
            <w:r>
              <w:rPr>
                <w:szCs w:val="21"/>
              </w:rPr>
              <w:t>2</w:t>
            </w:r>
          </w:p>
        </w:tc>
        <w:tc>
          <w:tcPr>
            <w:tcW w:w="3568" w:type="dxa"/>
            <w:noWrap w:val="0"/>
            <w:vAlign w:val="top"/>
          </w:tcPr>
          <w:p>
            <w:pPr>
              <w:rPr>
                <w:bCs/>
                <w:szCs w:val="21"/>
              </w:rPr>
            </w:pPr>
          </w:p>
        </w:tc>
        <w:tc>
          <w:tcPr>
            <w:tcW w:w="735" w:type="dxa"/>
            <w:noWrap w:val="0"/>
            <w:vAlign w:val="center"/>
          </w:tcPr>
          <w:p>
            <w:pPr>
              <w:jc w:val="center"/>
              <w:rPr>
                <w:bCs/>
                <w:szCs w:val="21"/>
              </w:rPr>
            </w:pPr>
          </w:p>
        </w:tc>
        <w:tc>
          <w:tcPr>
            <w:tcW w:w="1155" w:type="dxa"/>
            <w:noWrap w:val="0"/>
            <w:vAlign w:val="center"/>
          </w:tcPr>
          <w:p>
            <w:pPr>
              <w:jc w:val="center"/>
              <w:rPr>
                <w:bCs/>
                <w:szCs w:val="21"/>
              </w:rPr>
            </w:pPr>
          </w:p>
        </w:tc>
        <w:tc>
          <w:tcPr>
            <w:tcW w:w="840" w:type="dxa"/>
            <w:noWrap w:val="0"/>
            <w:tcMar>
              <w:left w:w="28" w:type="dxa"/>
              <w:right w:w="28" w:type="dxa"/>
            </w:tcMar>
            <w:vAlign w:val="center"/>
          </w:tcPr>
          <w:p>
            <w:pPr>
              <w:jc w:val="center"/>
              <w:rPr>
                <w:szCs w:val="21"/>
              </w:rPr>
            </w:pPr>
          </w:p>
        </w:tc>
        <w:tc>
          <w:tcPr>
            <w:tcW w:w="630" w:type="dxa"/>
            <w:noWrap w:val="0"/>
            <w:tcMar>
              <w:left w:w="28" w:type="dxa"/>
              <w:right w:w="28" w:type="dxa"/>
            </w:tcMar>
            <w:vAlign w:val="center"/>
          </w:tcPr>
          <w:p>
            <w:pPr>
              <w:jc w:val="center"/>
              <w:rPr>
                <w:rFonts w:hint="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53" w:type="dxa"/>
            <w:noWrap w:val="0"/>
            <w:vAlign w:val="center"/>
          </w:tcPr>
          <w:p>
            <w:pPr>
              <w:jc w:val="center"/>
              <w:rPr>
                <w:bCs/>
                <w:szCs w:val="21"/>
              </w:rPr>
            </w:pPr>
            <w:r>
              <w:rPr>
                <w:bCs/>
                <w:szCs w:val="21"/>
              </w:rPr>
              <w:t>3</w:t>
            </w:r>
          </w:p>
        </w:tc>
        <w:tc>
          <w:tcPr>
            <w:tcW w:w="1467" w:type="dxa"/>
            <w:noWrap w:val="0"/>
            <w:vAlign w:val="center"/>
          </w:tcPr>
          <w:p>
            <w:pPr>
              <w:jc w:val="center"/>
              <w:rPr>
                <w:bCs/>
                <w:szCs w:val="21"/>
              </w:rPr>
            </w:pPr>
            <w:r>
              <w:rPr>
                <w:szCs w:val="21"/>
              </w:rPr>
              <w:t>3</w:t>
            </w:r>
          </w:p>
        </w:tc>
        <w:tc>
          <w:tcPr>
            <w:tcW w:w="3568" w:type="dxa"/>
            <w:noWrap w:val="0"/>
            <w:vAlign w:val="top"/>
          </w:tcPr>
          <w:p>
            <w:pPr>
              <w:rPr>
                <w:bCs/>
                <w:szCs w:val="21"/>
              </w:rPr>
            </w:pPr>
          </w:p>
        </w:tc>
        <w:tc>
          <w:tcPr>
            <w:tcW w:w="735" w:type="dxa"/>
            <w:noWrap w:val="0"/>
            <w:vAlign w:val="center"/>
          </w:tcPr>
          <w:p>
            <w:pPr>
              <w:jc w:val="center"/>
              <w:rPr>
                <w:bCs/>
                <w:szCs w:val="21"/>
              </w:rPr>
            </w:pPr>
          </w:p>
        </w:tc>
        <w:tc>
          <w:tcPr>
            <w:tcW w:w="1155" w:type="dxa"/>
            <w:noWrap w:val="0"/>
            <w:vAlign w:val="center"/>
          </w:tcPr>
          <w:p>
            <w:pPr>
              <w:jc w:val="center"/>
              <w:rPr>
                <w:bCs/>
                <w:szCs w:val="21"/>
              </w:rPr>
            </w:pPr>
          </w:p>
        </w:tc>
        <w:tc>
          <w:tcPr>
            <w:tcW w:w="840" w:type="dxa"/>
            <w:noWrap w:val="0"/>
            <w:tcMar>
              <w:left w:w="28" w:type="dxa"/>
              <w:right w:w="28" w:type="dxa"/>
            </w:tcMar>
            <w:vAlign w:val="center"/>
          </w:tcPr>
          <w:p>
            <w:pPr>
              <w:jc w:val="center"/>
              <w:rPr>
                <w:szCs w:val="21"/>
              </w:rPr>
            </w:pPr>
          </w:p>
        </w:tc>
        <w:tc>
          <w:tcPr>
            <w:tcW w:w="630" w:type="dxa"/>
            <w:noWrap w:val="0"/>
            <w:tcMar>
              <w:left w:w="28" w:type="dxa"/>
              <w:right w:w="28" w:type="dxa"/>
            </w:tcMar>
            <w:vAlign w:val="center"/>
          </w:tcPr>
          <w:p>
            <w:pPr>
              <w:jc w:val="center"/>
              <w:rPr>
                <w:rFonts w:hint="eastAsia"/>
                <w:bCs/>
                <w:szCs w:val="21"/>
              </w:rPr>
            </w:pPr>
          </w:p>
        </w:tc>
      </w:tr>
    </w:tbl>
    <w:p>
      <w:pPr>
        <w:spacing w:line="360" w:lineRule="auto"/>
        <w:ind w:firstLine="551" w:firstLineChars="196"/>
        <w:rPr>
          <w:rFonts w:hint="eastAsia"/>
          <w:b/>
          <w:sz w:val="28"/>
          <w:szCs w:val="28"/>
        </w:rPr>
      </w:pPr>
      <w:r>
        <w:rPr>
          <w:rFonts w:hint="eastAsia"/>
          <w:b/>
          <w:sz w:val="28"/>
          <w:szCs w:val="28"/>
        </w:rPr>
        <w:t>五、课程实施</w:t>
      </w:r>
    </w:p>
    <w:p>
      <w:pPr>
        <w:bidi w:val="0"/>
        <w:rPr>
          <w:rFonts w:hint="eastAsia"/>
          <w:b/>
          <w:bCs/>
          <w:sz w:val="24"/>
          <w:szCs w:val="24"/>
        </w:rPr>
      </w:pPr>
      <w:bookmarkStart w:id="306" w:name="_Toc4502"/>
      <w:r>
        <w:rPr>
          <w:rFonts w:hint="eastAsia"/>
          <w:b/>
          <w:bCs/>
          <w:sz w:val="24"/>
          <w:szCs w:val="24"/>
          <w:lang w:eastAsia="zh-CN"/>
        </w:rPr>
        <w:t>（一）</w:t>
      </w:r>
      <w:r>
        <w:rPr>
          <w:rFonts w:hint="eastAsia"/>
          <w:b/>
          <w:bCs/>
          <w:sz w:val="24"/>
          <w:szCs w:val="24"/>
        </w:rPr>
        <w:t>教学方法与教学手段</w:t>
      </w:r>
      <w:bookmarkEnd w:id="306"/>
    </w:p>
    <w:p>
      <w:pPr>
        <w:spacing w:line="360" w:lineRule="auto"/>
        <w:ind w:firstLine="480" w:firstLineChars="200"/>
        <w:rPr>
          <w:sz w:val="24"/>
        </w:rPr>
      </w:pPr>
      <w:r>
        <w:rPr>
          <w:sz w:val="24"/>
        </w:rPr>
        <w:t>1</w:t>
      </w:r>
      <w:r>
        <w:rPr>
          <w:rFonts w:hint="eastAsia"/>
          <w:sz w:val="24"/>
        </w:rPr>
        <w:t>.</w:t>
      </w:r>
      <w:r>
        <w:rPr>
          <w:sz w:val="24"/>
        </w:rPr>
        <w:t>把握主线，引导学生</w:t>
      </w:r>
      <w:r>
        <w:rPr>
          <w:rFonts w:hint="eastAsia"/>
          <w:sz w:val="24"/>
        </w:rPr>
        <w:t>掌握主要设备、主要工艺的参数</w:t>
      </w:r>
      <w:r>
        <w:rPr>
          <w:sz w:val="24"/>
        </w:rPr>
        <w:t>。</w:t>
      </w:r>
    </w:p>
    <w:p>
      <w:pPr>
        <w:spacing w:line="360" w:lineRule="auto"/>
        <w:ind w:firstLine="480" w:firstLineChars="200"/>
        <w:rPr>
          <w:sz w:val="24"/>
        </w:rPr>
      </w:pPr>
      <w:r>
        <w:rPr>
          <w:rFonts w:hint="eastAsia"/>
          <w:sz w:val="24"/>
        </w:rPr>
        <w:t>2.</w:t>
      </w:r>
      <w:r>
        <w:rPr>
          <w:sz w:val="24"/>
        </w:rPr>
        <w:t>采用多媒体教学手段，配合例题的讲解及适当的思考题，保证讲课进度的同时，注意学生的掌握程度和课堂的气氛</w:t>
      </w:r>
      <w:r>
        <w:rPr>
          <w:rFonts w:hint="eastAsia"/>
          <w:sz w:val="24"/>
        </w:rPr>
        <w:t>。</w:t>
      </w:r>
    </w:p>
    <w:p>
      <w:pPr>
        <w:spacing w:line="360" w:lineRule="auto"/>
        <w:ind w:firstLine="480" w:firstLineChars="200"/>
        <w:rPr>
          <w:rFonts w:hint="eastAsia"/>
          <w:sz w:val="24"/>
        </w:rPr>
      </w:pPr>
      <w:r>
        <w:rPr>
          <w:sz w:val="24"/>
        </w:rPr>
        <w:t>3</w:t>
      </w:r>
      <w:r>
        <w:rPr>
          <w:rFonts w:hint="eastAsia"/>
          <w:sz w:val="24"/>
        </w:rPr>
        <w:t>.</w:t>
      </w:r>
      <w:r>
        <w:rPr>
          <w:sz w:val="24"/>
        </w:rPr>
        <w:t>采用案例式教学，引进</w:t>
      </w:r>
      <w:r>
        <w:rPr>
          <w:rFonts w:hint="eastAsia"/>
          <w:sz w:val="24"/>
        </w:rPr>
        <w:t>环保处理过程中的</w:t>
      </w:r>
      <w:r>
        <w:rPr>
          <w:sz w:val="24"/>
        </w:rPr>
        <w:t>的实际案例，让学生真正了解并掌握</w:t>
      </w:r>
      <w:r>
        <w:rPr>
          <w:rFonts w:hint="eastAsia"/>
          <w:sz w:val="24"/>
        </w:rPr>
        <w:t>多种工艺流程</w:t>
      </w:r>
      <w:r>
        <w:rPr>
          <w:sz w:val="24"/>
        </w:rPr>
        <w:t>，从而具备相关知识和方法的实际应用能力。</w:t>
      </w:r>
    </w:p>
    <w:p>
      <w:pPr>
        <w:bidi w:val="0"/>
        <w:rPr>
          <w:rFonts w:hint="eastAsia"/>
          <w:b/>
          <w:bCs/>
          <w:sz w:val="24"/>
          <w:szCs w:val="24"/>
        </w:rPr>
      </w:pPr>
      <w:bookmarkStart w:id="307" w:name="_Toc19094"/>
      <w:r>
        <w:rPr>
          <w:rFonts w:hint="eastAsia"/>
          <w:b/>
          <w:bCs/>
          <w:sz w:val="24"/>
          <w:szCs w:val="24"/>
          <w:lang w:eastAsia="zh-CN"/>
        </w:rPr>
        <w:t>（二）</w:t>
      </w:r>
      <w:r>
        <w:rPr>
          <w:rFonts w:hint="eastAsia"/>
          <w:b/>
          <w:bCs/>
          <w:sz w:val="24"/>
          <w:szCs w:val="24"/>
        </w:rPr>
        <w:t>课程实施与保障</w:t>
      </w:r>
      <w:bookmarkEnd w:id="307"/>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273"/>
        <w:gridCol w:w="6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3" w:type="dxa"/>
            <w:gridSpan w:val="2"/>
            <w:tcBorders>
              <w:top w:val="single" w:color="auto" w:sz="8" w:space="0"/>
              <w:left w:val="single" w:color="auto" w:sz="8" w:space="0"/>
              <w:right w:val="single" w:color="auto" w:sz="8" w:space="0"/>
            </w:tcBorders>
            <w:noWrap w:val="0"/>
            <w:tcMar>
              <w:left w:w="28" w:type="dxa"/>
              <w:right w:w="28" w:type="dxa"/>
            </w:tcMar>
            <w:vAlign w:val="center"/>
          </w:tcPr>
          <w:p>
            <w:pPr>
              <w:adjustRightInd w:val="0"/>
              <w:snapToGrid w:val="0"/>
              <w:spacing w:line="276" w:lineRule="auto"/>
              <w:jc w:val="center"/>
              <w:rPr>
                <w:szCs w:val="21"/>
              </w:rPr>
            </w:pPr>
            <w:r>
              <w:rPr>
                <w:bCs/>
                <w:szCs w:val="21"/>
              </w:rPr>
              <w:t>主要教学环节</w:t>
            </w:r>
          </w:p>
        </w:tc>
        <w:tc>
          <w:tcPr>
            <w:tcW w:w="6817" w:type="dxa"/>
            <w:tcBorders>
              <w:top w:val="single" w:color="auto" w:sz="8" w:space="0"/>
              <w:left w:val="single" w:color="auto" w:sz="8" w:space="0"/>
              <w:right w:val="single" w:color="auto" w:sz="8" w:space="0"/>
            </w:tcBorders>
            <w:noWrap w:val="0"/>
            <w:vAlign w:val="center"/>
          </w:tcPr>
          <w:p>
            <w:pPr>
              <w:adjustRightInd w:val="0"/>
              <w:snapToGrid w:val="0"/>
              <w:spacing w:line="276" w:lineRule="auto"/>
              <w:jc w:val="center"/>
              <w:rPr>
                <w:szCs w:val="21"/>
              </w:rPr>
            </w:pPr>
            <w:r>
              <w:rPr>
                <w:bCs/>
                <w:szCs w:val="21"/>
              </w:rPr>
              <w:t>质量</w:t>
            </w:r>
            <w:r>
              <w:rPr>
                <w:rFonts w:hint="eastAsia"/>
                <w:bCs/>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6" w:hRule="atLeast"/>
          <w:jc w:val="center"/>
        </w:trPr>
        <w:tc>
          <w:tcPr>
            <w:tcW w:w="1010" w:type="dxa"/>
            <w:tcBorders>
              <w:left w:val="single" w:color="auto" w:sz="8" w:space="0"/>
            </w:tcBorders>
            <w:noWrap w:val="0"/>
            <w:vAlign w:val="center"/>
          </w:tcPr>
          <w:p>
            <w:pPr>
              <w:spacing w:line="276" w:lineRule="auto"/>
              <w:jc w:val="center"/>
              <w:rPr>
                <w:szCs w:val="21"/>
              </w:rPr>
            </w:pPr>
            <w:r>
              <w:rPr>
                <w:szCs w:val="21"/>
              </w:rPr>
              <w:t>1</w:t>
            </w:r>
          </w:p>
        </w:tc>
        <w:tc>
          <w:tcPr>
            <w:tcW w:w="1273" w:type="dxa"/>
            <w:noWrap w:val="0"/>
            <w:tcMar>
              <w:left w:w="28" w:type="dxa"/>
              <w:right w:w="28" w:type="dxa"/>
            </w:tcMar>
            <w:vAlign w:val="center"/>
          </w:tcPr>
          <w:p>
            <w:pPr>
              <w:adjustRightInd w:val="0"/>
              <w:snapToGrid w:val="0"/>
              <w:spacing w:line="276" w:lineRule="auto"/>
              <w:jc w:val="center"/>
              <w:rPr>
                <w:szCs w:val="21"/>
              </w:rPr>
            </w:pPr>
            <w:r>
              <w:rPr>
                <w:szCs w:val="21"/>
              </w:rPr>
              <w:t>备课</w:t>
            </w:r>
          </w:p>
        </w:tc>
        <w:tc>
          <w:tcPr>
            <w:tcW w:w="6817" w:type="dxa"/>
            <w:tcBorders>
              <w:right w:val="single" w:color="auto" w:sz="8" w:space="0"/>
            </w:tcBorders>
            <w:noWrap w:val="0"/>
            <w:vAlign w:val="center"/>
          </w:tcPr>
          <w:p>
            <w:pPr>
              <w:spacing w:line="276" w:lineRule="auto"/>
              <w:rPr>
                <w:szCs w:val="21"/>
              </w:rPr>
            </w:pPr>
            <w:r>
              <w:rPr>
                <w:szCs w:val="21"/>
              </w:rPr>
              <w:t>（1）掌握本课程教学大纲内容，严格按照教学大纲要求进行课程教学内容的组织。</w:t>
            </w:r>
          </w:p>
          <w:p>
            <w:pPr>
              <w:spacing w:line="276" w:lineRule="auto"/>
              <w:rPr>
                <w:szCs w:val="21"/>
              </w:rPr>
            </w:pPr>
            <w:r>
              <w:rPr>
                <w:szCs w:val="21"/>
              </w:rPr>
              <w:t>（2）熟悉教材各章节，借助专业书籍资料，并依据教学大纲编写授课计划，编写每次授课的教案。教案内容包括章节标题、教学目的、教法设计、课堂类型、时间分配、授课内容、课后作业、教学效果分析等方面。</w:t>
            </w:r>
          </w:p>
          <w:p>
            <w:pPr>
              <w:spacing w:line="276" w:lineRule="auto"/>
              <w:rPr>
                <w:szCs w:val="21"/>
              </w:rPr>
            </w:pPr>
            <w:r>
              <w:rPr>
                <w:szCs w:val="21"/>
              </w:rPr>
              <w:t>（3）</w:t>
            </w:r>
            <w:r>
              <w:rPr>
                <w:rFonts w:hint="eastAsia"/>
                <w:szCs w:val="21"/>
              </w:rPr>
              <w:t>根据</w:t>
            </w:r>
            <w:r>
              <w:rPr>
                <w:szCs w:val="21"/>
              </w:rPr>
              <w:t>各部分</w:t>
            </w:r>
            <w:r>
              <w:rPr>
                <w:rFonts w:hint="eastAsia"/>
                <w:szCs w:val="21"/>
              </w:rPr>
              <w:t>教学</w:t>
            </w:r>
            <w:r>
              <w:rPr>
                <w:szCs w:val="21"/>
              </w:rPr>
              <w:t>内容</w:t>
            </w:r>
            <w:r>
              <w:rPr>
                <w:rFonts w:hint="eastAsia"/>
                <w:szCs w:val="21"/>
              </w:rPr>
              <w:t>，</w:t>
            </w:r>
            <w:r>
              <w:rPr>
                <w:szCs w:val="21"/>
              </w:rPr>
              <w:t>构思授课思路、技巧</w:t>
            </w:r>
            <w:r>
              <w:rPr>
                <w:rFonts w:hint="eastAsia"/>
                <w:szCs w:val="21"/>
              </w:rPr>
              <w:t>，选择合适的</w:t>
            </w:r>
            <w:r>
              <w:rPr>
                <w:szCs w:val="21"/>
              </w:rPr>
              <w:t>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0" w:type="dxa"/>
            <w:tcBorders>
              <w:left w:val="single" w:color="auto" w:sz="8" w:space="0"/>
            </w:tcBorders>
            <w:noWrap w:val="0"/>
            <w:vAlign w:val="center"/>
          </w:tcPr>
          <w:p>
            <w:pPr>
              <w:spacing w:line="276" w:lineRule="auto"/>
              <w:jc w:val="center"/>
              <w:rPr>
                <w:szCs w:val="21"/>
              </w:rPr>
            </w:pPr>
            <w:r>
              <w:rPr>
                <w:szCs w:val="21"/>
              </w:rPr>
              <w:t>2</w:t>
            </w:r>
          </w:p>
        </w:tc>
        <w:tc>
          <w:tcPr>
            <w:tcW w:w="1273" w:type="dxa"/>
            <w:noWrap w:val="0"/>
            <w:tcMar>
              <w:left w:w="28" w:type="dxa"/>
              <w:right w:w="28" w:type="dxa"/>
            </w:tcMar>
            <w:vAlign w:val="center"/>
          </w:tcPr>
          <w:p>
            <w:pPr>
              <w:adjustRightInd w:val="0"/>
              <w:snapToGrid w:val="0"/>
              <w:spacing w:line="276" w:lineRule="auto"/>
              <w:jc w:val="center"/>
              <w:rPr>
                <w:szCs w:val="21"/>
              </w:rPr>
            </w:pPr>
            <w:r>
              <w:rPr>
                <w:szCs w:val="21"/>
              </w:rPr>
              <w:t>讲授</w:t>
            </w:r>
          </w:p>
        </w:tc>
        <w:tc>
          <w:tcPr>
            <w:tcW w:w="6817" w:type="dxa"/>
            <w:tcBorders>
              <w:right w:val="single" w:color="auto" w:sz="8" w:space="0"/>
            </w:tcBorders>
            <w:noWrap w:val="0"/>
            <w:vAlign w:val="center"/>
          </w:tcPr>
          <w:p>
            <w:pPr>
              <w:spacing w:line="276" w:lineRule="auto"/>
              <w:rPr>
                <w:szCs w:val="21"/>
              </w:rPr>
            </w:pPr>
            <w:r>
              <w:rPr>
                <w:rFonts w:hint="eastAsia"/>
                <w:szCs w:val="21"/>
              </w:rPr>
              <w:t>（1）</w:t>
            </w:r>
            <w:r>
              <w:rPr>
                <w:szCs w:val="21"/>
              </w:rPr>
              <w:t>要点准确</w:t>
            </w:r>
            <w:r>
              <w:rPr>
                <w:rFonts w:hint="eastAsia"/>
                <w:szCs w:val="21"/>
              </w:rPr>
              <w:t>、</w:t>
            </w:r>
            <w:r>
              <w:rPr>
                <w:szCs w:val="21"/>
              </w:rPr>
              <w:t>推理正确</w:t>
            </w:r>
            <w:r>
              <w:rPr>
                <w:rFonts w:hint="eastAsia"/>
                <w:szCs w:val="21"/>
              </w:rPr>
              <w:t>、</w:t>
            </w:r>
            <w:r>
              <w:rPr>
                <w:szCs w:val="21"/>
              </w:rPr>
              <w:t>条理清晰</w:t>
            </w:r>
            <w:r>
              <w:rPr>
                <w:rFonts w:hint="eastAsia"/>
                <w:szCs w:val="21"/>
              </w:rPr>
              <w:t>、</w:t>
            </w:r>
            <w:r>
              <w:rPr>
                <w:szCs w:val="21"/>
              </w:rPr>
              <w:t>重点突出，</w:t>
            </w:r>
            <w:r>
              <w:rPr>
                <w:rFonts w:hint="eastAsia"/>
                <w:szCs w:val="21"/>
              </w:rPr>
              <w:t>能够</w:t>
            </w:r>
            <w:r>
              <w:rPr>
                <w:szCs w:val="21"/>
              </w:rPr>
              <w:t>理论联系实际，熟练地解答和讲解例题。</w:t>
            </w:r>
          </w:p>
          <w:p>
            <w:pPr>
              <w:spacing w:line="276" w:lineRule="auto"/>
              <w:rPr>
                <w:szCs w:val="21"/>
              </w:rPr>
            </w:pPr>
            <w:r>
              <w:rPr>
                <w:rFonts w:hint="eastAsia"/>
                <w:szCs w:val="21"/>
              </w:rPr>
              <w:t>（2）</w:t>
            </w:r>
            <w:r>
              <w:rPr>
                <w:szCs w:val="21"/>
              </w:rPr>
              <w:t>采用多种教学方式（如启发式教学、案例分析教学、讨论式教学、多媒体示范教学等），注重培养学生发现、分析和解决问题的能力。</w:t>
            </w:r>
          </w:p>
          <w:p>
            <w:pPr>
              <w:spacing w:line="276" w:lineRule="auto"/>
              <w:rPr>
                <w:szCs w:val="21"/>
              </w:rPr>
            </w:pPr>
            <w:r>
              <w:rPr>
                <w:rFonts w:hint="eastAsia"/>
                <w:szCs w:val="21"/>
              </w:rPr>
              <w:t>（3）能够采用现代信息技术辅助</w:t>
            </w:r>
            <w:r>
              <w:rPr>
                <w:szCs w:val="21"/>
              </w:rPr>
              <w:t>教学。</w:t>
            </w:r>
          </w:p>
          <w:p>
            <w:pPr>
              <w:spacing w:line="276" w:lineRule="auto"/>
              <w:rPr>
                <w:szCs w:val="21"/>
              </w:rPr>
            </w:pPr>
            <w:r>
              <w:rPr>
                <w:rFonts w:hint="eastAsia"/>
                <w:szCs w:val="21"/>
              </w:rPr>
              <w:t>（4）</w:t>
            </w:r>
            <w:r>
              <w:rPr>
                <w:szCs w:val="21"/>
              </w:rPr>
              <w:t>表达方式</w:t>
            </w:r>
            <w:r>
              <w:rPr>
                <w:rFonts w:hint="eastAsia"/>
                <w:szCs w:val="21"/>
              </w:rPr>
              <w:t>应能</w:t>
            </w:r>
            <w:r>
              <w:rPr>
                <w:szCs w:val="21"/>
              </w:rPr>
              <w:t>便于学生理解、接受，力求形象生动，使学生在掌握知识的过程中，保持较为浓厚的</w:t>
            </w:r>
            <w:r>
              <w:rPr>
                <w:rFonts w:hint="eastAsia"/>
                <w:szCs w:val="21"/>
              </w:rPr>
              <w:t>学习</w:t>
            </w:r>
            <w:r>
              <w:rPr>
                <w:szCs w:val="21"/>
              </w:rPr>
              <w:t>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jc w:val="center"/>
        </w:trPr>
        <w:tc>
          <w:tcPr>
            <w:tcW w:w="1010" w:type="dxa"/>
            <w:tcBorders>
              <w:left w:val="single" w:color="auto" w:sz="8" w:space="0"/>
            </w:tcBorders>
            <w:noWrap w:val="0"/>
            <w:vAlign w:val="center"/>
          </w:tcPr>
          <w:p>
            <w:pPr>
              <w:spacing w:line="276" w:lineRule="auto"/>
              <w:jc w:val="center"/>
              <w:rPr>
                <w:szCs w:val="21"/>
              </w:rPr>
            </w:pPr>
            <w:r>
              <w:rPr>
                <w:szCs w:val="21"/>
              </w:rPr>
              <w:t>3</w:t>
            </w:r>
          </w:p>
        </w:tc>
        <w:tc>
          <w:tcPr>
            <w:tcW w:w="1273" w:type="dxa"/>
            <w:noWrap w:val="0"/>
            <w:tcMar>
              <w:left w:w="28" w:type="dxa"/>
              <w:right w:w="28" w:type="dxa"/>
            </w:tcMar>
            <w:vAlign w:val="center"/>
          </w:tcPr>
          <w:p>
            <w:pPr>
              <w:adjustRightInd w:val="0"/>
              <w:snapToGrid w:val="0"/>
              <w:spacing w:line="276" w:lineRule="auto"/>
              <w:jc w:val="center"/>
              <w:rPr>
                <w:szCs w:val="21"/>
              </w:rPr>
            </w:pPr>
            <w:r>
              <w:rPr>
                <w:szCs w:val="21"/>
              </w:rPr>
              <w:t>作业布置与批改</w:t>
            </w:r>
          </w:p>
        </w:tc>
        <w:tc>
          <w:tcPr>
            <w:tcW w:w="6817" w:type="dxa"/>
            <w:tcBorders>
              <w:right w:val="single" w:color="auto" w:sz="8" w:space="0"/>
            </w:tcBorders>
            <w:noWrap w:val="0"/>
            <w:vAlign w:val="center"/>
          </w:tcPr>
          <w:p>
            <w:pPr>
              <w:spacing w:line="276" w:lineRule="auto"/>
              <w:rPr>
                <w:szCs w:val="21"/>
              </w:rPr>
            </w:pPr>
            <w:r>
              <w:rPr>
                <w:szCs w:val="21"/>
              </w:rPr>
              <w:t>学生必须完成</w:t>
            </w:r>
            <w:r>
              <w:rPr>
                <w:rFonts w:hint="eastAsia"/>
                <w:szCs w:val="21"/>
              </w:rPr>
              <w:t>规定</w:t>
            </w:r>
            <w:r>
              <w:rPr>
                <w:szCs w:val="21"/>
              </w:rPr>
              <w:t>数量的作业</w:t>
            </w:r>
            <w:r>
              <w:rPr>
                <w:rFonts w:hint="eastAsia"/>
                <w:szCs w:val="21"/>
              </w:rPr>
              <w:t>，</w:t>
            </w:r>
            <w:r>
              <w:rPr>
                <w:szCs w:val="21"/>
              </w:rPr>
              <w:t>作业必须达到以下基本要求：</w:t>
            </w:r>
          </w:p>
          <w:p>
            <w:pPr>
              <w:spacing w:line="276" w:lineRule="auto"/>
              <w:rPr>
                <w:szCs w:val="21"/>
              </w:rPr>
            </w:pPr>
            <w:r>
              <w:rPr>
                <w:rFonts w:hint="eastAsia"/>
                <w:szCs w:val="21"/>
              </w:rPr>
              <w:t>（1）</w:t>
            </w:r>
            <w:r>
              <w:rPr>
                <w:szCs w:val="21"/>
              </w:rPr>
              <w:t>按时按量完成作业，不缺交，不抄袭</w:t>
            </w:r>
            <w:r>
              <w:rPr>
                <w:rFonts w:hint="eastAsia"/>
                <w:szCs w:val="21"/>
              </w:rPr>
              <w:t>。</w:t>
            </w:r>
          </w:p>
          <w:p>
            <w:pPr>
              <w:spacing w:line="276" w:lineRule="auto"/>
              <w:rPr>
                <w:szCs w:val="21"/>
              </w:rPr>
            </w:pPr>
            <w:r>
              <w:rPr>
                <w:rFonts w:hint="eastAsia"/>
                <w:szCs w:val="21"/>
              </w:rPr>
              <w:t>（2）书写</w:t>
            </w:r>
            <w:r>
              <w:rPr>
                <w:szCs w:val="21"/>
              </w:rPr>
              <w:t>规范</w:t>
            </w:r>
            <w:r>
              <w:rPr>
                <w:rFonts w:hint="eastAsia"/>
                <w:szCs w:val="21"/>
              </w:rPr>
              <w:t>、</w:t>
            </w:r>
            <w:r>
              <w:rPr>
                <w:szCs w:val="21"/>
              </w:rPr>
              <w:t>清晰</w:t>
            </w:r>
            <w:r>
              <w:rPr>
                <w:rFonts w:hint="eastAsia"/>
                <w:szCs w:val="21"/>
              </w:rPr>
              <w:t>。</w:t>
            </w:r>
          </w:p>
          <w:p>
            <w:pPr>
              <w:spacing w:line="276" w:lineRule="auto"/>
              <w:rPr>
                <w:szCs w:val="21"/>
              </w:rPr>
            </w:pPr>
            <w:r>
              <w:rPr>
                <w:rFonts w:hint="eastAsia"/>
                <w:szCs w:val="21"/>
              </w:rPr>
              <w:t>（3）</w:t>
            </w:r>
            <w:r>
              <w:rPr>
                <w:szCs w:val="21"/>
              </w:rPr>
              <w:t>解题方法和步骤正确。</w:t>
            </w:r>
          </w:p>
          <w:p>
            <w:pPr>
              <w:spacing w:line="276" w:lineRule="auto"/>
              <w:rPr>
                <w:szCs w:val="21"/>
              </w:rPr>
            </w:pPr>
            <w:r>
              <w:rPr>
                <w:szCs w:val="21"/>
              </w:rPr>
              <w:t>教师批改</w:t>
            </w:r>
            <w:r>
              <w:rPr>
                <w:rFonts w:hint="eastAsia"/>
                <w:szCs w:val="21"/>
              </w:rPr>
              <w:t>和</w:t>
            </w:r>
            <w:r>
              <w:rPr>
                <w:szCs w:val="21"/>
              </w:rPr>
              <w:t>讲评作业要求如下：</w:t>
            </w:r>
          </w:p>
          <w:p>
            <w:pPr>
              <w:spacing w:line="276" w:lineRule="auto"/>
              <w:rPr>
                <w:szCs w:val="21"/>
              </w:rPr>
            </w:pPr>
            <w:r>
              <w:rPr>
                <w:rFonts w:hint="eastAsia"/>
                <w:szCs w:val="21"/>
              </w:rPr>
              <w:t>（1）</w:t>
            </w:r>
            <w:r>
              <w:rPr>
                <w:szCs w:val="21"/>
              </w:rPr>
              <w:t>学生的作业要</w:t>
            </w:r>
            <w:r>
              <w:rPr>
                <w:rFonts w:hint="eastAsia"/>
                <w:szCs w:val="21"/>
              </w:rPr>
              <w:t>按时</w:t>
            </w:r>
            <w:r>
              <w:rPr>
                <w:szCs w:val="21"/>
              </w:rPr>
              <w:t>全</w:t>
            </w:r>
            <w:r>
              <w:rPr>
                <w:rFonts w:hint="eastAsia"/>
                <w:szCs w:val="21"/>
              </w:rPr>
              <w:t>部</w:t>
            </w:r>
            <w:r>
              <w:rPr>
                <w:szCs w:val="21"/>
              </w:rPr>
              <w:t>批改，并</w:t>
            </w:r>
            <w:r>
              <w:rPr>
                <w:rFonts w:hint="eastAsia"/>
                <w:szCs w:val="21"/>
              </w:rPr>
              <w:t>及时进行</w:t>
            </w:r>
            <w:r>
              <w:rPr>
                <w:szCs w:val="21"/>
              </w:rPr>
              <w:t>讲评</w:t>
            </w:r>
            <w:r>
              <w:rPr>
                <w:rFonts w:hint="eastAsia"/>
                <w:szCs w:val="21"/>
              </w:rPr>
              <w:t>。</w:t>
            </w:r>
          </w:p>
          <w:p>
            <w:pPr>
              <w:spacing w:line="276" w:lineRule="auto"/>
              <w:rPr>
                <w:szCs w:val="21"/>
              </w:rPr>
            </w:pPr>
            <w:r>
              <w:rPr>
                <w:rFonts w:hint="eastAsia"/>
                <w:szCs w:val="21"/>
              </w:rPr>
              <w:t>（2）</w:t>
            </w:r>
            <w:r>
              <w:rPr>
                <w:szCs w:val="21"/>
              </w:rPr>
              <w:t>教师批改</w:t>
            </w:r>
            <w:r>
              <w:rPr>
                <w:rFonts w:hint="eastAsia"/>
                <w:szCs w:val="21"/>
              </w:rPr>
              <w:t>和</w:t>
            </w:r>
            <w:r>
              <w:rPr>
                <w:szCs w:val="21"/>
              </w:rPr>
              <w:t>讲评作业要认真、细致，按百分制评定成绩并写明日期</w:t>
            </w:r>
            <w:r>
              <w:rPr>
                <w:rFonts w:hint="eastAsia"/>
                <w:szCs w:val="21"/>
              </w:rPr>
              <w:t>。</w:t>
            </w:r>
          </w:p>
          <w:p>
            <w:pPr>
              <w:spacing w:line="276" w:lineRule="auto"/>
              <w:rPr>
                <w:szCs w:val="21"/>
              </w:rPr>
            </w:pPr>
            <w:r>
              <w:rPr>
                <w:rFonts w:hint="eastAsia"/>
                <w:szCs w:val="21"/>
              </w:rPr>
              <w:t>（3）</w:t>
            </w:r>
            <w:r>
              <w:rPr>
                <w:szCs w:val="21"/>
              </w:rPr>
              <w:t>学生作业的平均成绩</w:t>
            </w:r>
            <w:r>
              <w:rPr>
                <w:rFonts w:hint="eastAsia"/>
                <w:szCs w:val="21"/>
              </w:rPr>
              <w:t>应</w:t>
            </w:r>
            <w:r>
              <w:rPr>
                <w:szCs w:val="21"/>
              </w:rPr>
              <w:t>作为本课程总评成绩中平时成绩的重要组成部分。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1010" w:type="dxa"/>
            <w:tcBorders>
              <w:left w:val="single" w:color="auto" w:sz="8" w:space="0"/>
            </w:tcBorders>
            <w:noWrap w:val="0"/>
            <w:vAlign w:val="center"/>
          </w:tcPr>
          <w:p>
            <w:pPr>
              <w:spacing w:line="276" w:lineRule="auto"/>
              <w:jc w:val="center"/>
              <w:rPr>
                <w:szCs w:val="21"/>
              </w:rPr>
            </w:pPr>
            <w:r>
              <w:rPr>
                <w:szCs w:val="21"/>
              </w:rPr>
              <w:t>4</w:t>
            </w:r>
          </w:p>
        </w:tc>
        <w:tc>
          <w:tcPr>
            <w:tcW w:w="1273" w:type="dxa"/>
            <w:noWrap w:val="0"/>
            <w:tcMar>
              <w:left w:w="28" w:type="dxa"/>
              <w:right w:w="28" w:type="dxa"/>
            </w:tcMar>
            <w:vAlign w:val="center"/>
          </w:tcPr>
          <w:p>
            <w:pPr>
              <w:adjustRightInd w:val="0"/>
              <w:snapToGrid w:val="0"/>
              <w:spacing w:line="276" w:lineRule="auto"/>
              <w:jc w:val="center"/>
              <w:rPr>
                <w:szCs w:val="21"/>
              </w:rPr>
            </w:pPr>
            <w:r>
              <w:rPr>
                <w:szCs w:val="21"/>
              </w:rPr>
              <w:t>课外答疑</w:t>
            </w:r>
          </w:p>
        </w:tc>
        <w:tc>
          <w:tcPr>
            <w:tcW w:w="6817" w:type="dxa"/>
            <w:tcBorders>
              <w:right w:val="single" w:color="auto" w:sz="8" w:space="0"/>
            </w:tcBorders>
            <w:noWrap w:val="0"/>
            <w:vAlign w:val="center"/>
          </w:tcPr>
          <w:p>
            <w:pPr>
              <w:spacing w:line="276" w:lineRule="auto"/>
              <w:rPr>
                <w:szCs w:val="21"/>
              </w:rPr>
            </w:pPr>
            <w:r>
              <w:rPr>
                <w:szCs w:val="21"/>
              </w:rPr>
              <w:t>为了解学生的学习情况，帮助学生</w:t>
            </w:r>
            <w:r>
              <w:rPr>
                <w:rFonts w:hint="eastAsia"/>
                <w:szCs w:val="21"/>
              </w:rPr>
              <w:t>更好地</w:t>
            </w:r>
            <w:r>
              <w:rPr>
                <w:szCs w:val="21"/>
              </w:rPr>
              <w:t>理解和消化所学知识、改进学习方法和思维方式，培养其独立思考问题的能力，任课教师</w:t>
            </w:r>
            <w:r>
              <w:rPr>
                <w:rFonts w:hint="eastAsia"/>
                <w:szCs w:val="21"/>
              </w:rPr>
              <w:t>需</w:t>
            </w:r>
            <w:r>
              <w:rPr>
                <w:szCs w:val="21"/>
              </w:rPr>
              <w:t>每周安排</w:t>
            </w:r>
            <w:r>
              <w:rPr>
                <w:rFonts w:hint="eastAsia"/>
                <w:szCs w:val="21"/>
              </w:rPr>
              <w:t>一定</w:t>
            </w:r>
            <w:r>
              <w:rPr>
                <w:szCs w:val="21"/>
              </w:rPr>
              <w:t>时间进行课外答疑与辅导。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010" w:type="dxa"/>
            <w:tcBorders>
              <w:left w:val="single" w:color="auto" w:sz="8" w:space="0"/>
            </w:tcBorders>
            <w:noWrap w:val="0"/>
            <w:vAlign w:val="center"/>
          </w:tcPr>
          <w:p>
            <w:pPr>
              <w:spacing w:line="276" w:lineRule="auto"/>
              <w:jc w:val="center"/>
              <w:rPr>
                <w:szCs w:val="21"/>
              </w:rPr>
            </w:pPr>
            <w:r>
              <w:rPr>
                <w:szCs w:val="21"/>
              </w:rPr>
              <w:t>5</w:t>
            </w:r>
          </w:p>
        </w:tc>
        <w:tc>
          <w:tcPr>
            <w:tcW w:w="1273" w:type="dxa"/>
            <w:noWrap w:val="0"/>
            <w:tcMar>
              <w:left w:w="28" w:type="dxa"/>
              <w:right w:w="28" w:type="dxa"/>
            </w:tcMar>
            <w:vAlign w:val="center"/>
          </w:tcPr>
          <w:p>
            <w:pPr>
              <w:adjustRightInd w:val="0"/>
              <w:snapToGrid w:val="0"/>
              <w:spacing w:line="276" w:lineRule="auto"/>
              <w:jc w:val="center"/>
              <w:rPr>
                <w:szCs w:val="21"/>
              </w:rPr>
            </w:pPr>
            <w:r>
              <w:rPr>
                <w:szCs w:val="21"/>
              </w:rPr>
              <w:t>成绩考核</w:t>
            </w:r>
          </w:p>
        </w:tc>
        <w:tc>
          <w:tcPr>
            <w:tcW w:w="6817" w:type="dxa"/>
            <w:tcBorders>
              <w:right w:val="single" w:color="auto" w:sz="8" w:space="0"/>
            </w:tcBorders>
            <w:noWrap w:val="0"/>
            <w:vAlign w:val="center"/>
          </w:tcPr>
          <w:p>
            <w:pPr>
              <w:spacing w:line="276" w:lineRule="auto"/>
              <w:rPr>
                <w:szCs w:val="21"/>
              </w:rPr>
            </w:pPr>
            <w:r>
              <w:rPr>
                <w:szCs w:val="21"/>
              </w:rPr>
              <w:t>本课程考核的方式</w:t>
            </w:r>
            <w:r>
              <w:rPr>
                <w:rFonts w:hint="eastAsia"/>
                <w:szCs w:val="21"/>
              </w:rPr>
              <w:t>为闭卷笔试</w:t>
            </w:r>
            <w:r>
              <w:rPr>
                <w:szCs w:val="21"/>
              </w:rPr>
              <w:t>。考试采取教考分离，监考</w:t>
            </w:r>
            <w:r>
              <w:rPr>
                <w:rFonts w:hint="eastAsia"/>
                <w:szCs w:val="21"/>
              </w:rPr>
              <w:t>由学院</w:t>
            </w:r>
            <w:r>
              <w:rPr>
                <w:szCs w:val="21"/>
              </w:rPr>
              <w:t>统一安排。有下列情况之一者，总评成绩为不及格：</w:t>
            </w:r>
          </w:p>
          <w:p>
            <w:pPr>
              <w:spacing w:line="276" w:lineRule="auto"/>
              <w:rPr>
                <w:szCs w:val="21"/>
              </w:rPr>
            </w:pPr>
            <w:r>
              <w:rPr>
                <w:rFonts w:hint="eastAsia"/>
                <w:szCs w:val="21"/>
              </w:rPr>
              <w:t>（1）</w:t>
            </w:r>
            <w:r>
              <w:rPr>
                <w:szCs w:val="21"/>
              </w:rPr>
              <w:t>缺交作业次数达1/3以上者</w:t>
            </w:r>
            <w:r>
              <w:rPr>
                <w:rFonts w:hint="eastAsia"/>
                <w:szCs w:val="21"/>
              </w:rPr>
              <w:t>。</w:t>
            </w:r>
          </w:p>
          <w:p>
            <w:pPr>
              <w:spacing w:line="276" w:lineRule="auto"/>
              <w:rPr>
                <w:szCs w:val="21"/>
              </w:rPr>
            </w:pPr>
            <w:r>
              <w:rPr>
                <w:rFonts w:hint="eastAsia"/>
                <w:szCs w:val="21"/>
              </w:rPr>
              <w:t>（2）</w:t>
            </w:r>
            <w:r>
              <w:rPr>
                <w:szCs w:val="21"/>
              </w:rPr>
              <w:t>缺课次数达本学期总授课学时的1/3以上者</w:t>
            </w:r>
            <w:r>
              <w:rPr>
                <w:rFonts w:hint="eastAsia"/>
                <w:szCs w:val="21"/>
              </w:rPr>
              <w:t>。</w:t>
            </w:r>
          </w:p>
          <w:p>
            <w:pPr>
              <w:spacing w:line="276" w:lineRule="auto"/>
              <w:rPr>
                <w:szCs w:val="21"/>
              </w:rPr>
            </w:pPr>
            <w:r>
              <w:rPr>
                <w:rFonts w:hint="eastAsia"/>
                <w:szCs w:val="21"/>
              </w:rPr>
              <w:t>（3）</w:t>
            </w:r>
            <w:r>
              <w:rPr>
                <w:szCs w:val="21"/>
              </w:rPr>
              <w:t>课程目标小于0.6。</w:t>
            </w:r>
          </w:p>
        </w:tc>
      </w:tr>
    </w:tbl>
    <w:p>
      <w:pPr>
        <w:spacing w:line="360" w:lineRule="auto"/>
        <w:ind w:firstLine="551" w:firstLineChars="196"/>
        <w:rPr>
          <w:rFonts w:hint="eastAsia"/>
          <w:b/>
          <w:sz w:val="28"/>
          <w:szCs w:val="28"/>
        </w:rPr>
      </w:pPr>
      <w:r>
        <w:rPr>
          <w:rFonts w:hint="eastAsia"/>
          <w:b/>
          <w:sz w:val="28"/>
          <w:szCs w:val="28"/>
        </w:rPr>
        <w:t>六、考核方式</w:t>
      </w:r>
    </w:p>
    <w:p>
      <w:pPr>
        <w:spacing w:line="360" w:lineRule="auto"/>
        <w:ind w:firstLine="480" w:firstLineChars="200"/>
        <w:rPr>
          <w:sz w:val="24"/>
        </w:rPr>
      </w:pPr>
      <w:r>
        <w:rPr>
          <w:rFonts w:hint="eastAsia"/>
          <w:sz w:val="24"/>
        </w:rPr>
        <w:t>（一）</w:t>
      </w:r>
      <w:r>
        <w:rPr>
          <w:sz w:val="24"/>
        </w:rPr>
        <w:t>课程考核包括期末考试、平时及作业情况考核和实验考核，期末考试采用闭卷笔试。</w:t>
      </w:r>
    </w:p>
    <w:p>
      <w:pPr>
        <w:spacing w:line="360" w:lineRule="auto"/>
        <w:ind w:firstLine="480" w:firstLineChars="200"/>
        <w:rPr>
          <w:sz w:val="24"/>
        </w:rPr>
      </w:pPr>
      <w:r>
        <w:rPr>
          <w:rFonts w:hint="eastAsia"/>
          <w:sz w:val="24"/>
        </w:rPr>
        <w:t>（二）</w:t>
      </w:r>
      <w:r>
        <w:rPr>
          <w:sz w:val="24"/>
        </w:rPr>
        <w:t>课程成绩=平时成绩考试成绩×40%+期末考试成绩×60%。</w:t>
      </w:r>
      <w:r>
        <w:rPr>
          <w:rFonts w:hint="eastAsia"/>
          <w:sz w:val="24"/>
        </w:rPr>
        <w:t>具体内容和</w:t>
      </w:r>
    </w:p>
    <w:p>
      <w:pPr>
        <w:spacing w:line="360" w:lineRule="auto"/>
        <w:rPr>
          <w:sz w:val="24"/>
        </w:rPr>
      </w:pPr>
      <w:r>
        <w:rPr>
          <w:rFonts w:hint="eastAsia"/>
          <w:sz w:val="24"/>
        </w:rPr>
        <w:t>比例如表所示。</w:t>
      </w:r>
    </w:p>
    <w:tbl>
      <w:tblPr>
        <w:tblStyle w:val="10"/>
        <w:tblW w:w="92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1565"/>
        <w:gridCol w:w="808"/>
        <w:gridCol w:w="4410"/>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FFFFFF"/>
            <w:noWrap w:val="0"/>
            <w:tcMar>
              <w:left w:w="57" w:type="dxa"/>
              <w:right w:w="57" w:type="dxa"/>
            </w:tcMar>
            <w:vAlign w:val="center"/>
          </w:tcPr>
          <w:p>
            <w:pPr>
              <w:pStyle w:val="14"/>
              <w:adjustRightInd w:val="0"/>
              <w:snapToGrid w:val="0"/>
              <w:jc w:val="center"/>
              <w:rPr>
                <w:rFonts w:eastAsia="宋体"/>
              </w:rPr>
            </w:pPr>
            <w:r>
              <w:rPr>
                <w:rFonts w:eastAsia="宋体"/>
              </w:rPr>
              <w:t>成绩组成</w:t>
            </w:r>
          </w:p>
        </w:tc>
        <w:tc>
          <w:tcPr>
            <w:tcW w:w="1565" w:type="dxa"/>
            <w:shd w:val="clear" w:color="auto" w:fill="FFFFFF"/>
            <w:noWrap w:val="0"/>
            <w:vAlign w:val="center"/>
          </w:tcPr>
          <w:p>
            <w:pPr>
              <w:pStyle w:val="14"/>
              <w:adjustRightInd w:val="0"/>
              <w:snapToGrid w:val="0"/>
              <w:jc w:val="center"/>
              <w:rPr>
                <w:rFonts w:eastAsia="宋体"/>
              </w:rPr>
            </w:pPr>
            <w:r>
              <w:rPr>
                <w:rFonts w:eastAsia="宋体"/>
              </w:rPr>
              <w:t>考核/评价环节</w:t>
            </w:r>
          </w:p>
        </w:tc>
        <w:tc>
          <w:tcPr>
            <w:tcW w:w="808" w:type="dxa"/>
            <w:shd w:val="clear" w:color="auto" w:fill="FFFFFF"/>
            <w:noWrap w:val="0"/>
            <w:vAlign w:val="center"/>
          </w:tcPr>
          <w:p>
            <w:pPr>
              <w:pStyle w:val="14"/>
              <w:adjustRightInd w:val="0"/>
              <w:snapToGrid w:val="0"/>
              <w:jc w:val="center"/>
              <w:rPr>
                <w:rFonts w:eastAsia="宋体"/>
              </w:rPr>
            </w:pPr>
            <w:r>
              <w:rPr>
                <w:rFonts w:hint="eastAsia" w:eastAsia="宋体"/>
              </w:rPr>
              <w:t>权重</w:t>
            </w:r>
          </w:p>
        </w:tc>
        <w:tc>
          <w:tcPr>
            <w:tcW w:w="4410" w:type="dxa"/>
            <w:shd w:val="clear" w:color="auto" w:fill="FFFFFF"/>
            <w:noWrap w:val="0"/>
            <w:vAlign w:val="center"/>
          </w:tcPr>
          <w:p>
            <w:pPr>
              <w:pStyle w:val="14"/>
              <w:adjustRightInd w:val="0"/>
              <w:snapToGrid w:val="0"/>
              <w:jc w:val="center"/>
              <w:rPr>
                <w:rFonts w:eastAsia="宋体"/>
              </w:rPr>
            </w:pPr>
            <w:r>
              <w:rPr>
                <w:rFonts w:eastAsia="宋体"/>
              </w:rPr>
              <w:t>考核/评价细则</w:t>
            </w:r>
          </w:p>
        </w:tc>
        <w:tc>
          <w:tcPr>
            <w:tcW w:w="1470" w:type="dxa"/>
            <w:shd w:val="clear" w:color="auto" w:fill="FFFFFF"/>
            <w:noWrap w:val="0"/>
            <w:vAlign w:val="center"/>
          </w:tcPr>
          <w:p>
            <w:pPr>
              <w:pStyle w:val="14"/>
              <w:adjustRightInd w:val="0"/>
              <w:snapToGrid w:val="0"/>
              <w:jc w:val="center"/>
              <w:rPr>
                <w:rFonts w:eastAsia="宋体"/>
              </w:rPr>
            </w:pPr>
            <w:r>
              <w:rPr>
                <w:rFonts w:eastAsia="宋体"/>
              </w:rPr>
              <w:t>对应的毕业要求指标点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1044" w:type="dxa"/>
            <w:noWrap w:val="0"/>
            <w:tcMar>
              <w:left w:w="57" w:type="dxa"/>
              <w:right w:w="57" w:type="dxa"/>
            </w:tcMar>
            <w:vAlign w:val="center"/>
          </w:tcPr>
          <w:p>
            <w:pPr>
              <w:pStyle w:val="14"/>
              <w:adjustRightInd w:val="0"/>
              <w:snapToGrid w:val="0"/>
              <w:jc w:val="center"/>
              <w:rPr>
                <w:rFonts w:eastAsia="宋体"/>
              </w:rPr>
            </w:pPr>
            <w:r>
              <w:rPr>
                <w:rFonts w:hint="eastAsia" w:eastAsia="宋体"/>
              </w:rPr>
              <w:t>设计方案</w:t>
            </w:r>
          </w:p>
        </w:tc>
        <w:tc>
          <w:tcPr>
            <w:tcW w:w="1565" w:type="dxa"/>
            <w:noWrap w:val="0"/>
            <w:vAlign w:val="center"/>
          </w:tcPr>
          <w:p>
            <w:pPr>
              <w:pStyle w:val="14"/>
              <w:adjustRightInd w:val="0"/>
              <w:snapToGrid w:val="0"/>
              <w:jc w:val="center"/>
              <w:rPr>
                <w:rFonts w:eastAsia="宋体"/>
              </w:rPr>
            </w:pPr>
            <w:r>
              <w:rPr>
                <w:rFonts w:hint="eastAsia" w:eastAsia="宋体"/>
              </w:rPr>
              <w:t>合理性评价</w:t>
            </w:r>
          </w:p>
        </w:tc>
        <w:tc>
          <w:tcPr>
            <w:tcW w:w="808" w:type="dxa"/>
            <w:noWrap w:val="0"/>
            <w:vAlign w:val="center"/>
          </w:tcPr>
          <w:p>
            <w:pPr>
              <w:pStyle w:val="14"/>
              <w:adjustRightInd w:val="0"/>
              <w:snapToGrid w:val="0"/>
              <w:jc w:val="center"/>
              <w:rPr>
                <w:rFonts w:eastAsia="宋体"/>
              </w:rPr>
            </w:pPr>
            <w:r>
              <w:rPr>
                <w:rFonts w:eastAsia="宋体"/>
              </w:rPr>
              <w:t>20</w:t>
            </w:r>
            <w:r>
              <w:rPr>
                <w:rFonts w:hint="eastAsia" w:eastAsia="宋体"/>
              </w:rPr>
              <w:t>%</w:t>
            </w:r>
          </w:p>
        </w:tc>
        <w:tc>
          <w:tcPr>
            <w:tcW w:w="4410" w:type="dxa"/>
            <w:noWrap w:val="0"/>
            <w:vAlign w:val="center"/>
          </w:tcPr>
          <w:p>
            <w:pPr>
              <w:pStyle w:val="14"/>
              <w:adjustRightInd w:val="0"/>
              <w:snapToGrid w:val="0"/>
              <w:rPr>
                <w:rFonts w:hint="eastAsia" w:eastAsia="宋体"/>
                <w:color w:val="000000"/>
                <w:szCs w:val="21"/>
              </w:rPr>
            </w:pPr>
            <w:r>
              <w:rPr>
                <w:rFonts w:hint="eastAsia" w:eastAsia="宋体"/>
                <w:color w:val="000000"/>
                <w:szCs w:val="21"/>
              </w:rPr>
              <w:t>分为合理、较合理、一般、较差四个等级计分，最后按2</w:t>
            </w:r>
            <w:r>
              <w:rPr>
                <w:rFonts w:eastAsia="宋体"/>
                <w:color w:val="000000"/>
                <w:szCs w:val="21"/>
              </w:rPr>
              <w:t>0</w:t>
            </w:r>
            <w:r>
              <w:rPr>
                <w:rFonts w:hint="eastAsia" w:eastAsia="宋体"/>
                <w:color w:val="000000"/>
                <w:szCs w:val="21"/>
              </w:rPr>
              <w:t>%计入课程总成绩。</w:t>
            </w:r>
          </w:p>
        </w:tc>
        <w:tc>
          <w:tcPr>
            <w:tcW w:w="1470" w:type="dxa"/>
            <w:noWrap w:val="0"/>
            <w:vAlign w:val="center"/>
          </w:tcPr>
          <w:p>
            <w:pPr>
              <w:pStyle w:val="14"/>
              <w:adjustRightInd w:val="0"/>
              <w:snapToGrid w:val="0"/>
              <w:jc w:val="center"/>
              <w:rPr>
                <w:rFonts w:hint="eastAsia" w:eastAsia="宋体"/>
                <w:color w:val="000000"/>
                <w:szCs w:val="21"/>
              </w:rPr>
            </w:pPr>
            <w:r>
              <w:rPr>
                <w:rFonts w:hint="eastAsia" w:eastAsia="宋体"/>
                <w:color w:val="000000"/>
                <w:szCs w:val="21"/>
              </w:rPr>
              <w:t>1、</w:t>
            </w:r>
            <w:r>
              <w:rPr>
                <w:rFonts w:eastAsia="宋体"/>
                <w:color w:val="000000"/>
                <w:szCs w:val="21"/>
              </w:rPr>
              <w:t>2</w:t>
            </w:r>
            <w:r>
              <w:rPr>
                <w:rFonts w:hint="eastAsia" w:eastAsia="宋体"/>
                <w:color w:val="000000"/>
                <w:szCs w:val="21"/>
              </w:rPr>
              <w:t>、</w:t>
            </w:r>
            <w:r>
              <w:rPr>
                <w:rFonts w:eastAsia="宋体"/>
                <w:color w:val="000000"/>
                <w:szCs w:val="21"/>
              </w:rPr>
              <w:t>3</w:t>
            </w:r>
            <w:r>
              <w:rPr>
                <w:rFonts w:hint="eastAsia" w:eastAsia="宋体"/>
                <w:color w:val="000000"/>
                <w:szCs w:val="21"/>
              </w:rPr>
              <w:t>、</w:t>
            </w:r>
            <w:r>
              <w:rPr>
                <w:rFonts w:eastAsia="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1044" w:type="dxa"/>
            <w:noWrap w:val="0"/>
            <w:tcMar>
              <w:left w:w="57" w:type="dxa"/>
              <w:right w:w="57" w:type="dxa"/>
            </w:tcMar>
            <w:vAlign w:val="center"/>
          </w:tcPr>
          <w:p>
            <w:pPr>
              <w:pStyle w:val="14"/>
              <w:adjustRightInd w:val="0"/>
              <w:snapToGrid w:val="0"/>
              <w:jc w:val="center"/>
              <w:rPr>
                <w:rFonts w:eastAsia="宋体"/>
              </w:rPr>
            </w:pPr>
            <w:r>
              <w:rPr>
                <w:rFonts w:hint="eastAsia" w:eastAsia="宋体"/>
              </w:rPr>
              <w:t>工艺计算</w:t>
            </w:r>
          </w:p>
        </w:tc>
        <w:tc>
          <w:tcPr>
            <w:tcW w:w="1565" w:type="dxa"/>
            <w:noWrap w:val="0"/>
            <w:vAlign w:val="center"/>
          </w:tcPr>
          <w:p>
            <w:pPr>
              <w:pStyle w:val="14"/>
              <w:adjustRightInd w:val="0"/>
              <w:snapToGrid w:val="0"/>
              <w:jc w:val="center"/>
              <w:rPr>
                <w:rFonts w:eastAsia="宋体"/>
              </w:rPr>
            </w:pPr>
            <w:r>
              <w:rPr>
                <w:rFonts w:hint="eastAsia" w:eastAsia="宋体"/>
              </w:rPr>
              <w:t>正确性评价</w:t>
            </w:r>
          </w:p>
        </w:tc>
        <w:tc>
          <w:tcPr>
            <w:tcW w:w="808" w:type="dxa"/>
            <w:noWrap w:val="0"/>
            <w:vAlign w:val="center"/>
          </w:tcPr>
          <w:p>
            <w:pPr>
              <w:pStyle w:val="14"/>
              <w:adjustRightInd w:val="0"/>
              <w:snapToGrid w:val="0"/>
              <w:jc w:val="center"/>
              <w:rPr>
                <w:rFonts w:eastAsia="宋体"/>
              </w:rPr>
            </w:pPr>
            <w:r>
              <w:rPr>
                <w:rFonts w:eastAsia="宋体"/>
              </w:rPr>
              <w:t>20</w:t>
            </w:r>
            <w:r>
              <w:rPr>
                <w:rFonts w:hint="eastAsia" w:eastAsia="宋体"/>
              </w:rPr>
              <w:t>%</w:t>
            </w:r>
          </w:p>
        </w:tc>
        <w:tc>
          <w:tcPr>
            <w:tcW w:w="4410" w:type="dxa"/>
            <w:noWrap w:val="0"/>
            <w:vAlign w:val="center"/>
          </w:tcPr>
          <w:p>
            <w:pPr>
              <w:pStyle w:val="14"/>
              <w:adjustRightInd w:val="0"/>
              <w:snapToGrid w:val="0"/>
              <w:rPr>
                <w:rFonts w:eastAsia="宋体"/>
                <w:color w:val="000000"/>
                <w:szCs w:val="21"/>
              </w:rPr>
            </w:pPr>
            <w:r>
              <w:rPr>
                <w:rFonts w:hint="eastAsia" w:eastAsia="宋体"/>
                <w:color w:val="000000"/>
                <w:szCs w:val="21"/>
              </w:rPr>
              <w:t>分为正确、基本正确、重大错误三个等级计分，最后按2</w:t>
            </w:r>
            <w:r>
              <w:rPr>
                <w:rFonts w:eastAsia="宋体"/>
                <w:color w:val="000000"/>
                <w:szCs w:val="21"/>
              </w:rPr>
              <w:t>0</w:t>
            </w:r>
            <w:r>
              <w:rPr>
                <w:rFonts w:hint="eastAsia" w:eastAsia="宋体"/>
                <w:color w:val="000000"/>
                <w:szCs w:val="21"/>
              </w:rPr>
              <w:t>%计入课程总成绩。</w:t>
            </w:r>
          </w:p>
        </w:tc>
        <w:tc>
          <w:tcPr>
            <w:tcW w:w="1470" w:type="dxa"/>
            <w:noWrap w:val="0"/>
            <w:vAlign w:val="center"/>
          </w:tcPr>
          <w:p>
            <w:pPr>
              <w:pStyle w:val="14"/>
              <w:adjustRightInd w:val="0"/>
              <w:snapToGrid w:val="0"/>
              <w:jc w:val="center"/>
              <w:rPr>
                <w:rFonts w:hint="eastAsia" w:eastAsia="宋体"/>
                <w:color w:val="000000"/>
                <w:szCs w:val="21"/>
              </w:rPr>
            </w:pPr>
            <w:r>
              <w:rPr>
                <w:rFonts w:hint="eastAsia" w:eastAsia="宋体"/>
                <w:color w:val="000000"/>
                <w:szCs w:val="21"/>
              </w:rPr>
              <w:t>1、</w:t>
            </w:r>
            <w:r>
              <w:rPr>
                <w:rFonts w:eastAsia="宋体"/>
                <w:color w:val="000000"/>
                <w:szCs w:val="21"/>
              </w:rPr>
              <w:t>2</w:t>
            </w:r>
            <w:r>
              <w:rPr>
                <w:rFonts w:hint="eastAsia" w:eastAsia="宋体"/>
                <w:color w:val="000000"/>
                <w:szCs w:val="21"/>
              </w:rPr>
              <w:t>、</w:t>
            </w:r>
            <w:r>
              <w:rPr>
                <w:rFonts w:eastAsia="宋体"/>
                <w:color w:val="000000"/>
                <w:szCs w:val="21"/>
              </w:rPr>
              <w:t>3</w:t>
            </w:r>
            <w:r>
              <w:rPr>
                <w:rFonts w:hint="eastAsia" w:eastAsia="宋体"/>
                <w:color w:val="000000"/>
                <w:szCs w:val="21"/>
              </w:rPr>
              <w:t>、</w:t>
            </w:r>
            <w:r>
              <w:rPr>
                <w:rFonts w:eastAsia="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trPr>
        <w:tc>
          <w:tcPr>
            <w:tcW w:w="1044" w:type="dxa"/>
            <w:noWrap w:val="0"/>
            <w:tcMar>
              <w:left w:w="57" w:type="dxa"/>
              <w:right w:w="57" w:type="dxa"/>
            </w:tcMar>
            <w:vAlign w:val="center"/>
          </w:tcPr>
          <w:p>
            <w:pPr>
              <w:pStyle w:val="14"/>
              <w:adjustRightInd w:val="0"/>
              <w:snapToGrid w:val="0"/>
              <w:jc w:val="center"/>
              <w:rPr>
                <w:rFonts w:eastAsia="宋体"/>
              </w:rPr>
            </w:pPr>
            <w:r>
              <w:rPr>
                <w:rFonts w:hint="eastAsia" w:eastAsia="宋体"/>
              </w:rPr>
              <w:t>图纸</w:t>
            </w:r>
          </w:p>
        </w:tc>
        <w:tc>
          <w:tcPr>
            <w:tcW w:w="1565" w:type="dxa"/>
            <w:noWrap w:val="0"/>
            <w:vAlign w:val="center"/>
          </w:tcPr>
          <w:p>
            <w:pPr>
              <w:pStyle w:val="14"/>
              <w:adjustRightInd w:val="0"/>
              <w:snapToGrid w:val="0"/>
              <w:jc w:val="center"/>
              <w:rPr>
                <w:rFonts w:eastAsia="宋体"/>
              </w:rPr>
            </w:pPr>
            <w:r>
              <w:rPr>
                <w:rFonts w:hint="eastAsia" w:eastAsia="宋体"/>
              </w:rPr>
              <w:t>规范性</w:t>
            </w:r>
          </w:p>
        </w:tc>
        <w:tc>
          <w:tcPr>
            <w:tcW w:w="808" w:type="dxa"/>
            <w:noWrap w:val="0"/>
            <w:vAlign w:val="center"/>
          </w:tcPr>
          <w:p>
            <w:pPr>
              <w:pStyle w:val="14"/>
              <w:adjustRightInd w:val="0"/>
              <w:snapToGrid w:val="0"/>
              <w:jc w:val="center"/>
              <w:rPr>
                <w:rFonts w:eastAsia="宋体"/>
              </w:rPr>
            </w:pPr>
            <w:r>
              <w:rPr>
                <w:rFonts w:hint="eastAsia" w:eastAsia="宋体"/>
              </w:rPr>
              <w:t>3</w:t>
            </w:r>
            <w:r>
              <w:rPr>
                <w:rFonts w:eastAsia="宋体"/>
              </w:rPr>
              <w:t>0</w:t>
            </w:r>
            <w:r>
              <w:rPr>
                <w:rFonts w:hint="eastAsia" w:eastAsia="宋体"/>
              </w:rPr>
              <w:t>%</w:t>
            </w:r>
          </w:p>
        </w:tc>
        <w:tc>
          <w:tcPr>
            <w:tcW w:w="4410" w:type="dxa"/>
            <w:noWrap w:val="0"/>
            <w:vAlign w:val="center"/>
          </w:tcPr>
          <w:p>
            <w:pPr>
              <w:pStyle w:val="14"/>
              <w:adjustRightInd w:val="0"/>
              <w:snapToGrid w:val="0"/>
              <w:rPr>
                <w:rFonts w:eastAsia="宋体"/>
                <w:color w:val="000000"/>
                <w:szCs w:val="21"/>
              </w:rPr>
            </w:pPr>
            <w:r>
              <w:rPr>
                <w:rFonts w:hint="eastAsia" w:eastAsia="宋体"/>
                <w:color w:val="000000"/>
                <w:szCs w:val="21"/>
              </w:rPr>
              <w:t>分为清晰、较清晰、一般、尚可、不规范四个等级计分，最后按</w:t>
            </w:r>
            <w:r>
              <w:rPr>
                <w:rFonts w:eastAsia="宋体"/>
                <w:color w:val="000000"/>
                <w:szCs w:val="21"/>
              </w:rPr>
              <w:t>30</w:t>
            </w:r>
            <w:r>
              <w:rPr>
                <w:rFonts w:hint="eastAsia" w:eastAsia="宋体"/>
                <w:color w:val="000000"/>
                <w:szCs w:val="21"/>
              </w:rPr>
              <w:t>%计入课程总成绩。</w:t>
            </w:r>
          </w:p>
        </w:tc>
        <w:tc>
          <w:tcPr>
            <w:tcW w:w="1470" w:type="dxa"/>
            <w:noWrap w:val="0"/>
            <w:vAlign w:val="center"/>
          </w:tcPr>
          <w:p>
            <w:pPr>
              <w:pStyle w:val="14"/>
              <w:adjustRightInd w:val="0"/>
              <w:snapToGrid w:val="0"/>
              <w:jc w:val="center"/>
              <w:rPr>
                <w:rFonts w:hint="eastAsia" w:eastAsia="宋体"/>
                <w:color w:val="000000"/>
                <w:szCs w:val="21"/>
              </w:rPr>
            </w:pPr>
            <w:r>
              <w:rPr>
                <w:rFonts w:hint="eastAsia" w:eastAsia="宋体"/>
                <w:color w:val="000000"/>
                <w:szCs w:val="21"/>
              </w:rPr>
              <w:t>1、</w:t>
            </w:r>
            <w:r>
              <w:rPr>
                <w:rFonts w:eastAsia="宋体"/>
                <w:color w:val="000000"/>
                <w:szCs w:val="21"/>
              </w:rPr>
              <w:t>2</w:t>
            </w:r>
            <w:r>
              <w:rPr>
                <w:rFonts w:hint="eastAsia" w:eastAsia="宋体"/>
                <w:color w:val="000000"/>
                <w:szCs w:val="21"/>
              </w:rPr>
              <w:t>、</w:t>
            </w:r>
            <w:r>
              <w:rPr>
                <w:rFonts w:eastAsia="宋体"/>
                <w:color w:val="000000"/>
                <w:szCs w:val="21"/>
              </w:rPr>
              <w:t>3</w:t>
            </w:r>
            <w:r>
              <w:rPr>
                <w:rFonts w:hint="eastAsia" w:eastAsia="宋体"/>
                <w:color w:val="000000"/>
                <w:szCs w:val="21"/>
              </w:rPr>
              <w:t>、</w:t>
            </w:r>
            <w:r>
              <w:rPr>
                <w:rFonts w:eastAsia="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1044" w:type="dxa"/>
            <w:noWrap w:val="0"/>
            <w:tcMar>
              <w:left w:w="57" w:type="dxa"/>
              <w:right w:w="57" w:type="dxa"/>
            </w:tcMar>
            <w:vAlign w:val="center"/>
          </w:tcPr>
          <w:p>
            <w:pPr>
              <w:pStyle w:val="14"/>
              <w:adjustRightInd w:val="0"/>
              <w:snapToGrid w:val="0"/>
              <w:jc w:val="center"/>
              <w:rPr>
                <w:rFonts w:eastAsia="宋体"/>
              </w:rPr>
            </w:pPr>
            <w:r>
              <w:rPr>
                <w:rFonts w:hint="eastAsia" w:eastAsia="宋体"/>
              </w:rPr>
              <w:t>报告</w:t>
            </w:r>
          </w:p>
        </w:tc>
        <w:tc>
          <w:tcPr>
            <w:tcW w:w="1565" w:type="dxa"/>
            <w:noWrap w:val="0"/>
            <w:vAlign w:val="center"/>
          </w:tcPr>
          <w:p>
            <w:pPr>
              <w:pStyle w:val="14"/>
              <w:adjustRightInd w:val="0"/>
              <w:snapToGrid w:val="0"/>
              <w:jc w:val="center"/>
              <w:rPr>
                <w:rFonts w:eastAsia="宋体"/>
              </w:rPr>
            </w:pPr>
            <w:r>
              <w:rPr>
                <w:rFonts w:hint="eastAsia" w:eastAsia="宋体"/>
              </w:rPr>
              <w:t>质量性评价</w:t>
            </w:r>
          </w:p>
        </w:tc>
        <w:tc>
          <w:tcPr>
            <w:tcW w:w="808" w:type="dxa"/>
            <w:noWrap w:val="0"/>
            <w:vAlign w:val="center"/>
          </w:tcPr>
          <w:p>
            <w:pPr>
              <w:pStyle w:val="14"/>
              <w:adjustRightInd w:val="0"/>
              <w:snapToGrid w:val="0"/>
              <w:jc w:val="center"/>
              <w:rPr>
                <w:rFonts w:eastAsia="宋体"/>
              </w:rPr>
            </w:pPr>
            <w:r>
              <w:rPr>
                <w:rFonts w:hint="eastAsia" w:eastAsia="宋体"/>
              </w:rPr>
              <w:t>3</w:t>
            </w:r>
            <w:r>
              <w:rPr>
                <w:rFonts w:eastAsia="宋体"/>
              </w:rPr>
              <w:t>0</w:t>
            </w:r>
            <w:r>
              <w:rPr>
                <w:rFonts w:hint="eastAsia" w:eastAsia="宋体"/>
              </w:rPr>
              <w:t>%</w:t>
            </w:r>
          </w:p>
        </w:tc>
        <w:tc>
          <w:tcPr>
            <w:tcW w:w="4410" w:type="dxa"/>
            <w:noWrap w:val="0"/>
            <w:vAlign w:val="center"/>
          </w:tcPr>
          <w:p>
            <w:pPr>
              <w:pStyle w:val="14"/>
              <w:adjustRightInd w:val="0"/>
              <w:snapToGrid w:val="0"/>
              <w:rPr>
                <w:rFonts w:eastAsia="宋体"/>
                <w:color w:val="000000"/>
                <w:szCs w:val="21"/>
              </w:rPr>
            </w:pPr>
            <w:r>
              <w:rPr>
                <w:rFonts w:hint="eastAsia" w:eastAsia="宋体"/>
                <w:color w:val="000000"/>
                <w:szCs w:val="21"/>
              </w:rPr>
              <w:t>分为高、较高、一般、较差四个等级计分，最后按</w:t>
            </w:r>
            <w:r>
              <w:rPr>
                <w:rFonts w:eastAsia="宋体"/>
                <w:color w:val="000000"/>
                <w:szCs w:val="21"/>
              </w:rPr>
              <w:t>30</w:t>
            </w:r>
            <w:r>
              <w:rPr>
                <w:rFonts w:hint="eastAsia" w:eastAsia="宋体"/>
                <w:color w:val="000000"/>
                <w:szCs w:val="21"/>
              </w:rPr>
              <w:t>%计入课程总成绩。</w:t>
            </w:r>
          </w:p>
        </w:tc>
        <w:tc>
          <w:tcPr>
            <w:tcW w:w="1470" w:type="dxa"/>
            <w:noWrap w:val="0"/>
            <w:vAlign w:val="center"/>
          </w:tcPr>
          <w:p>
            <w:pPr>
              <w:pStyle w:val="14"/>
              <w:adjustRightInd w:val="0"/>
              <w:snapToGrid w:val="0"/>
              <w:jc w:val="center"/>
              <w:rPr>
                <w:rFonts w:hint="eastAsia" w:eastAsia="宋体"/>
                <w:color w:val="000000"/>
                <w:szCs w:val="21"/>
              </w:rPr>
            </w:pPr>
            <w:r>
              <w:rPr>
                <w:rFonts w:hint="eastAsia" w:eastAsia="宋体"/>
                <w:color w:val="000000"/>
                <w:szCs w:val="21"/>
              </w:rPr>
              <w:t>1、</w:t>
            </w:r>
            <w:r>
              <w:rPr>
                <w:rFonts w:eastAsia="宋体"/>
                <w:color w:val="000000"/>
                <w:szCs w:val="21"/>
              </w:rPr>
              <w:t>2</w:t>
            </w:r>
            <w:r>
              <w:rPr>
                <w:rFonts w:hint="eastAsia" w:eastAsia="宋体"/>
                <w:color w:val="000000"/>
                <w:szCs w:val="21"/>
              </w:rPr>
              <w:t>、</w:t>
            </w:r>
            <w:r>
              <w:rPr>
                <w:rFonts w:eastAsia="宋体"/>
                <w:color w:val="000000"/>
                <w:szCs w:val="21"/>
              </w:rPr>
              <w:t>3</w:t>
            </w:r>
            <w:r>
              <w:rPr>
                <w:rFonts w:hint="eastAsia" w:eastAsia="宋体"/>
                <w:color w:val="000000"/>
                <w:szCs w:val="21"/>
              </w:rPr>
              <w:t>、</w:t>
            </w:r>
            <w:r>
              <w:rPr>
                <w:rFonts w:eastAsia="宋体"/>
                <w:color w:val="000000"/>
                <w:szCs w:val="21"/>
              </w:rPr>
              <w:t>4</w:t>
            </w:r>
          </w:p>
        </w:tc>
      </w:tr>
    </w:tbl>
    <w:p>
      <w:pPr>
        <w:spacing w:line="360" w:lineRule="auto"/>
        <w:ind w:firstLine="480" w:firstLineChars="200"/>
        <w:rPr>
          <w:rFonts w:hint="eastAsia"/>
          <w:sz w:val="24"/>
          <w:szCs w:val="22"/>
        </w:rPr>
      </w:pPr>
      <w:r>
        <w:rPr>
          <w:sz w:val="24"/>
          <w:szCs w:val="22"/>
        </w:rPr>
        <w:t>（三）所有课程目标均</w:t>
      </w:r>
      <w:r>
        <w:rPr>
          <w:rFonts w:hint="eastAsia"/>
          <w:sz w:val="24"/>
          <w:szCs w:val="22"/>
        </w:rPr>
        <w:t>需</w:t>
      </w:r>
      <w:r>
        <w:rPr>
          <w:sz w:val="24"/>
          <w:szCs w:val="22"/>
        </w:rPr>
        <w:t>大于等于0.6，否则总评成绩不及格，需要重</w:t>
      </w:r>
      <w:r>
        <w:rPr>
          <w:rFonts w:hint="eastAsia"/>
          <w:sz w:val="24"/>
          <w:szCs w:val="22"/>
        </w:rPr>
        <w:t>修。</w:t>
      </w:r>
      <w:r>
        <w:rPr>
          <w:sz w:val="24"/>
          <w:szCs w:val="22"/>
        </w:rPr>
        <w:t>每</w:t>
      </w:r>
      <w:r>
        <w:rPr>
          <w:rFonts w:hint="eastAsia"/>
          <w:sz w:val="24"/>
          <w:szCs w:val="22"/>
        </w:rPr>
        <w:t>个</w:t>
      </w:r>
      <w:r>
        <w:rPr>
          <w:sz w:val="24"/>
          <w:szCs w:val="22"/>
        </w:rPr>
        <w:t>课程目标达成度计算方法如下：</w:t>
      </w:r>
    </w:p>
    <w:p>
      <w:pPr>
        <w:widowControl/>
        <w:spacing w:line="360" w:lineRule="auto"/>
        <w:jc w:val="center"/>
        <w:textAlignment w:val="baseline"/>
        <w:rPr>
          <w:rFonts w:hint="eastAsia"/>
          <w:kern w:val="0"/>
          <w:position w:val="-22"/>
          <w:sz w:val="18"/>
          <w:szCs w:val="18"/>
        </w:rPr>
      </w:pPr>
      <w:r>
        <w:rPr>
          <w:rFonts w:hint="eastAsia"/>
          <w:kern w:val="0"/>
          <w:position w:val="-22"/>
          <w:sz w:val="18"/>
          <w:szCs w:val="18"/>
        </w:rPr>
        <w:t>课程目标i达成度=(设计方案×A</w:t>
      </w:r>
      <w:r>
        <w:rPr>
          <w:kern w:val="0"/>
          <w:position w:val="-22"/>
          <w:sz w:val="18"/>
          <w:szCs w:val="18"/>
        </w:rPr>
        <w:t>i+</w:t>
      </w:r>
      <w:r>
        <w:rPr>
          <w:rFonts w:hint="eastAsia"/>
          <w:kern w:val="0"/>
          <w:position w:val="-22"/>
          <w:sz w:val="18"/>
          <w:szCs w:val="18"/>
        </w:rPr>
        <w:t>工艺计算×B</w:t>
      </w:r>
      <w:r>
        <w:rPr>
          <w:kern w:val="0"/>
          <w:position w:val="-22"/>
          <w:sz w:val="18"/>
          <w:szCs w:val="18"/>
        </w:rPr>
        <w:t>i</w:t>
      </w:r>
      <w:r>
        <w:rPr>
          <w:rFonts w:hint="eastAsia"/>
          <w:kern w:val="0"/>
          <w:position w:val="-22"/>
          <w:sz w:val="18"/>
          <w:szCs w:val="18"/>
        </w:rPr>
        <w:t>+图纸×C</w:t>
      </w:r>
      <w:r>
        <w:rPr>
          <w:kern w:val="0"/>
          <w:position w:val="-22"/>
          <w:sz w:val="18"/>
          <w:szCs w:val="18"/>
        </w:rPr>
        <w:t>i</w:t>
      </w:r>
      <w:r>
        <w:rPr>
          <w:rFonts w:hint="eastAsia"/>
          <w:kern w:val="0"/>
          <w:position w:val="-22"/>
          <w:sz w:val="18"/>
          <w:szCs w:val="18"/>
        </w:rPr>
        <w:t>+报告×Di</w:t>
      </w:r>
      <w:r>
        <w:rPr>
          <w:kern w:val="0"/>
          <w:position w:val="-22"/>
          <w:sz w:val="18"/>
          <w:szCs w:val="18"/>
        </w:rPr>
        <w:t>)</w:t>
      </w:r>
      <w:r>
        <w:rPr>
          <w:rFonts w:hint="eastAsia"/>
          <w:kern w:val="0"/>
          <w:position w:val="-22"/>
          <w:sz w:val="18"/>
          <w:szCs w:val="18"/>
        </w:rPr>
        <w:t>/</w:t>
      </w:r>
      <w:r>
        <w:rPr>
          <w:kern w:val="0"/>
          <w:position w:val="-22"/>
          <w:sz w:val="18"/>
          <w:szCs w:val="18"/>
        </w:rPr>
        <w:t>[ 100</w:t>
      </w:r>
      <w:r>
        <w:rPr>
          <w:rFonts w:hint="eastAsia"/>
          <w:kern w:val="0"/>
          <w:position w:val="-22"/>
          <w:sz w:val="18"/>
          <w:szCs w:val="18"/>
        </w:rPr>
        <w:t>×(</w:t>
      </w:r>
      <w:r>
        <w:rPr>
          <w:kern w:val="0"/>
          <w:position w:val="-22"/>
          <w:sz w:val="18"/>
          <w:szCs w:val="18"/>
        </w:rPr>
        <w:t>A</w:t>
      </w:r>
      <w:r>
        <w:rPr>
          <w:kern w:val="0"/>
          <w:position w:val="-22"/>
          <w:sz w:val="18"/>
          <w:szCs w:val="18"/>
          <w:vertAlign w:val="subscript"/>
        </w:rPr>
        <w:t>i</w:t>
      </w:r>
      <w:r>
        <w:rPr>
          <w:kern w:val="0"/>
          <w:position w:val="-22"/>
          <w:sz w:val="18"/>
          <w:szCs w:val="18"/>
        </w:rPr>
        <w:t>+B</w:t>
      </w:r>
      <w:r>
        <w:rPr>
          <w:kern w:val="0"/>
          <w:position w:val="-22"/>
          <w:sz w:val="18"/>
          <w:szCs w:val="18"/>
          <w:vertAlign w:val="subscript"/>
        </w:rPr>
        <w:t>i</w:t>
      </w:r>
      <w:r>
        <w:rPr>
          <w:kern w:val="0"/>
          <w:position w:val="-22"/>
          <w:sz w:val="18"/>
          <w:szCs w:val="18"/>
        </w:rPr>
        <w:t>+C</w:t>
      </w:r>
      <w:r>
        <w:rPr>
          <w:kern w:val="0"/>
          <w:position w:val="-22"/>
          <w:sz w:val="18"/>
          <w:szCs w:val="18"/>
          <w:vertAlign w:val="subscript"/>
        </w:rPr>
        <w:t>i</w:t>
      </w:r>
      <w:r>
        <w:rPr>
          <w:rFonts w:hint="eastAsia"/>
          <w:kern w:val="0"/>
          <w:position w:val="-22"/>
          <w:sz w:val="18"/>
          <w:szCs w:val="18"/>
        </w:rPr>
        <w:t>+D</w:t>
      </w:r>
      <w:r>
        <w:rPr>
          <w:kern w:val="0"/>
          <w:position w:val="-22"/>
          <w:sz w:val="18"/>
          <w:szCs w:val="18"/>
          <w:vertAlign w:val="subscript"/>
        </w:rPr>
        <w:t>i</w:t>
      </w:r>
      <w:r>
        <w:rPr>
          <w:kern w:val="0"/>
          <w:position w:val="-22"/>
          <w:sz w:val="18"/>
          <w:szCs w:val="18"/>
        </w:rPr>
        <w:t>)]</w:t>
      </w:r>
    </w:p>
    <w:p>
      <w:pPr>
        <w:spacing w:line="360" w:lineRule="auto"/>
        <w:rPr>
          <w:sz w:val="24"/>
          <w:szCs w:val="22"/>
        </w:rPr>
      </w:pPr>
      <w:r>
        <w:rPr>
          <w:sz w:val="24"/>
          <w:szCs w:val="22"/>
        </w:rPr>
        <w:t>式中：Ai=</w:t>
      </w:r>
      <w:r>
        <w:rPr>
          <w:rFonts w:hint="eastAsia"/>
          <w:sz w:val="24"/>
          <w:szCs w:val="22"/>
        </w:rPr>
        <w:t>设计方案</w:t>
      </w:r>
      <w:r>
        <w:rPr>
          <w:sz w:val="24"/>
          <w:szCs w:val="22"/>
        </w:rPr>
        <w:t>占总评成绩的权重×课程目标i在平时成绩中的权重，</w:t>
      </w:r>
    </w:p>
    <w:p>
      <w:pPr>
        <w:spacing w:line="360" w:lineRule="auto"/>
        <w:ind w:firstLine="720" w:firstLineChars="300"/>
        <w:rPr>
          <w:sz w:val="24"/>
          <w:szCs w:val="22"/>
        </w:rPr>
      </w:pPr>
      <w:r>
        <w:rPr>
          <w:sz w:val="24"/>
          <w:szCs w:val="22"/>
        </w:rPr>
        <w:t>Bi=</w:t>
      </w:r>
      <w:r>
        <w:rPr>
          <w:rFonts w:hint="eastAsia"/>
          <w:sz w:val="24"/>
          <w:szCs w:val="22"/>
        </w:rPr>
        <w:t>工艺计算</w:t>
      </w:r>
      <w:r>
        <w:rPr>
          <w:sz w:val="24"/>
          <w:szCs w:val="22"/>
        </w:rPr>
        <w:t>占总评成绩的权重×课程目标i在实</w:t>
      </w:r>
      <w:r>
        <w:rPr>
          <w:rFonts w:hint="eastAsia"/>
          <w:sz w:val="24"/>
          <w:szCs w:val="22"/>
        </w:rPr>
        <w:t>验</w:t>
      </w:r>
      <w:r>
        <w:rPr>
          <w:sz w:val="24"/>
          <w:szCs w:val="22"/>
        </w:rPr>
        <w:t>成绩中的权重，</w:t>
      </w:r>
    </w:p>
    <w:p>
      <w:pPr>
        <w:spacing w:line="360" w:lineRule="auto"/>
        <w:ind w:firstLine="720" w:firstLineChars="300"/>
        <w:rPr>
          <w:rFonts w:hint="eastAsia"/>
          <w:sz w:val="24"/>
          <w:szCs w:val="22"/>
        </w:rPr>
      </w:pPr>
      <w:r>
        <w:rPr>
          <w:sz w:val="24"/>
          <w:szCs w:val="22"/>
        </w:rPr>
        <w:t>Ci=</w:t>
      </w:r>
      <w:r>
        <w:rPr>
          <w:rFonts w:hint="eastAsia"/>
          <w:sz w:val="24"/>
          <w:szCs w:val="22"/>
        </w:rPr>
        <w:t>图纸</w:t>
      </w:r>
      <w:r>
        <w:rPr>
          <w:sz w:val="24"/>
          <w:szCs w:val="22"/>
        </w:rPr>
        <w:t>占总评成绩的权重×课程目标i在</w:t>
      </w:r>
      <w:r>
        <w:rPr>
          <w:rFonts w:hint="eastAsia"/>
          <w:sz w:val="24"/>
          <w:szCs w:val="22"/>
        </w:rPr>
        <w:t>期末</w:t>
      </w:r>
      <w:r>
        <w:rPr>
          <w:sz w:val="24"/>
          <w:szCs w:val="22"/>
        </w:rPr>
        <w:t>成绩中的权重</w:t>
      </w:r>
      <w:r>
        <w:rPr>
          <w:rFonts w:hint="eastAsia"/>
          <w:sz w:val="24"/>
          <w:szCs w:val="22"/>
        </w:rPr>
        <w:t>，</w:t>
      </w:r>
    </w:p>
    <w:p>
      <w:pPr>
        <w:spacing w:line="360" w:lineRule="auto"/>
        <w:ind w:firstLine="720" w:firstLineChars="300"/>
        <w:rPr>
          <w:rFonts w:hint="eastAsia"/>
          <w:sz w:val="24"/>
          <w:szCs w:val="22"/>
        </w:rPr>
      </w:pPr>
      <w:r>
        <w:rPr>
          <w:rFonts w:hint="eastAsia"/>
          <w:sz w:val="24"/>
          <w:szCs w:val="22"/>
        </w:rPr>
        <w:t>Di=报告</w:t>
      </w:r>
      <w:r>
        <w:rPr>
          <w:sz w:val="24"/>
          <w:szCs w:val="22"/>
        </w:rPr>
        <w:t>占总评成绩的权重×课程目标i在</w:t>
      </w:r>
      <w:r>
        <w:rPr>
          <w:rFonts w:hint="eastAsia"/>
          <w:sz w:val="24"/>
          <w:szCs w:val="22"/>
        </w:rPr>
        <w:t>期末</w:t>
      </w:r>
      <w:r>
        <w:rPr>
          <w:sz w:val="24"/>
          <w:szCs w:val="22"/>
        </w:rPr>
        <w:t>成绩中的权重</w:t>
      </w:r>
      <w:r>
        <w:rPr>
          <w:rFonts w:hint="eastAsia"/>
          <w:sz w:val="24"/>
          <w:szCs w:val="22"/>
        </w:rPr>
        <w:t>，</w:t>
      </w:r>
    </w:p>
    <w:p>
      <w:pPr>
        <w:spacing w:line="360" w:lineRule="auto"/>
        <w:ind w:firstLine="551" w:firstLineChars="196"/>
        <w:rPr>
          <w:rFonts w:hint="eastAsia"/>
          <w:b/>
          <w:sz w:val="28"/>
          <w:szCs w:val="28"/>
        </w:rPr>
      </w:pPr>
      <w:r>
        <w:rPr>
          <w:rFonts w:hint="eastAsia"/>
          <w:b/>
          <w:sz w:val="28"/>
          <w:szCs w:val="28"/>
        </w:rPr>
        <w:t>七、有关说明</w:t>
      </w:r>
    </w:p>
    <w:p>
      <w:pPr>
        <w:spacing w:line="360" w:lineRule="auto"/>
        <w:ind w:firstLine="482" w:firstLineChars="200"/>
        <w:rPr>
          <w:rFonts w:hint="eastAsia"/>
          <w:b/>
          <w:color w:val="000000"/>
          <w:sz w:val="24"/>
        </w:rPr>
      </w:pPr>
      <w:r>
        <w:rPr>
          <w:rFonts w:hint="eastAsia"/>
          <w:b/>
          <w:color w:val="000000"/>
          <w:sz w:val="24"/>
        </w:rPr>
        <w:t>（一）持续改进</w:t>
      </w:r>
    </w:p>
    <w:p>
      <w:pPr>
        <w:spacing w:line="360" w:lineRule="auto"/>
        <w:ind w:firstLine="480" w:firstLineChars="200"/>
        <w:rPr>
          <w:sz w:val="24"/>
          <w:szCs w:val="22"/>
        </w:rPr>
      </w:pPr>
      <w:r>
        <w:rPr>
          <w:sz w:val="24"/>
          <w:szCs w:val="22"/>
        </w:rPr>
        <w:t>本课程根据学生作业、课堂讨论、实验环节、平时考核情况和学生、教学督导等</w:t>
      </w:r>
      <w:r>
        <w:rPr>
          <w:rFonts w:hint="eastAsia"/>
          <w:sz w:val="24"/>
          <w:szCs w:val="22"/>
        </w:rPr>
        <w:t>的</w:t>
      </w:r>
      <w:r>
        <w:rPr>
          <w:sz w:val="24"/>
          <w:szCs w:val="22"/>
        </w:rPr>
        <w:t>反馈，及时对教学中</w:t>
      </w:r>
      <w:r>
        <w:rPr>
          <w:rFonts w:hint="eastAsia"/>
          <w:sz w:val="24"/>
          <w:szCs w:val="22"/>
        </w:rPr>
        <w:t>的</w:t>
      </w:r>
      <w:r>
        <w:rPr>
          <w:sz w:val="24"/>
          <w:szCs w:val="22"/>
        </w:rPr>
        <w:t>不足之处进行改进，并在下一轮课程教学中</w:t>
      </w:r>
      <w:r>
        <w:rPr>
          <w:rFonts w:hint="eastAsia"/>
          <w:sz w:val="24"/>
          <w:szCs w:val="22"/>
        </w:rPr>
        <w:t>整改完善</w:t>
      </w:r>
      <w:r>
        <w:rPr>
          <w:sz w:val="24"/>
          <w:szCs w:val="22"/>
        </w:rPr>
        <w:t>，确保相应毕业要求指标点达成。</w:t>
      </w:r>
    </w:p>
    <w:p>
      <w:pPr>
        <w:spacing w:line="360" w:lineRule="auto"/>
        <w:ind w:firstLine="482" w:firstLineChars="200"/>
        <w:rPr>
          <w:rFonts w:hint="eastAsia"/>
          <w:b/>
          <w:color w:val="000000"/>
          <w:sz w:val="24"/>
        </w:rPr>
      </w:pPr>
      <w:r>
        <w:rPr>
          <w:rFonts w:hint="eastAsia"/>
          <w:b/>
          <w:color w:val="000000"/>
          <w:sz w:val="24"/>
        </w:rPr>
        <w:t>（二）</w:t>
      </w:r>
      <w:r>
        <w:rPr>
          <w:b/>
          <w:color w:val="000000"/>
          <w:sz w:val="24"/>
        </w:rPr>
        <w:t>参考书目及学习资料</w:t>
      </w:r>
    </w:p>
    <w:p>
      <w:pPr>
        <w:spacing w:line="360" w:lineRule="auto"/>
        <w:rPr>
          <w:rFonts w:hint="eastAsia"/>
          <w:b/>
          <w:szCs w:val="21"/>
        </w:rPr>
      </w:pPr>
      <w:r>
        <w:rPr>
          <w:rFonts w:hint="eastAsia"/>
          <w:sz w:val="24"/>
        </w:rPr>
        <w:t>谭天恩         化工原理            北京：化学工业出版社</w:t>
      </w:r>
    </w:p>
    <w:p>
      <w:pPr>
        <w:spacing w:line="360" w:lineRule="auto"/>
        <w:ind w:left="5460" w:firstLine="420"/>
        <w:rPr>
          <w:rFonts w:hint="eastAsia"/>
          <w:kern w:val="0"/>
          <w:sz w:val="24"/>
          <w:szCs w:val="21"/>
        </w:rPr>
      </w:pPr>
      <w:r>
        <w:rPr>
          <w:rFonts w:hint="eastAsia"/>
          <w:kern w:val="0"/>
          <w:sz w:val="24"/>
          <w:szCs w:val="21"/>
        </w:rPr>
        <w:t>执笔人： 张震威</w:t>
      </w:r>
    </w:p>
    <w:p>
      <w:pPr>
        <w:spacing w:line="360" w:lineRule="auto"/>
        <w:ind w:left="5460" w:firstLine="420"/>
        <w:rPr>
          <w:rFonts w:hint="eastAsia" w:eastAsia="宋体"/>
          <w:kern w:val="0"/>
          <w:sz w:val="24"/>
          <w:szCs w:val="21"/>
          <w:lang w:eastAsia="zh-CN"/>
        </w:rPr>
      </w:pPr>
      <w:r>
        <w:rPr>
          <w:rFonts w:hint="eastAsia"/>
          <w:kern w:val="0"/>
          <w:sz w:val="24"/>
          <w:szCs w:val="21"/>
        </w:rPr>
        <w:t>审定人：</w:t>
      </w:r>
      <w:r>
        <w:rPr>
          <w:rFonts w:hint="eastAsia"/>
          <w:kern w:val="0"/>
          <w:sz w:val="24"/>
          <w:szCs w:val="21"/>
          <w:lang w:eastAsia="zh-CN"/>
        </w:rPr>
        <w:t>魏雪姣</w:t>
      </w:r>
    </w:p>
    <w:p>
      <w:pPr>
        <w:spacing w:line="360" w:lineRule="auto"/>
        <w:ind w:left="5460" w:firstLine="420"/>
        <w:rPr>
          <w:rFonts w:hint="eastAsia" w:eastAsia="宋体"/>
          <w:sz w:val="24"/>
          <w:lang w:eastAsia="zh-CN"/>
        </w:rPr>
      </w:pPr>
      <w:r>
        <w:rPr>
          <w:rFonts w:hint="eastAsia"/>
          <w:kern w:val="0"/>
          <w:sz w:val="24"/>
          <w:szCs w:val="21"/>
        </w:rPr>
        <w:t>批准人：</w:t>
      </w:r>
      <w:r>
        <w:rPr>
          <w:rFonts w:hint="eastAsia"/>
          <w:kern w:val="0"/>
          <w:sz w:val="24"/>
          <w:szCs w:val="21"/>
          <w:lang w:eastAsia="zh-CN"/>
        </w:rPr>
        <w:t>吴泽颖</w:t>
      </w:r>
    </w:p>
    <w:p>
      <w:pPr>
        <w:spacing w:line="360" w:lineRule="auto"/>
        <w:rPr>
          <w:rFonts w:hint="eastAsia"/>
          <w:kern w:val="0"/>
          <w:sz w:val="24"/>
          <w:szCs w:val="21"/>
          <w:lang w:val="en-US" w:eastAsia="zh-CN"/>
        </w:rPr>
      </w:pPr>
      <w:r>
        <w:rPr>
          <w:rFonts w:hint="eastAsia"/>
          <w:sz w:val="24"/>
        </w:rPr>
        <w:t xml:space="preserve">                                                 </w:t>
      </w:r>
      <w:r>
        <w:rPr>
          <w:rFonts w:hint="eastAsia"/>
          <w:kern w:val="0"/>
          <w:sz w:val="24"/>
          <w:szCs w:val="21"/>
        </w:rPr>
        <w:t>批准时间：</w:t>
      </w:r>
      <w:r>
        <w:rPr>
          <w:rFonts w:hint="eastAsia"/>
          <w:kern w:val="0"/>
          <w:sz w:val="24"/>
          <w:szCs w:val="21"/>
          <w:lang w:val="en-US" w:eastAsia="zh-CN"/>
        </w:rPr>
        <w:t>2021.9.1</w:t>
      </w:r>
    </w:p>
    <w:p>
      <w:pPr>
        <w:spacing w:line="360" w:lineRule="auto"/>
        <w:rPr>
          <w:rFonts w:hint="eastAsia"/>
          <w:kern w:val="0"/>
          <w:sz w:val="24"/>
          <w:szCs w:val="21"/>
          <w:lang w:val="en-US" w:eastAsia="zh-CN"/>
        </w:rPr>
      </w:pPr>
    </w:p>
    <w:p>
      <w:pPr>
        <w:spacing w:line="360" w:lineRule="auto"/>
        <w:rPr>
          <w:rFonts w:hint="eastAsia"/>
          <w:kern w:val="0"/>
          <w:sz w:val="24"/>
          <w:szCs w:val="21"/>
          <w:lang w:val="en-US" w:eastAsia="zh-CN"/>
        </w:rPr>
      </w:pPr>
    </w:p>
    <w:p>
      <w:pPr>
        <w:spacing w:line="360" w:lineRule="auto"/>
        <w:rPr>
          <w:rFonts w:hint="eastAsia"/>
          <w:kern w:val="0"/>
          <w:sz w:val="24"/>
          <w:szCs w:val="21"/>
          <w:lang w:val="en-US" w:eastAsia="zh-CN"/>
        </w:rPr>
      </w:pPr>
    </w:p>
    <w:p>
      <w:pPr>
        <w:spacing w:line="360" w:lineRule="auto"/>
        <w:rPr>
          <w:rFonts w:hint="eastAsia"/>
          <w:kern w:val="0"/>
          <w:sz w:val="24"/>
          <w:szCs w:val="21"/>
          <w:lang w:val="en-US" w:eastAsia="zh-CN"/>
        </w:rPr>
      </w:pPr>
    </w:p>
    <w:p>
      <w:pPr>
        <w:spacing w:line="360" w:lineRule="auto"/>
        <w:rPr>
          <w:rFonts w:hint="eastAsia"/>
          <w:kern w:val="0"/>
          <w:sz w:val="24"/>
          <w:szCs w:val="21"/>
          <w:lang w:val="en-US" w:eastAsia="zh-CN"/>
        </w:rPr>
      </w:pPr>
    </w:p>
    <w:p>
      <w:pPr>
        <w:spacing w:line="360" w:lineRule="auto"/>
        <w:rPr>
          <w:rFonts w:hint="eastAsia"/>
          <w:kern w:val="0"/>
          <w:sz w:val="24"/>
          <w:szCs w:val="21"/>
          <w:lang w:val="en-US" w:eastAsia="zh-CN"/>
        </w:rPr>
      </w:pPr>
    </w:p>
    <w:p>
      <w:pPr>
        <w:spacing w:line="360" w:lineRule="auto"/>
        <w:rPr>
          <w:rFonts w:hint="eastAsia"/>
          <w:kern w:val="0"/>
          <w:sz w:val="24"/>
          <w:szCs w:val="21"/>
          <w:lang w:val="en-US" w:eastAsia="zh-CN"/>
        </w:rPr>
      </w:pPr>
    </w:p>
    <w:p>
      <w:pPr>
        <w:spacing w:line="360" w:lineRule="auto"/>
        <w:rPr>
          <w:rFonts w:hint="eastAsia"/>
          <w:kern w:val="0"/>
          <w:sz w:val="24"/>
          <w:szCs w:val="21"/>
          <w:lang w:val="en-US" w:eastAsia="zh-CN"/>
        </w:rPr>
      </w:pPr>
    </w:p>
    <w:p>
      <w:pPr>
        <w:spacing w:line="360" w:lineRule="auto"/>
        <w:rPr>
          <w:rFonts w:hint="eastAsia"/>
          <w:kern w:val="0"/>
          <w:sz w:val="24"/>
          <w:szCs w:val="21"/>
          <w:lang w:val="en-US" w:eastAsia="zh-CN"/>
        </w:rPr>
      </w:pPr>
    </w:p>
    <w:p>
      <w:pPr>
        <w:spacing w:line="360" w:lineRule="auto"/>
        <w:rPr>
          <w:rFonts w:hint="eastAsia"/>
          <w:kern w:val="0"/>
          <w:sz w:val="24"/>
          <w:szCs w:val="21"/>
          <w:lang w:val="en-US" w:eastAsia="zh-CN"/>
        </w:rPr>
      </w:pPr>
    </w:p>
    <w:p>
      <w:pPr>
        <w:spacing w:line="360" w:lineRule="auto"/>
        <w:rPr>
          <w:rFonts w:hint="eastAsia"/>
          <w:kern w:val="0"/>
          <w:sz w:val="24"/>
          <w:szCs w:val="21"/>
          <w:lang w:val="en-US" w:eastAsia="zh-CN"/>
        </w:rPr>
      </w:pPr>
    </w:p>
    <w:p>
      <w:pPr>
        <w:spacing w:line="360" w:lineRule="auto"/>
        <w:rPr>
          <w:rFonts w:hint="eastAsia"/>
          <w:kern w:val="0"/>
          <w:sz w:val="24"/>
          <w:szCs w:val="21"/>
          <w:lang w:val="en-US" w:eastAsia="zh-CN"/>
        </w:rPr>
      </w:pPr>
    </w:p>
    <w:p>
      <w:pPr>
        <w:pStyle w:val="3"/>
        <w:bidi w:val="0"/>
        <w:jc w:val="center"/>
      </w:pPr>
      <w:bookmarkStart w:id="308" w:name="_Toc29149"/>
      <w:bookmarkStart w:id="309" w:name="_Toc23896"/>
      <w:r>
        <w:rPr>
          <w:rFonts w:hint="eastAsia"/>
        </w:rPr>
        <w:t>生产实习</w:t>
      </w:r>
      <w:r>
        <w:t>教学大纲</w:t>
      </w:r>
      <w:bookmarkEnd w:id="308"/>
      <w:bookmarkEnd w:id="309"/>
    </w:p>
    <w:p>
      <w:pPr>
        <w:spacing w:line="312" w:lineRule="auto"/>
        <w:jc w:val="center"/>
        <w:rPr>
          <w:b/>
          <w:bCs/>
          <w:sz w:val="30"/>
        </w:rPr>
      </w:pPr>
      <w:r>
        <w:rPr>
          <w:b/>
          <w:bCs/>
          <w:sz w:val="30"/>
        </w:rPr>
        <w:t>（</w:t>
      </w:r>
      <w:r>
        <w:rPr>
          <w:rFonts w:hint="eastAsia"/>
          <w:b/>
          <w:bCs/>
          <w:sz w:val="30"/>
        </w:rPr>
        <w:t>C</w:t>
      </w:r>
      <w:r>
        <w:rPr>
          <w:b/>
          <w:bCs/>
          <w:sz w:val="30"/>
        </w:rPr>
        <w:t>hemical Production Practice）</w:t>
      </w:r>
    </w:p>
    <w:p>
      <w:pPr>
        <w:spacing w:line="440" w:lineRule="exact"/>
        <w:jc w:val="center"/>
        <w:rPr>
          <w:sz w:val="24"/>
        </w:rPr>
      </w:pPr>
    </w:p>
    <w:p>
      <w:pPr>
        <w:spacing w:line="360" w:lineRule="auto"/>
        <w:ind w:firstLine="551" w:firstLineChars="196"/>
        <w:rPr>
          <w:rFonts w:hint="eastAsia"/>
          <w:b/>
          <w:sz w:val="28"/>
          <w:szCs w:val="28"/>
        </w:rPr>
      </w:pPr>
      <w:r>
        <w:rPr>
          <w:b/>
          <w:sz w:val="28"/>
          <w:szCs w:val="28"/>
        </w:rPr>
        <w:t>一、课程概况</w:t>
      </w:r>
    </w:p>
    <w:p>
      <w:pPr>
        <w:spacing w:line="360" w:lineRule="auto"/>
        <w:ind w:firstLine="482" w:firstLineChars="200"/>
        <w:rPr>
          <w:b/>
          <w:sz w:val="28"/>
          <w:szCs w:val="28"/>
        </w:rPr>
      </w:pPr>
      <w:r>
        <w:rPr>
          <w:rFonts w:ascii="宋体" w:hAnsi="宋体"/>
          <w:b/>
          <w:bCs/>
          <w:kern w:val="0"/>
          <w:sz w:val="24"/>
        </w:rPr>
        <w:t>课程代码</w:t>
      </w:r>
      <w:r>
        <w:rPr>
          <w:rFonts w:ascii="宋体" w:hAnsi="宋体"/>
          <w:b/>
          <w:kern w:val="0"/>
          <w:sz w:val="24"/>
        </w:rPr>
        <w:t>：</w:t>
      </w:r>
      <w:r>
        <w:rPr>
          <w:rFonts w:hint="eastAsia" w:ascii="宋体" w:hAnsi="宋体"/>
          <w:b/>
          <w:kern w:val="0"/>
          <w:sz w:val="24"/>
        </w:rPr>
        <w:t>2</w:t>
      </w:r>
      <w:r>
        <w:rPr>
          <w:rFonts w:ascii="宋体" w:hAnsi="宋体"/>
          <w:b/>
          <w:kern w:val="0"/>
          <w:sz w:val="24"/>
        </w:rPr>
        <w:t>501815</w:t>
      </w:r>
    </w:p>
    <w:p>
      <w:pPr>
        <w:spacing w:line="360" w:lineRule="auto"/>
        <w:ind w:firstLine="482" w:firstLineChars="200"/>
        <w:rPr>
          <w:rFonts w:ascii="宋体" w:hAnsi="宋体"/>
          <w:b/>
          <w:kern w:val="0"/>
          <w:sz w:val="24"/>
        </w:rPr>
      </w:pPr>
      <w:r>
        <w:rPr>
          <w:rFonts w:ascii="宋体" w:hAnsi="宋体"/>
          <w:b/>
          <w:bCs/>
          <w:kern w:val="0"/>
          <w:sz w:val="24"/>
        </w:rPr>
        <w:t>学    分</w:t>
      </w:r>
      <w:r>
        <w:rPr>
          <w:rFonts w:ascii="宋体" w:hAnsi="宋体"/>
          <w:b/>
          <w:kern w:val="0"/>
          <w:sz w:val="24"/>
        </w:rPr>
        <w:t>：10</w:t>
      </w:r>
    </w:p>
    <w:p>
      <w:pPr>
        <w:spacing w:line="360" w:lineRule="auto"/>
        <w:ind w:firstLine="482" w:firstLineChars="200"/>
        <w:rPr>
          <w:rFonts w:hint="eastAsia" w:ascii="宋体" w:hAnsi="宋体"/>
          <w:kern w:val="0"/>
          <w:sz w:val="24"/>
        </w:rPr>
      </w:pPr>
      <w:r>
        <w:rPr>
          <w:rFonts w:ascii="宋体" w:hAnsi="宋体"/>
          <w:b/>
          <w:bCs/>
          <w:kern w:val="0"/>
          <w:sz w:val="24"/>
        </w:rPr>
        <w:t>学    时</w:t>
      </w:r>
      <w:r>
        <w:rPr>
          <w:rFonts w:ascii="宋体" w:hAnsi="宋体"/>
          <w:b/>
          <w:kern w:val="0"/>
          <w:sz w:val="24"/>
        </w:rPr>
        <w:t>：</w:t>
      </w:r>
      <w:r>
        <w:rPr>
          <w:rFonts w:ascii="宋体" w:hAnsi="宋体"/>
          <w:bCs/>
          <w:kern w:val="0"/>
          <w:sz w:val="24"/>
        </w:rPr>
        <w:t>10</w:t>
      </w:r>
      <w:r>
        <w:rPr>
          <w:rFonts w:hint="eastAsia" w:ascii="宋体" w:hAnsi="宋体"/>
          <w:bCs/>
          <w:kern w:val="0"/>
          <w:sz w:val="24"/>
        </w:rPr>
        <w:t>周</w:t>
      </w:r>
    </w:p>
    <w:p>
      <w:pPr>
        <w:spacing w:line="360" w:lineRule="auto"/>
        <w:ind w:firstLine="482" w:firstLineChars="200"/>
        <w:rPr>
          <w:rFonts w:ascii="宋体" w:hAnsi="宋体"/>
          <w:b/>
          <w:bCs/>
          <w:kern w:val="0"/>
          <w:sz w:val="24"/>
        </w:rPr>
      </w:pPr>
      <w:r>
        <w:rPr>
          <w:rFonts w:ascii="宋体" w:hAnsi="宋体"/>
          <w:b/>
          <w:bCs/>
          <w:kern w:val="0"/>
          <w:sz w:val="24"/>
        </w:rPr>
        <w:t>先修课程</w:t>
      </w:r>
      <w:r>
        <w:rPr>
          <w:rFonts w:ascii="宋体" w:hAnsi="宋体"/>
          <w:b/>
          <w:kern w:val="0"/>
          <w:sz w:val="24"/>
        </w:rPr>
        <w:t>：</w:t>
      </w:r>
      <w:r>
        <w:rPr>
          <w:rFonts w:hint="eastAsia" w:ascii="宋体" w:hAnsi="宋体"/>
          <w:b/>
          <w:kern w:val="0"/>
          <w:sz w:val="24"/>
        </w:rPr>
        <w:t>化工原理、化学反应工程、化工机械与设备、化工工艺学、化工过程与控制等</w:t>
      </w:r>
    </w:p>
    <w:p>
      <w:pPr>
        <w:spacing w:line="360" w:lineRule="auto"/>
        <w:ind w:firstLine="482" w:firstLineChars="200"/>
        <w:rPr>
          <w:rFonts w:ascii="宋体" w:hAnsi="宋体"/>
          <w:kern w:val="0"/>
          <w:sz w:val="24"/>
        </w:rPr>
      </w:pPr>
      <w:r>
        <w:rPr>
          <w:rFonts w:ascii="宋体" w:hAnsi="宋体"/>
          <w:b/>
          <w:bCs/>
          <w:kern w:val="0"/>
          <w:sz w:val="24"/>
        </w:rPr>
        <w:t>适用专业</w:t>
      </w:r>
      <w:r>
        <w:rPr>
          <w:rFonts w:ascii="宋体" w:hAnsi="宋体"/>
          <w:kern w:val="0"/>
          <w:sz w:val="24"/>
        </w:rPr>
        <w:t>：</w:t>
      </w:r>
      <w:r>
        <w:rPr>
          <w:rFonts w:hint="eastAsia" w:ascii="宋体" w:hAnsi="宋体"/>
          <w:kern w:val="0"/>
          <w:sz w:val="24"/>
        </w:rPr>
        <w:t>化学工程与工艺、应用化学等</w:t>
      </w:r>
      <w:r>
        <w:rPr>
          <w:rFonts w:ascii="宋体" w:hAnsi="宋体"/>
          <w:kern w:val="0"/>
          <w:sz w:val="24"/>
        </w:rPr>
        <w:t xml:space="preserve">                          </w:t>
      </w:r>
    </w:p>
    <w:p>
      <w:pPr>
        <w:spacing w:line="360" w:lineRule="auto"/>
        <w:ind w:firstLine="482" w:firstLineChars="200"/>
        <w:rPr>
          <w:rFonts w:ascii="宋体" w:hAnsi="宋体"/>
          <w:kern w:val="0"/>
          <w:sz w:val="24"/>
        </w:rPr>
      </w:pPr>
      <w:r>
        <w:rPr>
          <w:rFonts w:ascii="宋体" w:hAnsi="宋体"/>
          <w:b/>
          <w:bCs/>
          <w:kern w:val="0"/>
          <w:sz w:val="24"/>
        </w:rPr>
        <w:t>课程归口：</w:t>
      </w:r>
      <w:r>
        <w:rPr>
          <w:rFonts w:hint="eastAsia" w:ascii="宋体" w:hAnsi="宋体"/>
          <w:bCs/>
          <w:kern w:val="0"/>
          <w:sz w:val="24"/>
        </w:rPr>
        <w:t>化工与材料</w:t>
      </w:r>
      <w:r>
        <w:rPr>
          <w:rFonts w:ascii="宋体" w:hAnsi="宋体"/>
          <w:kern w:val="0"/>
          <w:sz w:val="24"/>
        </w:rPr>
        <w:t>学院</w:t>
      </w:r>
    </w:p>
    <w:p>
      <w:pPr>
        <w:spacing w:line="360" w:lineRule="auto"/>
        <w:ind w:firstLine="482" w:firstLineChars="200"/>
        <w:rPr>
          <w:rFonts w:hint="eastAsia" w:ascii="宋体" w:hAnsi="宋体"/>
          <w:color w:val="000000"/>
          <w:kern w:val="0"/>
          <w:sz w:val="24"/>
        </w:rPr>
      </w:pPr>
      <w:r>
        <w:rPr>
          <w:b/>
          <w:bCs/>
          <w:color w:val="000000"/>
          <w:kern w:val="0"/>
          <w:sz w:val="24"/>
        </w:rPr>
        <w:t>课程团队：吴泽颖</w:t>
      </w:r>
      <w:r>
        <w:rPr>
          <w:rFonts w:hint="eastAsia"/>
          <w:b/>
          <w:bCs/>
          <w:color w:val="000000"/>
          <w:kern w:val="0"/>
          <w:sz w:val="24"/>
        </w:rPr>
        <w:t>、魏雪娇、</w:t>
      </w:r>
      <w:r>
        <w:rPr>
          <w:b/>
          <w:bCs/>
          <w:color w:val="000000"/>
          <w:kern w:val="0"/>
          <w:sz w:val="24"/>
        </w:rPr>
        <w:t>周品</w:t>
      </w:r>
      <w:r>
        <w:rPr>
          <w:rFonts w:hint="eastAsia"/>
          <w:b/>
          <w:bCs/>
          <w:color w:val="000000"/>
          <w:kern w:val="0"/>
          <w:sz w:val="24"/>
        </w:rPr>
        <w:t>、</w:t>
      </w:r>
      <w:r>
        <w:rPr>
          <w:b/>
          <w:bCs/>
          <w:color w:val="000000"/>
          <w:kern w:val="0"/>
          <w:sz w:val="24"/>
        </w:rPr>
        <w:t>柏寄荣</w:t>
      </w:r>
    </w:p>
    <w:p>
      <w:pPr>
        <w:spacing w:line="360" w:lineRule="auto"/>
        <w:ind w:firstLine="482" w:firstLineChars="200"/>
        <w:rPr>
          <w:sz w:val="24"/>
        </w:rPr>
      </w:pPr>
      <w:r>
        <w:rPr>
          <w:rFonts w:hint="eastAsia" w:ascii="宋体" w:hAnsi="宋体"/>
          <w:b/>
          <w:bCs/>
          <w:kern w:val="0"/>
          <w:sz w:val="24"/>
        </w:rPr>
        <w:t>课程的性质与任务：</w:t>
      </w:r>
      <w:r>
        <w:rPr>
          <w:rFonts w:hint="eastAsia"/>
          <w:kern w:val="0"/>
          <w:sz w:val="24"/>
        </w:rPr>
        <w:t>本</w:t>
      </w:r>
      <w:r>
        <w:rPr>
          <w:kern w:val="0"/>
          <w:sz w:val="24"/>
        </w:rPr>
        <w:t>课程设计是</w:t>
      </w:r>
      <w:r>
        <w:rPr>
          <w:rFonts w:hint="eastAsia" w:ascii="宋体" w:hAnsi="宋体"/>
          <w:kern w:val="0"/>
          <w:sz w:val="24"/>
        </w:rPr>
        <w:t>化学工程与工艺、应用化学</w:t>
      </w:r>
      <w:r>
        <w:rPr>
          <w:kern w:val="0"/>
          <w:sz w:val="24"/>
        </w:rPr>
        <w:t>专业</w:t>
      </w:r>
      <w:r>
        <w:rPr>
          <w:rFonts w:hint="eastAsia"/>
          <w:kern w:val="0"/>
          <w:sz w:val="24"/>
        </w:rPr>
        <w:t>的集中实践性教学环节，是培养应用型人才的重要途径</w:t>
      </w:r>
      <w:r>
        <w:rPr>
          <w:rFonts w:hint="eastAsia" w:ascii="宋体" w:hAnsi="宋体"/>
          <w:bCs/>
          <w:kern w:val="0"/>
          <w:sz w:val="24"/>
        </w:rPr>
        <w:t>。</w:t>
      </w:r>
      <w:r>
        <w:rPr>
          <w:rFonts w:hint="eastAsia"/>
          <w:sz w:val="24"/>
        </w:rPr>
        <w:t>在学习专业基础课和主干课的基础上，学生进入医药化工企业或过程工程相关企业参加实际生产锻炼。在生产实习中，对某一特定的生产车间或特定产品的生产工艺及生产装置进行全面的了解，掌握该车间或装置的生产工艺和流程，获得该生产工艺的生产实践知识，提高学生的业务素质、意志品质和竞争能力，加深对医药化工事业的理解和热爱，为毕业后的实际工作奠定良好的基础</w:t>
      </w:r>
      <w:r>
        <w:rPr>
          <w:rFonts w:hint="eastAsia"/>
          <w:kern w:val="0"/>
          <w:sz w:val="24"/>
        </w:rPr>
        <w:t>。</w:t>
      </w:r>
    </w:p>
    <w:p>
      <w:pPr>
        <w:spacing w:line="360" w:lineRule="auto"/>
        <w:ind w:firstLine="482"/>
        <w:jc w:val="left"/>
        <w:rPr>
          <w:b/>
          <w:sz w:val="28"/>
          <w:szCs w:val="28"/>
        </w:rPr>
      </w:pPr>
      <w:r>
        <w:rPr>
          <w:b/>
          <w:sz w:val="28"/>
          <w:szCs w:val="28"/>
        </w:rPr>
        <w:t>二、课程目标及对毕业要求观测点的支撑</w:t>
      </w:r>
    </w:p>
    <w:p>
      <w:pPr>
        <w:spacing w:line="360" w:lineRule="auto"/>
        <w:rPr>
          <w:color w:val="000000"/>
          <w:sz w:val="24"/>
        </w:rPr>
      </w:pPr>
    </w:p>
    <w:tbl>
      <w:tblPr>
        <w:tblStyle w:val="1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118"/>
        <w:gridCol w:w="2292"/>
        <w:gridCol w:w="3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38" w:type="dxa"/>
            <w:shd w:val="clear" w:color="auto" w:fill="auto"/>
            <w:noWrap/>
            <w:vAlign w:val="center"/>
          </w:tcPr>
          <w:p>
            <w:pPr>
              <w:widowControl/>
              <w:jc w:val="center"/>
              <w:rPr>
                <w:b/>
                <w:bCs/>
                <w:kern w:val="0"/>
                <w:szCs w:val="21"/>
              </w:rPr>
            </w:pPr>
            <w:r>
              <w:rPr>
                <w:b/>
                <w:bCs/>
                <w:kern w:val="0"/>
                <w:szCs w:val="21"/>
              </w:rPr>
              <w:t>序号</w:t>
            </w:r>
          </w:p>
        </w:tc>
        <w:tc>
          <w:tcPr>
            <w:tcW w:w="3118" w:type="dxa"/>
            <w:shd w:val="clear" w:color="auto" w:fill="auto"/>
            <w:noWrap/>
            <w:vAlign w:val="center"/>
          </w:tcPr>
          <w:p>
            <w:pPr>
              <w:widowControl/>
              <w:jc w:val="center"/>
              <w:rPr>
                <w:b/>
                <w:bCs/>
                <w:kern w:val="0"/>
                <w:szCs w:val="21"/>
              </w:rPr>
            </w:pPr>
            <w:r>
              <w:rPr>
                <w:b/>
                <w:bCs/>
                <w:kern w:val="0"/>
                <w:szCs w:val="21"/>
              </w:rPr>
              <w:t>课程目标</w:t>
            </w:r>
          </w:p>
          <w:p>
            <w:pPr>
              <w:widowControl/>
              <w:jc w:val="center"/>
              <w:rPr>
                <w:b/>
                <w:bCs/>
                <w:kern w:val="0"/>
                <w:szCs w:val="21"/>
              </w:rPr>
            </w:pPr>
          </w:p>
        </w:tc>
        <w:tc>
          <w:tcPr>
            <w:tcW w:w="2292" w:type="dxa"/>
            <w:shd w:val="clear" w:color="auto" w:fill="auto"/>
            <w:noWrap/>
            <w:vAlign w:val="center"/>
          </w:tcPr>
          <w:p>
            <w:pPr>
              <w:widowControl/>
              <w:jc w:val="center"/>
              <w:rPr>
                <w:b/>
                <w:bCs/>
                <w:kern w:val="0"/>
                <w:szCs w:val="21"/>
              </w:rPr>
            </w:pPr>
            <w:r>
              <w:rPr>
                <w:b/>
                <w:bCs/>
                <w:kern w:val="0"/>
                <w:szCs w:val="21"/>
              </w:rPr>
              <w:t>支撑毕业要求观测点</w:t>
            </w:r>
          </w:p>
        </w:tc>
        <w:tc>
          <w:tcPr>
            <w:tcW w:w="3066" w:type="dxa"/>
            <w:shd w:val="clear" w:color="auto" w:fill="auto"/>
            <w:noWrap/>
            <w:vAlign w:val="center"/>
          </w:tcPr>
          <w:p>
            <w:pPr>
              <w:widowControl/>
              <w:jc w:val="center"/>
              <w:rPr>
                <w:b/>
                <w:bCs/>
                <w:kern w:val="0"/>
                <w:szCs w:val="21"/>
              </w:rPr>
            </w:pPr>
            <w:r>
              <w:rPr>
                <w:b/>
                <w:bCs/>
                <w:kern w:val="0"/>
                <w:szCs w:val="21"/>
              </w:rPr>
              <w:t>毕业要求</w:t>
            </w:r>
          </w:p>
          <w:p>
            <w:pPr>
              <w:widowControl/>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38" w:type="dxa"/>
            <w:shd w:val="clear" w:color="auto" w:fill="auto"/>
            <w:noWrap/>
            <w:vAlign w:val="center"/>
          </w:tcPr>
          <w:p>
            <w:pPr>
              <w:widowControl/>
              <w:jc w:val="center"/>
              <w:rPr>
                <w:kern w:val="0"/>
                <w:szCs w:val="21"/>
              </w:rPr>
            </w:pPr>
            <w:r>
              <w:rPr>
                <w:kern w:val="0"/>
                <w:szCs w:val="21"/>
              </w:rPr>
              <w:t>1</w:t>
            </w:r>
          </w:p>
        </w:tc>
        <w:tc>
          <w:tcPr>
            <w:tcW w:w="3118" w:type="dxa"/>
            <w:shd w:val="clear" w:color="auto" w:fill="auto"/>
            <w:noWrap/>
            <w:vAlign w:val="center"/>
          </w:tcPr>
          <w:p>
            <w:pPr>
              <w:rPr>
                <w:kern w:val="0"/>
                <w:szCs w:val="21"/>
              </w:rPr>
            </w:pPr>
            <w:r>
              <w:rPr>
                <w:b/>
                <w:kern w:val="0"/>
                <w:szCs w:val="21"/>
              </w:rPr>
              <w:t>目标1：</w:t>
            </w:r>
            <w:r>
              <w:rPr>
                <w:rFonts w:hint="eastAsia"/>
                <w:szCs w:val="21"/>
              </w:rPr>
              <w:t>运用所学知识观察分析和解决实际问题，培养学生独立思考、勇于探索、积极进取的创新精神</w:t>
            </w:r>
          </w:p>
        </w:tc>
        <w:tc>
          <w:tcPr>
            <w:tcW w:w="2292" w:type="dxa"/>
            <w:shd w:val="clear" w:color="auto" w:fill="auto"/>
            <w:noWrap/>
            <w:vAlign w:val="center"/>
          </w:tcPr>
          <w:p>
            <w:pPr>
              <w:widowControl/>
            </w:pPr>
            <w:r>
              <w:rPr>
                <w:b/>
                <w:szCs w:val="21"/>
              </w:rPr>
              <w:t>观测点</w:t>
            </w:r>
            <w:r>
              <w:t>5</w:t>
            </w:r>
            <w:r>
              <w:rPr>
                <w:rFonts w:hint="eastAsia"/>
              </w:rPr>
              <w:t>-</w:t>
            </w:r>
            <w:r>
              <w:t>1</w:t>
            </w:r>
            <w:r>
              <w:rPr>
                <w:rFonts w:hint="eastAsia"/>
              </w:rPr>
              <w:t>：</w:t>
            </w:r>
            <w:r>
              <w:rPr>
                <w:rFonts w:hint="eastAsia" w:hAnsi="宋体"/>
                <w:kern w:val="0"/>
                <w:szCs w:val="21"/>
              </w:rPr>
              <w:t>了解应用化学专业常用的现代仪器、信息技术工具、</w:t>
            </w:r>
            <w:r>
              <w:rPr>
                <w:kern w:val="0"/>
                <w:szCs w:val="21"/>
              </w:rPr>
              <w:t xml:space="preserve"> </w:t>
            </w:r>
            <w:r>
              <w:rPr>
                <w:rFonts w:hint="eastAsia" w:hAnsi="宋体"/>
                <w:kern w:val="0"/>
                <w:szCs w:val="21"/>
              </w:rPr>
              <w:t>工程工具和模拟软件的使用原理和方法，理解其局限性</w:t>
            </w:r>
            <w:r>
              <w:rPr>
                <w:rFonts w:hint="eastAsia"/>
              </w:rPr>
              <w:t>。</w:t>
            </w:r>
          </w:p>
          <w:p>
            <w:pPr>
              <w:widowControl/>
            </w:pPr>
            <w:r>
              <w:rPr>
                <w:b/>
                <w:szCs w:val="21"/>
              </w:rPr>
              <w:t>观测点</w:t>
            </w:r>
            <w:r>
              <w:t>6</w:t>
            </w:r>
            <w:r>
              <w:rPr>
                <w:rFonts w:hint="eastAsia"/>
              </w:rPr>
              <w:t>-</w:t>
            </w:r>
            <w:r>
              <w:t>1</w:t>
            </w:r>
            <w:r>
              <w:rPr>
                <w:rFonts w:hint="eastAsia"/>
              </w:rPr>
              <w:t>：</w:t>
            </w:r>
            <w:r>
              <w:rPr>
                <w:rFonts w:hint="eastAsia" w:hAnsi="宋体"/>
                <w:kern w:val="0"/>
                <w:szCs w:val="21"/>
              </w:rPr>
              <w:t>具有工程实习和社会实践经历</w:t>
            </w:r>
            <w:r>
              <w:rPr>
                <w:rFonts w:hint="eastAsia"/>
              </w:rPr>
              <w:t>。</w:t>
            </w:r>
          </w:p>
          <w:p>
            <w:pPr>
              <w:widowControl/>
            </w:pPr>
            <w:r>
              <w:rPr>
                <w:b/>
                <w:szCs w:val="21"/>
              </w:rPr>
              <w:t>观测点</w:t>
            </w:r>
            <w:r>
              <w:t>7</w:t>
            </w:r>
            <w:r>
              <w:rPr>
                <w:rFonts w:hint="eastAsia"/>
              </w:rPr>
              <w:t>-</w:t>
            </w:r>
            <w:r>
              <w:t>2</w:t>
            </w:r>
            <w:r>
              <w:rPr>
                <w:rFonts w:hint="eastAsia"/>
              </w:rPr>
              <w:t>：</w:t>
            </w:r>
            <w:r>
              <w:rPr>
                <w:rFonts w:hint="eastAsia" w:hAnsi="宋体"/>
                <w:kern w:val="0"/>
                <w:szCs w:val="21"/>
              </w:rPr>
              <w:t>熟悉环境保护的相关法律法规，理解全球化工界践行的</w:t>
            </w:r>
            <w:r>
              <w:rPr>
                <w:kern w:val="0"/>
                <w:szCs w:val="21"/>
              </w:rPr>
              <w:t>“</w:t>
            </w:r>
            <w:r>
              <w:rPr>
                <w:rFonts w:hint="eastAsia" w:hAnsi="宋体"/>
                <w:kern w:val="0"/>
                <w:szCs w:val="21"/>
              </w:rPr>
              <w:t>责任</w:t>
            </w:r>
            <w:r>
              <w:rPr>
                <w:kern w:val="0"/>
                <w:szCs w:val="21"/>
              </w:rPr>
              <w:t>”</w:t>
            </w:r>
            <w:r>
              <w:rPr>
                <w:rFonts w:hint="eastAsia" w:hAnsi="宋体"/>
                <w:kern w:val="0"/>
                <w:szCs w:val="21"/>
              </w:rPr>
              <w:t>关怀理念</w:t>
            </w:r>
            <w:r>
              <w:rPr>
                <w:rFonts w:hint="eastAsia"/>
              </w:rPr>
              <w:t>。</w:t>
            </w:r>
          </w:p>
          <w:p>
            <w:pPr>
              <w:widowControl/>
              <w:rPr>
                <w:kern w:val="0"/>
                <w:szCs w:val="21"/>
              </w:rPr>
            </w:pPr>
          </w:p>
        </w:tc>
        <w:tc>
          <w:tcPr>
            <w:tcW w:w="3066" w:type="dxa"/>
            <w:shd w:val="clear" w:color="auto" w:fill="auto"/>
            <w:noWrap/>
            <w:vAlign w:val="center"/>
          </w:tcPr>
          <w:p>
            <w:pPr>
              <w:widowControl/>
              <w:rPr>
                <w:rFonts w:hAnsi="宋体"/>
                <w:szCs w:val="21"/>
              </w:rPr>
            </w:pPr>
            <w:r>
              <w:rPr>
                <w:rFonts w:hint="eastAsia" w:hAnsi="宋体"/>
                <w:szCs w:val="21"/>
              </w:rPr>
              <w:t>毕业要求</w:t>
            </w:r>
            <w:r>
              <w:rPr>
                <w:szCs w:val="21"/>
              </w:rPr>
              <w:t>5</w:t>
            </w:r>
            <w:r>
              <w:rPr>
                <w:rFonts w:hint="eastAsia" w:hAnsi="宋体"/>
                <w:szCs w:val="21"/>
              </w:rPr>
              <w:t>：使用现代工具：能够针对应用化学领域复杂工程问题，开发、选择与使用恰当的技术、资源、现代工程工具和信息技术工具，包括对复杂工程问题的预测与模拟，并能够理解其局限性。</w:t>
            </w:r>
          </w:p>
          <w:p>
            <w:pPr>
              <w:widowControl/>
              <w:rPr>
                <w:rFonts w:hAnsi="宋体"/>
                <w:szCs w:val="21"/>
              </w:rPr>
            </w:pPr>
            <w:r>
              <w:rPr>
                <w:rFonts w:hint="eastAsia" w:hAnsi="宋体"/>
                <w:szCs w:val="21"/>
              </w:rPr>
              <w:t>毕业要求</w:t>
            </w:r>
            <w:r>
              <w:rPr>
                <w:szCs w:val="21"/>
              </w:rPr>
              <w:t>6</w:t>
            </w:r>
            <w:r>
              <w:rPr>
                <w:rFonts w:hint="eastAsia" w:hAnsi="宋体"/>
                <w:szCs w:val="21"/>
              </w:rPr>
              <w:t>：工程与社会：能够基于应用化学领域工程相关背景知识进行合理分析，评价专业工程实践和复杂工程问题解决方案对社会、健康、安全、法律以及文化的影响，并理解应承担的责任。</w:t>
            </w:r>
          </w:p>
          <w:p>
            <w:pPr>
              <w:widowControl/>
              <w:rPr>
                <w:rFonts w:hint="eastAsia" w:hAnsi="宋体"/>
                <w:kern w:val="0"/>
                <w:szCs w:val="21"/>
              </w:rPr>
            </w:pPr>
            <w:r>
              <w:rPr>
                <w:rFonts w:hint="eastAsia" w:hAnsi="宋体"/>
                <w:kern w:val="0"/>
                <w:szCs w:val="21"/>
              </w:rPr>
              <w:t>毕业要求</w:t>
            </w:r>
            <w:r>
              <w:rPr>
                <w:kern w:val="0"/>
                <w:szCs w:val="21"/>
              </w:rPr>
              <w:t>7</w:t>
            </w:r>
            <w:r>
              <w:rPr>
                <w:rFonts w:hint="eastAsia" w:hAnsi="宋体"/>
                <w:kern w:val="0"/>
                <w:szCs w:val="21"/>
              </w:rPr>
              <w:t>：环境和可持续发展：能够理解和评价针对</w:t>
            </w:r>
            <w:r>
              <w:rPr>
                <w:rFonts w:hint="eastAsia" w:hAnsi="宋体"/>
                <w:szCs w:val="21"/>
              </w:rPr>
              <w:t>应用化学领域</w:t>
            </w:r>
            <w:r>
              <w:rPr>
                <w:rFonts w:hint="eastAsia" w:hAnsi="宋体"/>
                <w:kern w:val="0"/>
                <w:szCs w:val="21"/>
              </w:rPr>
              <w:t>复杂工程问题的工程实践对环境、社会可持续发展的影响。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38" w:type="dxa"/>
            <w:shd w:val="clear" w:color="auto" w:fill="auto"/>
            <w:noWrap/>
            <w:vAlign w:val="center"/>
          </w:tcPr>
          <w:p>
            <w:pPr>
              <w:widowControl/>
              <w:jc w:val="center"/>
              <w:rPr>
                <w:kern w:val="0"/>
                <w:szCs w:val="21"/>
              </w:rPr>
            </w:pPr>
            <w:r>
              <w:rPr>
                <w:kern w:val="0"/>
                <w:szCs w:val="21"/>
              </w:rPr>
              <w:t>2</w:t>
            </w:r>
          </w:p>
        </w:tc>
        <w:tc>
          <w:tcPr>
            <w:tcW w:w="3118" w:type="dxa"/>
            <w:shd w:val="clear" w:color="auto" w:fill="auto"/>
            <w:noWrap/>
            <w:vAlign w:val="center"/>
          </w:tcPr>
          <w:p>
            <w:pPr>
              <w:widowControl/>
              <w:rPr>
                <w:kern w:val="0"/>
                <w:szCs w:val="21"/>
              </w:rPr>
            </w:pPr>
            <w:r>
              <w:rPr>
                <w:b/>
                <w:kern w:val="0"/>
                <w:szCs w:val="21"/>
              </w:rPr>
              <w:t>目标2：</w:t>
            </w:r>
            <w:r>
              <w:rPr>
                <w:rFonts w:hint="eastAsia"/>
                <w:szCs w:val="21"/>
              </w:rPr>
              <w:t>在生产实习中学习企业相关的管理规范和条例，学习企业员工吃苦耐劳的优秀品质和团结协作的团队精神，树立劳动创造财富的价值观，集体主义人生观和团队协作的创业精神。</w:t>
            </w:r>
          </w:p>
        </w:tc>
        <w:tc>
          <w:tcPr>
            <w:tcW w:w="2292" w:type="dxa"/>
            <w:shd w:val="clear" w:color="auto" w:fill="auto"/>
            <w:noWrap/>
            <w:vAlign w:val="center"/>
          </w:tcPr>
          <w:p>
            <w:pPr>
              <w:widowControl/>
            </w:pPr>
            <w:r>
              <w:rPr>
                <w:b/>
                <w:szCs w:val="21"/>
              </w:rPr>
              <w:t>观测点</w:t>
            </w:r>
            <w:r>
              <w:t>8-3</w:t>
            </w:r>
            <w:r>
              <w:rPr>
                <w:rFonts w:hint="eastAsia"/>
              </w:rPr>
              <w:t>：</w:t>
            </w:r>
            <w:r>
              <w:rPr>
                <w:rFonts w:hint="eastAsia" w:hAnsi="宋体"/>
                <w:kern w:val="0"/>
                <w:szCs w:val="21"/>
              </w:rPr>
              <w:t>理解工程伦理和核心理念，了解化学工程师的职业性质和责任，在工程实践中能自觉遵守职业道德和规范，具有法律意识</w:t>
            </w:r>
            <w:r>
              <w:rPr>
                <w:rFonts w:hint="eastAsia"/>
              </w:rPr>
              <w:t>。</w:t>
            </w:r>
          </w:p>
          <w:p>
            <w:pPr>
              <w:widowControl/>
            </w:pPr>
            <w:r>
              <w:rPr>
                <w:b/>
                <w:szCs w:val="21"/>
              </w:rPr>
              <w:t>观测点</w:t>
            </w:r>
            <w:r>
              <w:t>10-1</w:t>
            </w:r>
            <w:r>
              <w:rPr>
                <w:rFonts w:hint="eastAsia"/>
              </w:rPr>
              <w:t>：</w:t>
            </w:r>
            <w:r>
              <w:rPr>
                <w:rFonts w:hint="eastAsia" w:hAnsi="宋体"/>
                <w:kern w:val="0"/>
                <w:szCs w:val="21"/>
              </w:rPr>
              <w:t>能够熟练运用化工专业术语就化工问题与业内同行和社会公众进行有效交流与沟通</w:t>
            </w:r>
            <w:r>
              <w:rPr>
                <w:rFonts w:hint="eastAsia"/>
              </w:rPr>
              <w:t>。</w:t>
            </w:r>
          </w:p>
          <w:p>
            <w:pPr>
              <w:widowControl/>
              <w:rPr>
                <w:kern w:val="0"/>
                <w:szCs w:val="21"/>
              </w:rPr>
            </w:pPr>
            <w:r>
              <w:rPr>
                <w:b/>
                <w:szCs w:val="21"/>
              </w:rPr>
              <w:t>观测点</w:t>
            </w:r>
            <w:r>
              <w:t>12</w:t>
            </w:r>
            <w:r>
              <w:rPr>
                <w:rFonts w:hint="eastAsia"/>
              </w:rPr>
              <w:t>-</w:t>
            </w:r>
            <w:r>
              <w:t>2</w:t>
            </w:r>
            <w:r>
              <w:rPr>
                <w:rFonts w:hint="eastAsia"/>
              </w:rPr>
              <w:t>：</w:t>
            </w:r>
            <w:r>
              <w:rPr>
                <w:rFonts w:hint="eastAsia" w:hAnsi="宋体"/>
                <w:kern w:val="0"/>
                <w:szCs w:val="21"/>
              </w:rPr>
              <w:t>具备终身学习的知识基础，掌握自主学习的方法，了解拓展知识和能力的途径，能够自主学习，适应社会和职业发展。</w:t>
            </w:r>
          </w:p>
        </w:tc>
        <w:tc>
          <w:tcPr>
            <w:tcW w:w="3066" w:type="dxa"/>
            <w:shd w:val="clear" w:color="auto" w:fill="auto"/>
            <w:noWrap/>
            <w:vAlign w:val="center"/>
          </w:tcPr>
          <w:p>
            <w:pPr>
              <w:widowControl/>
              <w:rPr>
                <w:rFonts w:hAnsi="宋体"/>
                <w:kern w:val="0"/>
                <w:szCs w:val="21"/>
              </w:rPr>
            </w:pPr>
            <w:r>
              <w:rPr>
                <w:rFonts w:hint="eastAsia" w:hAnsi="宋体"/>
                <w:kern w:val="0"/>
                <w:szCs w:val="21"/>
              </w:rPr>
              <w:t>毕业要求</w:t>
            </w:r>
            <w:r>
              <w:rPr>
                <w:kern w:val="0"/>
                <w:szCs w:val="21"/>
              </w:rPr>
              <w:t>8</w:t>
            </w:r>
            <w:r>
              <w:rPr>
                <w:rFonts w:hint="eastAsia" w:hAnsi="宋体"/>
                <w:kern w:val="0"/>
                <w:szCs w:val="21"/>
              </w:rPr>
              <w:t>：职业规范：具有人文社会科学素养、社会责任感，能够在工程实践中理解并遵守工程职业道德和规范，履行责任。</w:t>
            </w:r>
          </w:p>
          <w:p>
            <w:pPr>
              <w:widowControl/>
              <w:rPr>
                <w:rFonts w:hAnsi="宋体"/>
                <w:kern w:val="0"/>
                <w:szCs w:val="21"/>
              </w:rPr>
            </w:pPr>
            <w:r>
              <w:rPr>
                <w:rFonts w:hint="eastAsia" w:hAnsi="宋体"/>
                <w:kern w:val="0"/>
                <w:szCs w:val="21"/>
              </w:rPr>
              <w:t>毕业要求</w:t>
            </w:r>
            <w:r>
              <w:rPr>
                <w:kern w:val="0"/>
                <w:szCs w:val="21"/>
              </w:rPr>
              <w:t>10</w:t>
            </w:r>
            <w:r>
              <w:rPr>
                <w:rFonts w:hint="eastAsia" w:hAnsi="宋体"/>
                <w:kern w:val="0"/>
                <w:szCs w:val="21"/>
              </w:rPr>
              <w:t>：沟通：能够就</w:t>
            </w:r>
            <w:r>
              <w:rPr>
                <w:rFonts w:hint="eastAsia" w:hAnsi="宋体"/>
                <w:szCs w:val="21"/>
              </w:rPr>
              <w:t>应用化学领域</w:t>
            </w:r>
            <w:r>
              <w:rPr>
                <w:rFonts w:hint="eastAsia" w:hAnsi="宋体"/>
                <w:kern w:val="0"/>
                <w:szCs w:val="21"/>
              </w:rPr>
              <w:t>复杂工程问题与业界同行及社会公众进行有效沟通和交流，包括撰写报告和设计文稿、陈述发言、清晰表达或回应指令。并具备一定的国际视野，能够在跨文化背景下进行沟通和交流。</w:t>
            </w:r>
          </w:p>
          <w:p>
            <w:pPr>
              <w:widowControl/>
              <w:rPr>
                <w:kern w:val="0"/>
                <w:szCs w:val="21"/>
              </w:rPr>
            </w:pPr>
            <w:r>
              <w:rPr>
                <w:rFonts w:hint="eastAsia" w:hAnsi="宋体"/>
                <w:kern w:val="0"/>
                <w:szCs w:val="21"/>
              </w:rPr>
              <w:t>毕业要求</w:t>
            </w:r>
            <w:r>
              <w:rPr>
                <w:kern w:val="0"/>
                <w:szCs w:val="21"/>
              </w:rPr>
              <w:t>12</w:t>
            </w:r>
            <w:r>
              <w:rPr>
                <w:rFonts w:hint="eastAsia" w:hAnsi="宋体"/>
                <w:kern w:val="0"/>
                <w:szCs w:val="21"/>
              </w:rPr>
              <w:t>：终身学习：具有自主学习和终身学习的意识，能够追踪</w:t>
            </w:r>
            <w:r>
              <w:rPr>
                <w:rFonts w:hint="eastAsia" w:hAnsi="宋体"/>
                <w:szCs w:val="21"/>
              </w:rPr>
              <w:t>应用化学相关领域的发展动态，</w:t>
            </w:r>
            <w:r>
              <w:rPr>
                <w:rFonts w:hint="eastAsia" w:hAnsi="宋体"/>
                <w:kern w:val="0"/>
                <w:szCs w:val="21"/>
              </w:rPr>
              <w:t>有不断学习和适应发展的能力。</w:t>
            </w:r>
          </w:p>
        </w:tc>
      </w:tr>
    </w:tbl>
    <w:p>
      <w:pPr>
        <w:spacing w:line="360" w:lineRule="auto"/>
        <w:rPr>
          <w:rFonts w:hint="eastAsia"/>
          <w:color w:val="000000"/>
          <w:sz w:val="24"/>
        </w:rPr>
      </w:pPr>
    </w:p>
    <w:p>
      <w:pPr>
        <w:spacing w:line="360" w:lineRule="auto"/>
        <w:ind w:firstLine="551" w:firstLineChars="196"/>
        <w:rPr>
          <w:b/>
          <w:sz w:val="28"/>
          <w:szCs w:val="28"/>
        </w:rPr>
      </w:pPr>
      <w:r>
        <w:rPr>
          <w:rFonts w:hint="eastAsia"/>
          <w:b/>
          <w:sz w:val="28"/>
          <w:szCs w:val="28"/>
        </w:rPr>
        <w:t>三</w:t>
      </w:r>
      <w:r>
        <w:rPr>
          <w:b/>
          <w:sz w:val="28"/>
          <w:szCs w:val="28"/>
        </w:rPr>
        <w:t>、课程内容与要求</w:t>
      </w:r>
    </w:p>
    <w:tbl>
      <w:tblPr>
        <w:tblStyle w:val="10"/>
        <w:tblW w:w="9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2632"/>
        <w:gridCol w:w="1134"/>
        <w:gridCol w:w="2028"/>
        <w:gridCol w:w="699"/>
        <w:gridCol w:w="975"/>
        <w:gridCol w:w="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noWrap w:val="0"/>
            <w:vAlign w:val="center"/>
          </w:tcPr>
          <w:p>
            <w:pPr>
              <w:jc w:val="center"/>
              <w:rPr>
                <w:b/>
                <w:bCs/>
                <w:szCs w:val="21"/>
              </w:rPr>
            </w:pPr>
            <w:r>
              <w:rPr>
                <w:b/>
                <w:bCs/>
                <w:szCs w:val="21"/>
              </w:rPr>
              <w:t>序号</w:t>
            </w:r>
          </w:p>
        </w:tc>
        <w:tc>
          <w:tcPr>
            <w:tcW w:w="2632" w:type="dxa"/>
            <w:shd w:val="clear" w:color="auto" w:fill="auto"/>
            <w:noWrap w:val="0"/>
            <w:vAlign w:val="center"/>
          </w:tcPr>
          <w:p>
            <w:pPr>
              <w:jc w:val="center"/>
              <w:rPr>
                <w:b/>
                <w:bCs/>
                <w:szCs w:val="21"/>
              </w:rPr>
            </w:pPr>
            <w:r>
              <w:rPr>
                <w:b/>
                <w:bCs/>
                <w:szCs w:val="21"/>
              </w:rPr>
              <w:t>教学内容</w:t>
            </w:r>
          </w:p>
        </w:tc>
        <w:tc>
          <w:tcPr>
            <w:tcW w:w="1134" w:type="dxa"/>
            <w:shd w:val="clear" w:color="auto" w:fill="auto"/>
            <w:noWrap w:val="0"/>
            <w:vAlign w:val="center"/>
          </w:tcPr>
          <w:p>
            <w:pPr>
              <w:jc w:val="center"/>
              <w:rPr>
                <w:b/>
                <w:bCs/>
                <w:szCs w:val="21"/>
              </w:rPr>
            </w:pPr>
            <w:r>
              <w:rPr>
                <w:b/>
                <w:bCs/>
                <w:szCs w:val="21"/>
              </w:rPr>
              <w:t>思政元素</w:t>
            </w:r>
          </w:p>
        </w:tc>
        <w:tc>
          <w:tcPr>
            <w:tcW w:w="2028" w:type="dxa"/>
            <w:shd w:val="clear" w:color="auto" w:fill="auto"/>
            <w:noWrap w:val="0"/>
            <w:vAlign w:val="center"/>
          </w:tcPr>
          <w:p>
            <w:pPr>
              <w:jc w:val="center"/>
              <w:rPr>
                <w:rFonts w:hint="eastAsia"/>
                <w:b/>
                <w:bCs/>
                <w:szCs w:val="21"/>
              </w:rPr>
            </w:pPr>
            <w:r>
              <w:rPr>
                <w:b/>
                <w:bCs/>
                <w:szCs w:val="21"/>
              </w:rPr>
              <w:t>预期学习成果</w:t>
            </w:r>
          </w:p>
        </w:tc>
        <w:tc>
          <w:tcPr>
            <w:tcW w:w="699" w:type="dxa"/>
            <w:shd w:val="clear" w:color="auto" w:fill="auto"/>
            <w:noWrap w:val="0"/>
            <w:vAlign w:val="center"/>
          </w:tcPr>
          <w:p>
            <w:pPr>
              <w:jc w:val="center"/>
              <w:rPr>
                <w:b/>
                <w:bCs/>
                <w:szCs w:val="21"/>
              </w:rPr>
            </w:pPr>
            <w:r>
              <w:rPr>
                <w:b/>
                <w:bCs/>
                <w:szCs w:val="21"/>
              </w:rPr>
              <w:t>教学学时</w:t>
            </w:r>
          </w:p>
        </w:tc>
        <w:tc>
          <w:tcPr>
            <w:tcW w:w="975" w:type="dxa"/>
            <w:shd w:val="clear" w:color="auto" w:fill="auto"/>
            <w:noWrap w:val="0"/>
            <w:vAlign w:val="center"/>
          </w:tcPr>
          <w:p>
            <w:pPr>
              <w:jc w:val="center"/>
              <w:rPr>
                <w:b/>
                <w:bCs/>
                <w:szCs w:val="21"/>
              </w:rPr>
            </w:pPr>
            <w:r>
              <w:rPr>
                <w:b/>
                <w:bCs/>
                <w:szCs w:val="21"/>
              </w:rPr>
              <w:t>教学方式</w:t>
            </w:r>
          </w:p>
        </w:tc>
        <w:tc>
          <w:tcPr>
            <w:tcW w:w="925" w:type="dxa"/>
            <w:shd w:val="clear" w:color="auto" w:fill="auto"/>
            <w:noWrap w:val="0"/>
            <w:vAlign w:val="center"/>
          </w:tcPr>
          <w:p>
            <w:pPr>
              <w:jc w:val="center"/>
              <w:rPr>
                <w:b/>
                <w:bCs/>
                <w:szCs w:val="21"/>
              </w:rPr>
            </w:pPr>
            <w:r>
              <w:rPr>
                <w:b/>
                <w:bCs/>
                <w:szCs w:val="21"/>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noWrap w:val="0"/>
            <w:vAlign w:val="center"/>
          </w:tcPr>
          <w:p>
            <w:pPr>
              <w:jc w:val="center"/>
              <w:rPr>
                <w:szCs w:val="21"/>
              </w:rPr>
            </w:pPr>
            <w:r>
              <w:rPr>
                <w:szCs w:val="21"/>
              </w:rPr>
              <w:t>1</w:t>
            </w:r>
          </w:p>
        </w:tc>
        <w:tc>
          <w:tcPr>
            <w:tcW w:w="2632" w:type="dxa"/>
            <w:shd w:val="clear" w:color="auto" w:fill="auto"/>
            <w:noWrap w:val="0"/>
            <w:vAlign w:val="center"/>
          </w:tcPr>
          <w:p>
            <w:pPr>
              <w:rPr>
                <w:kern w:val="0"/>
                <w:szCs w:val="21"/>
              </w:rPr>
            </w:pPr>
            <w:r>
              <w:rPr>
                <w:rFonts w:hint="eastAsia"/>
                <w:color w:val="000000"/>
                <w:szCs w:val="21"/>
              </w:rPr>
              <w:t>实习动员、专题讲座</w:t>
            </w:r>
          </w:p>
        </w:tc>
        <w:tc>
          <w:tcPr>
            <w:tcW w:w="1134" w:type="dxa"/>
            <w:shd w:val="clear" w:color="auto" w:fill="auto"/>
            <w:noWrap w:val="0"/>
            <w:vAlign w:val="center"/>
          </w:tcPr>
          <w:p>
            <w:pPr>
              <w:autoSpaceDE w:val="0"/>
              <w:autoSpaceDN w:val="0"/>
              <w:adjustRightInd w:val="0"/>
              <w:rPr>
                <w:rFonts w:hint="eastAsia"/>
                <w:kern w:val="0"/>
                <w:szCs w:val="21"/>
              </w:rPr>
            </w:pPr>
            <w:r>
              <w:rPr>
                <w:rFonts w:hint="eastAsia"/>
                <w:kern w:val="0"/>
                <w:szCs w:val="21"/>
              </w:rPr>
              <w:t>安全生产、生命至上</w:t>
            </w:r>
          </w:p>
        </w:tc>
        <w:tc>
          <w:tcPr>
            <w:tcW w:w="2028" w:type="dxa"/>
            <w:shd w:val="clear" w:color="auto" w:fill="auto"/>
            <w:noWrap w:val="0"/>
            <w:vAlign w:val="center"/>
          </w:tcPr>
          <w:p>
            <w:pPr>
              <w:autoSpaceDE w:val="0"/>
              <w:autoSpaceDN w:val="0"/>
              <w:adjustRightInd w:val="0"/>
              <w:rPr>
                <w:kern w:val="0"/>
                <w:szCs w:val="21"/>
              </w:rPr>
            </w:pPr>
            <w:r>
              <w:rPr>
                <w:rFonts w:hint="eastAsia"/>
                <w:szCs w:val="21"/>
              </w:rPr>
              <w:t>了解医药化工生产的基本规律和特点，了解实习工段物料的物理化学性质、生产装置的结构和运行原理、生产工艺流程、生产过程本身的特点和优势。</w:t>
            </w:r>
          </w:p>
        </w:tc>
        <w:tc>
          <w:tcPr>
            <w:tcW w:w="699" w:type="dxa"/>
            <w:shd w:val="clear" w:color="auto" w:fill="auto"/>
            <w:noWrap w:val="0"/>
            <w:vAlign w:val="center"/>
          </w:tcPr>
          <w:p>
            <w:pPr>
              <w:jc w:val="center"/>
              <w:rPr>
                <w:szCs w:val="21"/>
              </w:rPr>
            </w:pPr>
            <w:r>
              <w:rPr>
                <w:rFonts w:hint="eastAsia"/>
                <w:szCs w:val="21"/>
              </w:rPr>
              <w:t>1天</w:t>
            </w:r>
          </w:p>
        </w:tc>
        <w:tc>
          <w:tcPr>
            <w:tcW w:w="975" w:type="dxa"/>
            <w:shd w:val="clear" w:color="auto" w:fill="auto"/>
            <w:noWrap w:val="0"/>
            <w:vAlign w:val="center"/>
          </w:tcPr>
          <w:p>
            <w:pPr>
              <w:rPr>
                <w:szCs w:val="21"/>
              </w:rPr>
            </w:pPr>
            <w:r>
              <w:rPr>
                <w:szCs w:val="21"/>
              </w:rPr>
              <w:t>讲授/讨论等</w:t>
            </w:r>
          </w:p>
        </w:tc>
        <w:tc>
          <w:tcPr>
            <w:tcW w:w="925" w:type="dxa"/>
            <w:shd w:val="clear" w:color="auto" w:fill="auto"/>
            <w:noWrap w:val="0"/>
            <w:vAlign w:val="center"/>
          </w:tcPr>
          <w:p>
            <w:pPr>
              <w:jc w:val="center"/>
              <w:rPr>
                <w:rFonts w:hint="eastAsia"/>
                <w:kern w:val="0"/>
                <w:szCs w:val="21"/>
              </w:rPr>
            </w:pPr>
            <w:r>
              <w:rPr>
                <w:b/>
                <w:kern w:val="0"/>
                <w:szCs w:val="21"/>
              </w:rPr>
              <w:t>目标</w:t>
            </w:r>
            <w:r>
              <w:rPr>
                <w:rFonts w:hint="eastAsia"/>
                <w:b/>
                <w:kern w:val="0"/>
                <w:szCs w:val="21"/>
              </w:rPr>
              <w:t>1</w:t>
            </w:r>
          </w:p>
          <w:p>
            <w:pPr>
              <w:jc w:val="center"/>
              <w:rPr>
                <w:szCs w:val="21"/>
              </w:rPr>
            </w:pPr>
            <w:r>
              <w:rPr>
                <w:b/>
                <w:kern w:val="0"/>
                <w:szCs w:val="21"/>
              </w:rPr>
              <w:t>目标</w:t>
            </w:r>
            <w:r>
              <w:rPr>
                <w:rFonts w:hint="eastAsia"/>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noWrap w:val="0"/>
            <w:vAlign w:val="center"/>
          </w:tcPr>
          <w:p>
            <w:pPr>
              <w:jc w:val="center"/>
              <w:rPr>
                <w:szCs w:val="21"/>
              </w:rPr>
            </w:pPr>
            <w:r>
              <w:rPr>
                <w:szCs w:val="21"/>
              </w:rPr>
              <w:t>2</w:t>
            </w:r>
          </w:p>
        </w:tc>
        <w:tc>
          <w:tcPr>
            <w:tcW w:w="2632" w:type="dxa"/>
            <w:shd w:val="clear" w:color="auto" w:fill="auto"/>
            <w:noWrap w:val="0"/>
            <w:vAlign w:val="center"/>
          </w:tcPr>
          <w:p>
            <w:pPr>
              <w:rPr>
                <w:kern w:val="0"/>
                <w:szCs w:val="21"/>
              </w:rPr>
            </w:pPr>
            <w:r>
              <w:rPr>
                <w:rFonts w:hint="eastAsia"/>
                <w:color w:val="000000"/>
                <w:szCs w:val="21"/>
              </w:rPr>
              <w:t>入厂教育</w:t>
            </w:r>
          </w:p>
        </w:tc>
        <w:tc>
          <w:tcPr>
            <w:tcW w:w="1134" w:type="dxa"/>
            <w:shd w:val="clear" w:color="auto" w:fill="auto"/>
            <w:noWrap w:val="0"/>
            <w:vAlign w:val="center"/>
          </w:tcPr>
          <w:p>
            <w:pPr>
              <w:rPr>
                <w:szCs w:val="21"/>
              </w:rPr>
            </w:pPr>
          </w:p>
        </w:tc>
        <w:tc>
          <w:tcPr>
            <w:tcW w:w="2028" w:type="dxa"/>
            <w:shd w:val="clear" w:color="auto" w:fill="auto"/>
            <w:noWrap w:val="0"/>
            <w:vAlign w:val="center"/>
          </w:tcPr>
          <w:p>
            <w:pPr>
              <w:rPr>
                <w:szCs w:val="21"/>
              </w:rPr>
            </w:pPr>
            <w:r>
              <w:rPr>
                <w:rFonts w:hint="eastAsia"/>
                <w:szCs w:val="21"/>
              </w:rPr>
              <w:t>了解实习单位的生产管理、安全管理、环境保护、人员健康保障及技术进步改革和措施。</w:t>
            </w:r>
            <w:r>
              <w:rPr>
                <w:szCs w:val="21"/>
              </w:rPr>
              <w:t xml:space="preserve"> </w:t>
            </w:r>
          </w:p>
        </w:tc>
        <w:tc>
          <w:tcPr>
            <w:tcW w:w="699" w:type="dxa"/>
            <w:shd w:val="clear" w:color="auto" w:fill="auto"/>
            <w:noWrap w:val="0"/>
            <w:vAlign w:val="center"/>
          </w:tcPr>
          <w:p>
            <w:pPr>
              <w:jc w:val="center"/>
              <w:rPr>
                <w:szCs w:val="21"/>
              </w:rPr>
            </w:pPr>
            <w:r>
              <w:rPr>
                <w:rFonts w:hint="eastAsia"/>
                <w:szCs w:val="21"/>
              </w:rPr>
              <w:t>1天</w:t>
            </w:r>
          </w:p>
        </w:tc>
        <w:tc>
          <w:tcPr>
            <w:tcW w:w="975" w:type="dxa"/>
            <w:shd w:val="clear" w:color="auto" w:fill="auto"/>
            <w:noWrap w:val="0"/>
            <w:vAlign w:val="center"/>
          </w:tcPr>
          <w:p>
            <w:pPr>
              <w:rPr>
                <w:szCs w:val="21"/>
              </w:rPr>
            </w:pPr>
            <w:r>
              <w:rPr>
                <w:szCs w:val="21"/>
              </w:rPr>
              <w:t>讲授/讨论等</w:t>
            </w:r>
          </w:p>
        </w:tc>
        <w:tc>
          <w:tcPr>
            <w:tcW w:w="925" w:type="dxa"/>
            <w:shd w:val="clear" w:color="auto" w:fill="auto"/>
            <w:noWrap w:val="0"/>
            <w:vAlign w:val="center"/>
          </w:tcPr>
          <w:p>
            <w:pPr>
              <w:jc w:val="center"/>
              <w:rPr>
                <w:rFonts w:hint="eastAsia"/>
                <w:kern w:val="0"/>
                <w:szCs w:val="21"/>
              </w:rPr>
            </w:pPr>
            <w:r>
              <w:rPr>
                <w:b/>
                <w:kern w:val="0"/>
                <w:szCs w:val="21"/>
              </w:rPr>
              <w:t>目标</w:t>
            </w:r>
            <w:r>
              <w:rPr>
                <w:rFonts w:hint="eastAsia"/>
                <w:b/>
                <w:kern w:val="0"/>
                <w:szCs w:val="21"/>
              </w:rPr>
              <w:t>1</w:t>
            </w:r>
          </w:p>
          <w:p>
            <w:pPr>
              <w:jc w:val="center"/>
              <w:rPr>
                <w:szCs w:val="21"/>
              </w:rPr>
            </w:pPr>
            <w:r>
              <w:rPr>
                <w:b/>
                <w:kern w:val="0"/>
                <w:szCs w:val="21"/>
              </w:rPr>
              <w:t>目标</w:t>
            </w:r>
            <w:r>
              <w:rPr>
                <w:rFonts w:hint="eastAsia"/>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noWrap w:val="0"/>
            <w:vAlign w:val="center"/>
          </w:tcPr>
          <w:p>
            <w:pPr>
              <w:jc w:val="center"/>
              <w:rPr>
                <w:szCs w:val="21"/>
              </w:rPr>
            </w:pPr>
            <w:r>
              <w:rPr>
                <w:szCs w:val="21"/>
              </w:rPr>
              <w:t>3</w:t>
            </w:r>
          </w:p>
        </w:tc>
        <w:tc>
          <w:tcPr>
            <w:tcW w:w="2632" w:type="dxa"/>
            <w:shd w:val="clear" w:color="auto" w:fill="auto"/>
            <w:noWrap w:val="0"/>
            <w:vAlign w:val="center"/>
          </w:tcPr>
          <w:p>
            <w:pPr>
              <w:rPr>
                <w:kern w:val="0"/>
                <w:szCs w:val="21"/>
              </w:rPr>
            </w:pPr>
            <w:r>
              <w:rPr>
                <w:rFonts w:hint="eastAsia"/>
                <w:color w:val="000000"/>
                <w:szCs w:val="21"/>
              </w:rPr>
              <w:t>参观实习</w:t>
            </w:r>
          </w:p>
        </w:tc>
        <w:tc>
          <w:tcPr>
            <w:tcW w:w="1134" w:type="dxa"/>
            <w:shd w:val="clear" w:color="auto" w:fill="auto"/>
            <w:noWrap w:val="0"/>
            <w:vAlign w:val="center"/>
          </w:tcPr>
          <w:p>
            <w:pPr>
              <w:rPr>
                <w:szCs w:val="21"/>
              </w:rPr>
            </w:pPr>
          </w:p>
        </w:tc>
        <w:tc>
          <w:tcPr>
            <w:tcW w:w="2028" w:type="dxa"/>
            <w:shd w:val="clear" w:color="auto" w:fill="auto"/>
            <w:noWrap w:val="0"/>
            <w:vAlign w:val="center"/>
          </w:tcPr>
          <w:p>
            <w:pPr>
              <w:rPr>
                <w:szCs w:val="21"/>
              </w:rPr>
            </w:pPr>
            <w:r>
              <w:rPr>
                <w:rFonts w:hint="eastAsia"/>
                <w:szCs w:val="21"/>
              </w:rPr>
              <w:t>熟悉车间的机械动力、电气自控、公用工程的供应利用情况。</w:t>
            </w:r>
          </w:p>
        </w:tc>
        <w:tc>
          <w:tcPr>
            <w:tcW w:w="699" w:type="dxa"/>
            <w:shd w:val="clear" w:color="auto" w:fill="auto"/>
            <w:noWrap w:val="0"/>
            <w:vAlign w:val="center"/>
          </w:tcPr>
          <w:p>
            <w:pPr>
              <w:jc w:val="center"/>
              <w:rPr>
                <w:szCs w:val="21"/>
              </w:rPr>
            </w:pPr>
            <w:r>
              <w:rPr>
                <w:szCs w:val="21"/>
              </w:rPr>
              <w:t>3</w:t>
            </w:r>
            <w:r>
              <w:rPr>
                <w:rFonts w:hint="eastAsia"/>
                <w:szCs w:val="21"/>
              </w:rPr>
              <w:t>天</w:t>
            </w:r>
          </w:p>
        </w:tc>
        <w:tc>
          <w:tcPr>
            <w:tcW w:w="975" w:type="dxa"/>
            <w:shd w:val="clear" w:color="auto" w:fill="auto"/>
            <w:noWrap w:val="0"/>
            <w:vAlign w:val="center"/>
          </w:tcPr>
          <w:p>
            <w:pPr>
              <w:rPr>
                <w:szCs w:val="21"/>
              </w:rPr>
            </w:pPr>
            <w:r>
              <w:rPr>
                <w:rFonts w:hint="eastAsia"/>
                <w:szCs w:val="21"/>
              </w:rPr>
              <w:t>实践</w:t>
            </w:r>
          </w:p>
        </w:tc>
        <w:tc>
          <w:tcPr>
            <w:tcW w:w="925" w:type="dxa"/>
            <w:shd w:val="clear" w:color="auto" w:fill="auto"/>
            <w:noWrap w:val="0"/>
            <w:vAlign w:val="center"/>
          </w:tcPr>
          <w:p>
            <w:pPr>
              <w:jc w:val="center"/>
              <w:rPr>
                <w:rFonts w:hint="eastAsia"/>
                <w:kern w:val="0"/>
                <w:szCs w:val="21"/>
              </w:rPr>
            </w:pPr>
            <w:r>
              <w:rPr>
                <w:b/>
                <w:kern w:val="0"/>
                <w:szCs w:val="21"/>
              </w:rPr>
              <w:t>目标</w:t>
            </w:r>
            <w:r>
              <w:rPr>
                <w:rFonts w:hint="eastAsia"/>
                <w:b/>
                <w:kern w:val="0"/>
                <w:szCs w:val="21"/>
              </w:rPr>
              <w:t>1</w:t>
            </w:r>
          </w:p>
          <w:p>
            <w:pPr>
              <w:jc w:val="center"/>
              <w:rPr>
                <w:b/>
                <w:kern w:val="0"/>
                <w:szCs w:val="21"/>
              </w:rPr>
            </w:pPr>
            <w:r>
              <w:rPr>
                <w:b/>
                <w:kern w:val="0"/>
                <w:szCs w:val="21"/>
              </w:rPr>
              <w:t>目标</w:t>
            </w:r>
            <w:r>
              <w:rPr>
                <w:rFonts w:hint="eastAsia"/>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noWrap w:val="0"/>
            <w:vAlign w:val="center"/>
          </w:tcPr>
          <w:p>
            <w:pPr>
              <w:jc w:val="center"/>
              <w:rPr>
                <w:szCs w:val="21"/>
              </w:rPr>
            </w:pPr>
            <w:r>
              <w:rPr>
                <w:szCs w:val="21"/>
              </w:rPr>
              <w:t>4</w:t>
            </w:r>
          </w:p>
        </w:tc>
        <w:tc>
          <w:tcPr>
            <w:tcW w:w="2632" w:type="dxa"/>
            <w:shd w:val="clear" w:color="auto" w:fill="auto"/>
            <w:noWrap w:val="0"/>
            <w:vAlign w:val="center"/>
          </w:tcPr>
          <w:p>
            <w:pPr>
              <w:rPr>
                <w:kern w:val="0"/>
                <w:szCs w:val="21"/>
              </w:rPr>
            </w:pPr>
            <w:r>
              <w:rPr>
                <w:rFonts w:hint="eastAsia"/>
                <w:color w:val="000000"/>
                <w:szCs w:val="21"/>
              </w:rPr>
              <w:t>重点岗位实习</w:t>
            </w:r>
          </w:p>
        </w:tc>
        <w:tc>
          <w:tcPr>
            <w:tcW w:w="1134" w:type="dxa"/>
            <w:shd w:val="clear" w:color="auto" w:fill="auto"/>
            <w:noWrap w:val="0"/>
            <w:vAlign w:val="center"/>
          </w:tcPr>
          <w:p>
            <w:pPr>
              <w:autoSpaceDE w:val="0"/>
              <w:autoSpaceDN w:val="0"/>
              <w:adjustRightInd w:val="0"/>
              <w:rPr>
                <w:szCs w:val="21"/>
              </w:rPr>
            </w:pPr>
            <w:r>
              <w:rPr>
                <w:rFonts w:hint="eastAsia"/>
                <w:kern w:val="0"/>
                <w:szCs w:val="21"/>
              </w:rPr>
              <w:t>培养理论联系实际的科学观及爱岗敬业、创优争先的职业精神。</w:t>
            </w:r>
          </w:p>
        </w:tc>
        <w:tc>
          <w:tcPr>
            <w:tcW w:w="2028" w:type="dxa"/>
            <w:shd w:val="clear" w:color="auto" w:fill="auto"/>
            <w:noWrap w:val="0"/>
            <w:vAlign w:val="center"/>
          </w:tcPr>
          <w:p>
            <w:pPr>
              <w:autoSpaceDE w:val="0"/>
              <w:autoSpaceDN w:val="0"/>
              <w:adjustRightInd w:val="0"/>
              <w:rPr>
                <w:szCs w:val="21"/>
              </w:rPr>
            </w:pPr>
            <w:r>
              <w:rPr>
                <w:rFonts w:hint="eastAsia"/>
                <w:szCs w:val="21"/>
              </w:rPr>
              <w:t>掌握生产过程的基本原理和特点、生产方案来源、工艺流程技术经济优势、单元操作原理及主要设备操作控制。学习工厂管理人员，工程技术人员和工人对生产的高度责任感，对工作尽职尽责，勇于改革，团结协作，不断进取创新的奉献精神。</w:t>
            </w:r>
          </w:p>
        </w:tc>
        <w:tc>
          <w:tcPr>
            <w:tcW w:w="699" w:type="dxa"/>
            <w:shd w:val="clear" w:color="auto" w:fill="auto"/>
            <w:noWrap w:val="0"/>
            <w:vAlign w:val="center"/>
          </w:tcPr>
          <w:p>
            <w:pPr>
              <w:jc w:val="center"/>
              <w:rPr>
                <w:szCs w:val="21"/>
              </w:rPr>
            </w:pPr>
            <w:r>
              <w:rPr>
                <w:szCs w:val="21"/>
              </w:rPr>
              <w:t>8</w:t>
            </w:r>
            <w:r>
              <w:rPr>
                <w:rFonts w:hint="eastAsia"/>
                <w:szCs w:val="21"/>
              </w:rPr>
              <w:t>周</w:t>
            </w:r>
          </w:p>
        </w:tc>
        <w:tc>
          <w:tcPr>
            <w:tcW w:w="975" w:type="dxa"/>
            <w:shd w:val="clear" w:color="auto" w:fill="auto"/>
            <w:noWrap w:val="0"/>
            <w:vAlign w:val="center"/>
          </w:tcPr>
          <w:p>
            <w:pPr>
              <w:rPr>
                <w:szCs w:val="21"/>
              </w:rPr>
            </w:pPr>
            <w:r>
              <w:rPr>
                <w:rFonts w:hint="eastAsia"/>
                <w:szCs w:val="21"/>
              </w:rPr>
              <w:t>实践</w:t>
            </w:r>
          </w:p>
        </w:tc>
        <w:tc>
          <w:tcPr>
            <w:tcW w:w="925" w:type="dxa"/>
            <w:shd w:val="clear" w:color="auto" w:fill="auto"/>
            <w:noWrap w:val="0"/>
            <w:vAlign w:val="center"/>
          </w:tcPr>
          <w:p>
            <w:pPr>
              <w:jc w:val="center"/>
              <w:rPr>
                <w:rFonts w:hint="eastAsia"/>
                <w:kern w:val="0"/>
                <w:szCs w:val="21"/>
              </w:rPr>
            </w:pPr>
            <w:r>
              <w:rPr>
                <w:b/>
                <w:kern w:val="0"/>
                <w:szCs w:val="21"/>
              </w:rPr>
              <w:t>目标</w:t>
            </w:r>
            <w:r>
              <w:rPr>
                <w:rFonts w:hint="eastAsia"/>
                <w:b/>
                <w:kern w:val="0"/>
                <w:szCs w:val="21"/>
              </w:rPr>
              <w:t>1</w:t>
            </w:r>
          </w:p>
          <w:p>
            <w:pPr>
              <w:jc w:val="center"/>
              <w:rPr>
                <w:szCs w:val="21"/>
              </w:rPr>
            </w:pPr>
            <w:r>
              <w:rPr>
                <w:b/>
                <w:kern w:val="0"/>
                <w:szCs w:val="21"/>
              </w:rPr>
              <w:t>目标</w:t>
            </w:r>
            <w:r>
              <w:rPr>
                <w:rFonts w:hint="eastAsia"/>
                <w:b/>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noWrap w:val="0"/>
            <w:vAlign w:val="center"/>
          </w:tcPr>
          <w:p>
            <w:pPr>
              <w:jc w:val="center"/>
              <w:rPr>
                <w:szCs w:val="21"/>
              </w:rPr>
            </w:pPr>
            <w:r>
              <w:rPr>
                <w:szCs w:val="21"/>
              </w:rPr>
              <w:t>5</w:t>
            </w:r>
          </w:p>
        </w:tc>
        <w:tc>
          <w:tcPr>
            <w:tcW w:w="2632" w:type="dxa"/>
            <w:shd w:val="clear" w:color="auto" w:fill="auto"/>
            <w:noWrap w:val="0"/>
            <w:vAlign w:val="center"/>
          </w:tcPr>
          <w:p>
            <w:pPr>
              <w:rPr>
                <w:kern w:val="0"/>
                <w:szCs w:val="21"/>
              </w:rPr>
            </w:pPr>
            <w:r>
              <w:rPr>
                <w:rFonts w:hint="eastAsia"/>
                <w:color w:val="000000"/>
                <w:szCs w:val="21"/>
              </w:rPr>
              <w:t>实习总结、考核</w:t>
            </w:r>
          </w:p>
        </w:tc>
        <w:tc>
          <w:tcPr>
            <w:tcW w:w="1134" w:type="dxa"/>
            <w:shd w:val="clear" w:color="auto" w:fill="auto"/>
            <w:noWrap w:val="0"/>
            <w:vAlign w:val="center"/>
          </w:tcPr>
          <w:p>
            <w:pPr>
              <w:rPr>
                <w:szCs w:val="21"/>
              </w:rPr>
            </w:pPr>
          </w:p>
        </w:tc>
        <w:tc>
          <w:tcPr>
            <w:tcW w:w="2028" w:type="dxa"/>
            <w:shd w:val="clear" w:color="auto" w:fill="auto"/>
            <w:noWrap w:val="0"/>
            <w:vAlign w:val="center"/>
          </w:tcPr>
          <w:p>
            <w:pPr>
              <w:rPr>
                <w:szCs w:val="21"/>
              </w:rPr>
            </w:pPr>
          </w:p>
        </w:tc>
        <w:tc>
          <w:tcPr>
            <w:tcW w:w="699" w:type="dxa"/>
            <w:shd w:val="clear" w:color="auto" w:fill="auto"/>
            <w:noWrap w:val="0"/>
            <w:vAlign w:val="center"/>
          </w:tcPr>
          <w:p>
            <w:pPr>
              <w:jc w:val="center"/>
              <w:rPr>
                <w:szCs w:val="21"/>
              </w:rPr>
            </w:pPr>
            <w:r>
              <w:rPr>
                <w:szCs w:val="21"/>
              </w:rPr>
              <w:t>1</w:t>
            </w:r>
            <w:r>
              <w:rPr>
                <w:rFonts w:hint="eastAsia"/>
                <w:szCs w:val="21"/>
              </w:rPr>
              <w:t>周</w:t>
            </w:r>
          </w:p>
        </w:tc>
        <w:tc>
          <w:tcPr>
            <w:tcW w:w="975" w:type="dxa"/>
            <w:shd w:val="clear" w:color="auto" w:fill="auto"/>
            <w:noWrap w:val="0"/>
            <w:vAlign w:val="center"/>
          </w:tcPr>
          <w:p>
            <w:pPr>
              <w:rPr>
                <w:szCs w:val="21"/>
              </w:rPr>
            </w:pPr>
          </w:p>
        </w:tc>
        <w:tc>
          <w:tcPr>
            <w:tcW w:w="925" w:type="dxa"/>
            <w:shd w:val="clear" w:color="auto" w:fill="auto"/>
            <w:noWrap w:val="0"/>
            <w:vAlign w:val="center"/>
          </w:tcPr>
          <w:p>
            <w:pPr>
              <w:jc w:val="center"/>
              <w:rPr>
                <w:b/>
                <w:kern w:val="0"/>
                <w:szCs w:val="21"/>
              </w:rPr>
            </w:pPr>
          </w:p>
        </w:tc>
      </w:tr>
    </w:tbl>
    <w:p>
      <w:pPr>
        <w:spacing w:line="360" w:lineRule="auto"/>
        <w:rPr>
          <w:rFonts w:hint="eastAsia"/>
          <w:b/>
          <w:sz w:val="28"/>
          <w:szCs w:val="28"/>
        </w:rPr>
      </w:pPr>
    </w:p>
    <w:p>
      <w:pPr>
        <w:spacing w:line="360" w:lineRule="auto"/>
        <w:ind w:firstLine="562" w:firstLineChars="200"/>
        <w:rPr>
          <w:b/>
          <w:sz w:val="28"/>
          <w:szCs w:val="28"/>
        </w:rPr>
      </w:pPr>
      <w:r>
        <w:rPr>
          <w:rFonts w:hint="eastAsia"/>
          <w:b/>
          <w:sz w:val="28"/>
          <w:szCs w:val="28"/>
        </w:rPr>
        <w:t>四</w:t>
      </w:r>
      <w:r>
        <w:rPr>
          <w:b/>
          <w:sz w:val="28"/>
          <w:szCs w:val="28"/>
        </w:rPr>
        <w:t>、</w:t>
      </w:r>
      <w:r>
        <w:rPr>
          <w:rFonts w:hint="eastAsia"/>
          <w:b/>
          <w:sz w:val="28"/>
          <w:szCs w:val="28"/>
        </w:rPr>
        <w:t>课程实施</w:t>
      </w:r>
    </w:p>
    <w:p>
      <w:pPr>
        <w:spacing w:line="360" w:lineRule="auto"/>
        <w:ind w:firstLine="480" w:firstLineChars="200"/>
        <w:rPr>
          <w:sz w:val="24"/>
        </w:rPr>
      </w:pPr>
      <w:r>
        <w:rPr>
          <w:rFonts w:hint="eastAsia"/>
          <w:sz w:val="24"/>
        </w:rPr>
        <w:t>（一）实习方式</w:t>
      </w:r>
    </w:p>
    <w:p>
      <w:pPr>
        <w:spacing w:line="360" w:lineRule="auto"/>
        <w:ind w:firstLine="480" w:firstLineChars="200"/>
        <w:rPr>
          <w:sz w:val="24"/>
        </w:rPr>
      </w:pPr>
      <w:r>
        <w:rPr>
          <w:rFonts w:hint="eastAsia"/>
          <w:sz w:val="24"/>
        </w:rPr>
        <w:t>1</w:t>
      </w:r>
      <w:r>
        <w:rPr>
          <w:sz w:val="24"/>
        </w:rPr>
        <w:t xml:space="preserve">. </w:t>
      </w:r>
      <w:r>
        <w:rPr>
          <w:rFonts w:hint="eastAsia"/>
          <w:sz w:val="24"/>
        </w:rPr>
        <w:t>实习动员、专题讲座：讲明实习目的、任务、要求、实习安排和组织形式、实习记录和考核方法；生产车间技术专题讲座，了解生产装置和工艺流程。</w:t>
      </w:r>
    </w:p>
    <w:p>
      <w:pPr>
        <w:spacing w:line="360" w:lineRule="auto"/>
        <w:ind w:firstLine="480" w:firstLineChars="200"/>
        <w:rPr>
          <w:sz w:val="24"/>
        </w:rPr>
      </w:pPr>
      <w:r>
        <w:rPr>
          <w:rFonts w:hint="eastAsia"/>
          <w:sz w:val="24"/>
        </w:rPr>
        <w:t>2</w:t>
      </w:r>
      <w:r>
        <w:rPr>
          <w:sz w:val="24"/>
        </w:rPr>
        <w:t xml:space="preserve">. </w:t>
      </w:r>
      <w:r>
        <w:rPr>
          <w:rFonts w:hint="eastAsia"/>
          <w:sz w:val="24"/>
        </w:rPr>
        <w:t>入厂教育：实习企业的概况介绍，安全教育，以保整个实习期间的生产安全和人身安全。</w:t>
      </w:r>
    </w:p>
    <w:p>
      <w:pPr>
        <w:spacing w:line="360" w:lineRule="auto"/>
        <w:ind w:firstLine="480" w:firstLineChars="200"/>
        <w:rPr>
          <w:sz w:val="24"/>
        </w:rPr>
      </w:pPr>
      <w:r>
        <w:rPr>
          <w:rFonts w:hint="eastAsia"/>
          <w:sz w:val="24"/>
        </w:rPr>
        <w:t>3</w:t>
      </w:r>
      <w:r>
        <w:rPr>
          <w:sz w:val="24"/>
        </w:rPr>
        <w:t xml:space="preserve">. </w:t>
      </w:r>
      <w:r>
        <w:rPr>
          <w:rFonts w:hint="eastAsia"/>
          <w:sz w:val="24"/>
        </w:rPr>
        <w:t>参观实习：在实习企业技术人员带领下，参观厂区和上产装置等。</w:t>
      </w:r>
    </w:p>
    <w:p>
      <w:pPr>
        <w:spacing w:line="360" w:lineRule="auto"/>
        <w:ind w:firstLine="480" w:firstLineChars="200"/>
        <w:rPr>
          <w:rFonts w:hint="eastAsia"/>
          <w:sz w:val="24"/>
        </w:rPr>
      </w:pPr>
      <w:r>
        <w:rPr>
          <w:rFonts w:hint="eastAsia"/>
          <w:sz w:val="24"/>
        </w:rPr>
        <w:t>4</w:t>
      </w:r>
      <w:r>
        <w:rPr>
          <w:sz w:val="24"/>
        </w:rPr>
        <w:t>.</w:t>
      </w:r>
      <w:r>
        <w:rPr>
          <w:rFonts w:hint="eastAsia"/>
          <w:sz w:val="24"/>
        </w:rPr>
        <w:t xml:space="preserve"> 重点岗位实习：深入现场实习。阅读技术文件，理清工艺流程，认识设备结构，在技术人员指导下参与操作，记录并分析数据等。</w:t>
      </w:r>
    </w:p>
    <w:p>
      <w:pPr>
        <w:spacing w:line="360" w:lineRule="auto"/>
        <w:ind w:firstLine="480" w:firstLineChars="200"/>
        <w:rPr>
          <w:rFonts w:hint="eastAsia"/>
          <w:sz w:val="24"/>
        </w:rPr>
      </w:pPr>
      <w:r>
        <w:rPr>
          <w:sz w:val="24"/>
        </w:rPr>
        <w:t xml:space="preserve">5. </w:t>
      </w:r>
      <w:r>
        <w:rPr>
          <w:rFonts w:hint="eastAsia"/>
          <w:sz w:val="24"/>
        </w:rPr>
        <w:t>实习总结、考核：根据实习日记完成实习个人总结、撰写实习报告，汇报和交流实习情况，实习成绩评定等。</w:t>
      </w:r>
    </w:p>
    <w:p>
      <w:pPr>
        <w:spacing w:line="360" w:lineRule="auto"/>
        <w:ind w:firstLine="480" w:firstLineChars="200"/>
        <w:rPr>
          <w:sz w:val="24"/>
        </w:rPr>
      </w:pPr>
      <w:r>
        <w:rPr>
          <w:rFonts w:hint="eastAsia"/>
          <w:sz w:val="24"/>
        </w:rPr>
        <w:t>（二）主要教学环节质量要求如表所示。</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691"/>
        <w:gridCol w:w="6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7" w:type="dxa"/>
            <w:gridSpan w:val="2"/>
            <w:tcBorders>
              <w:top w:val="single" w:color="auto" w:sz="8" w:space="0"/>
              <w:left w:val="single" w:color="auto" w:sz="8" w:space="0"/>
              <w:right w:val="single" w:color="auto" w:sz="8" w:space="0"/>
            </w:tcBorders>
            <w:noWrap w:val="0"/>
            <w:tcMar>
              <w:left w:w="28" w:type="dxa"/>
              <w:right w:w="28" w:type="dxa"/>
            </w:tcMar>
            <w:vAlign w:val="center"/>
          </w:tcPr>
          <w:p>
            <w:pPr>
              <w:jc w:val="center"/>
              <w:rPr>
                <w:szCs w:val="21"/>
              </w:rPr>
            </w:pPr>
            <w:r>
              <w:rPr>
                <w:bCs/>
                <w:szCs w:val="21"/>
              </w:rPr>
              <w:t>主要教学环节</w:t>
            </w:r>
          </w:p>
        </w:tc>
        <w:tc>
          <w:tcPr>
            <w:tcW w:w="6773" w:type="dxa"/>
            <w:tcBorders>
              <w:top w:val="single" w:color="auto" w:sz="8" w:space="0"/>
              <w:left w:val="single" w:color="auto" w:sz="8" w:space="0"/>
              <w:right w:val="single" w:color="auto" w:sz="8" w:space="0"/>
            </w:tcBorders>
            <w:noWrap w:val="0"/>
            <w:vAlign w:val="center"/>
          </w:tcPr>
          <w:p>
            <w:pPr>
              <w:jc w:val="center"/>
              <w:rPr>
                <w:szCs w:val="21"/>
              </w:rPr>
            </w:pPr>
            <w:r>
              <w:rPr>
                <w:bCs/>
                <w:szCs w:val="21"/>
              </w:rPr>
              <w:t>质量</w:t>
            </w:r>
            <w:r>
              <w:rPr>
                <w:rFonts w:hint="eastAsia"/>
                <w:bCs/>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left w:val="single" w:color="auto" w:sz="8" w:space="0"/>
            </w:tcBorders>
            <w:noWrap w:val="0"/>
            <w:vAlign w:val="center"/>
          </w:tcPr>
          <w:p>
            <w:pPr>
              <w:jc w:val="center"/>
              <w:rPr>
                <w:szCs w:val="21"/>
              </w:rPr>
            </w:pPr>
            <w:r>
              <w:rPr>
                <w:szCs w:val="21"/>
              </w:rPr>
              <w:t>1</w:t>
            </w:r>
          </w:p>
        </w:tc>
        <w:tc>
          <w:tcPr>
            <w:tcW w:w="1691" w:type="dxa"/>
            <w:noWrap w:val="0"/>
            <w:tcMar>
              <w:left w:w="28" w:type="dxa"/>
              <w:right w:w="28" w:type="dxa"/>
            </w:tcMar>
            <w:vAlign w:val="center"/>
          </w:tcPr>
          <w:p>
            <w:pPr>
              <w:jc w:val="center"/>
              <w:rPr>
                <w:szCs w:val="21"/>
              </w:rPr>
            </w:pPr>
            <w:r>
              <w:rPr>
                <w:rFonts w:hint="eastAsia"/>
                <w:szCs w:val="21"/>
              </w:rPr>
              <w:t>准备阶段</w:t>
            </w:r>
          </w:p>
        </w:tc>
        <w:tc>
          <w:tcPr>
            <w:tcW w:w="6773" w:type="dxa"/>
            <w:tcBorders>
              <w:right w:val="single" w:color="auto" w:sz="8" w:space="0"/>
            </w:tcBorders>
            <w:noWrap w:val="0"/>
            <w:vAlign w:val="center"/>
          </w:tcPr>
          <w:p>
            <w:pPr>
              <w:rPr>
                <w:szCs w:val="21"/>
              </w:rPr>
            </w:pPr>
            <w:r>
              <w:rPr>
                <w:rFonts w:hint="eastAsia"/>
                <w:szCs w:val="21"/>
              </w:rPr>
              <w:t>（</w:t>
            </w:r>
            <w:r>
              <w:rPr>
                <w:szCs w:val="21"/>
              </w:rPr>
              <w:t>1</w:t>
            </w:r>
            <w:r>
              <w:rPr>
                <w:rFonts w:hint="eastAsia"/>
                <w:szCs w:val="21"/>
              </w:rPr>
              <w:t>）掌握本课程在本专业人才培养过程中的地位和作用，明确本课程的教学目的、任务和要求。</w:t>
            </w:r>
          </w:p>
          <w:p>
            <w:pPr>
              <w:rPr>
                <w:rFonts w:hint="eastAsia"/>
                <w:szCs w:val="21"/>
              </w:rPr>
            </w:pPr>
            <w:r>
              <w:rPr>
                <w:rFonts w:hint="eastAsia"/>
                <w:szCs w:val="21"/>
              </w:rPr>
              <w:t>（</w:t>
            </w:r>
            <w:r>
              <w:rPr>
                <w:szCs w:val="21"/>
              </w:rPr>
              <w:t>2</w:t>
            </w:r>
            <w:r>
              <w:rPr>
                <w:rFonts w:hint="eastAsia"/>
                <w:szCs w:val="21"/>
              </w:rPr>
              <w:t>）</w:t>
            </w:r>
            <w:r>
              <w:rPr>
                <w:szCs w:val="21"/>
              </w:rPr>
              <w:t>对</w:t>
            </w:r>
            <w:r>
              <w:rPr>
                <w:rFonts w:hint="eastAsia"/>
                <w:szCs w:val="21"/>
              </w:rPr>
              <w:t>实习企业进行调查了解，对实习工厂的工艺流程、主要产品做到心中有数。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left w:val="single" w:color="auto" w:sz="8" w:space="0"/>
            </w:tcBorders>
            <w:noWrap w:val="0"/>
            <w:vAlign w:val="center"/>
          </w:tcPr>
          <w:p>
            <w:pPr>
              <w:jc w:val="center"/>
              <w:rPr>
                <w:szCs w:val="21"/>
              </w:rPr>
            </w:pPr>
            <w:r>
              <w:rPr>
                <w:szCs w:val="21"/>
              </w:rPr>
              <w:t>2</w:t>
            </w:r>
          </w:p>
        </w:tc>
        <w:tc>
          <w:tcPr>
            <w:tcW w:w="1691" w:type="dxa"/>
            <w:noWrap w:val="0"/>
            <w:tcMar>
              <w:left w:w="28" w:type="dxa"/>
              <w:right w:w="28" w:type="dxa"/>
            </w:tcMar>
            <w:vAlign w:val="center"/>
          </w:tcPr>
          <w:p>
            <w:pPr>
              <w:jc w:val="center"/>
              <w:rPr>
                <w:szCs w:val="21"/>
              </w:rPr>
            </w:pPr>
            <w:r>
              <w:rPr>
                <w:rFonts w:hint="eastAsia"/>
                <w:szCs w:val="21"/>
              </w:rPr>
              <w:t>实施阶段</w:t>
            </w:r>
          </w:p>
        </w:tc>
        <w:tc>
          <w:tcPr>
            <w:tcW w:w="6773" w:type="dxa"/>
            <w:tcBorders>
              <w:right w:val="single" w:color="auto" w:sz="8" w:space="0"/>
            </w:tcBorders>
            <w:noWrap w:val="0"/>
            <w:vAlign w:val="center"/>
          </w:tcPr>
          <w:p>
            <w:pPr>
              <w:rPr>
                <w:szCs w:val="21"/>
              </w:rPr>
            </w:pPr>
            <w:r>
              <w:rPr>
                <w:rFonts w:hint="eastAsia"/>
                <w:szCs w:val="21"/>
              </w:rPr>
              <w:t>（</w:t>
            </w:r>
            <w:r>
              <w:rPr>
                <w:szCs w:val="21"/>
              </w:rPr>
              <w:t>1</w:t>
            </w:r>
            <w:r>
              <w:rPr>
                <w:rFonts w:hint="eastAsia"/>
                <w:szCs w:val="21"/>
              </w:rPr>
              <w:t>）就现场所能接触到的工艺和设备问题，可提出一些问题交给学生，让学生分析问题，请教技术人员、工人师傅，进行答疑和讨论。</w:t>
            </w:r>
          </w:p>
          <w:p>
            <w:pPr>
              <w:rPr>
                <w:rFonts w:hint="eastAsia"/>
                <w:szCs w:val="21"/>
              </w:rPr>
            </w:pPr>
            <w:r>
              <w:rPr>
                <w:rFonts w:hint="eastAsia"/>
                <w:szCs w:val="21"/>
              </w:rPr>
              <w:t>（2）注重能力的培养，培养学生在实践中的学习能力，引导学生通过实习加深对所学课程的理解，将书本知识与生产实际相结合。</w:t>
            </w:r>
          </w:p>
          <w:p>
            <w:pPr>
              <w:rPr>
                <w:szCs w:val="21"/>
              </w:rPr>
            </w:pPr>
            <w:r>
              <w:rPr>
                <w:rFonts w:hint="eastAsia"/>
                <w:szCs w:val="21"/>
              </w:rPr>
              <w:t>（3）严格组织纪律，关心学生实习生活，使学生在德智体诸方面得到发展。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left w:val="single" w:color="auto" w:sz="8" w:space="0"/>
            </w:tcBorders>
            <w:noWrap w:val="0"/>
            <w:vAlign w:val="center"/>
          </w:tcPr>
          <w:p>
            <w:pPr>
              <w:jc w:val="center"/>
              <w:rPr>
                <w:szCs w:val="21"/>
              </w:rPr>
            </w:pPr>
            <w:r>
              <w:rPr>
                <w:szCs w:val="21"/>
              </w:rPr>
              <w:t>3</w:t>
            </w:r>
          </w:p>
        </w:tc>
        <w:tc>
          <w:tcPr>
            <w:tcW w:w="1691" w:type="dxa"/>
            <w:noWrap w:val="0"/>
            <w:tcMar>
              <w:left w:w="28" w:type="dxa"/>
              <w:right w:w="28" w:type="dxa"/>
            </w:tcMar>
            <w:vAlign w:val="center"/>
          </w:tcPr>
          <w:p>
            <w:pPr>
              <w:jc w:val="center"/>
              <w:rPr>
                <w:szCs w:val="21"/>
              </w:rPr>
            </w:pPr>
            <w:r>
              <w:rPr>
                <w:rFonts w:hint="eastAsia"/>
                <w:szCs w:val="21"/>
              </w:rPr>
              <w:t>总结</w:t>
            </w:r>
            <w:r>
              <w:rPr>
                <w:szCs w:val="21"/>
              </w:rPr>
              <w:t>考核</w:t>
            </w:r>
          </w:p>
        </w:tc>
        <w:tc>
          <w:tcPr>
            <w:tcW w:w="6773" w:type="dxa"/>
            <w:tcBorders>
              <w:right w:val="single" w:color="auto" w:sz="8" w:space="0"/>
            </w:tcBorders>
            <w:noWrap w:val="0"/>
            <w:vAlign w:val="center"/>
          </w:tcPr>
          <w:p>
            <w:pPr>
              <w:rPr>
                <w:rFonts w:hint="eastAsia"/>
                <w:szCs w:val="21"/>
              </w:rPr>
            </w:pPr>
            <w:r>
              <w:rPr>
                <w:rFonts w:hint="eastAsia"/>
                <w:szCs w:val="21"/>
              </w:rPr>
              <w:t>（1）能促进和巩固实习效果，保证和提高教学质量。</w:t>
            </w:r>
          </w:p>
          <w:p>
            <w:pPr>
              <w:rPr>
                <w:rFonts w:hint="eastAsia"/>
                <w:szCs w:val="21"/>
              </w:rPr>
            </w:pPr>
            <w:r>
              <w:rPr>
                <w:rFonts w:hint="eastAsia"/>
                <w:szCs w:val="21"/>
              </w:rPr>
              <w:t>（2）通过对考核质量的定性或定量分析，改进以后的考核，使之科学化、合理化。</w:t>
            </w:r>
          </w:p>
        </w:tc>
      </w:tr>
    </w:tbl>
    <w:p>
      <w:pPr>
        <w:spacing w:line="360" w:lineRule="auto"/>
        <w:rPr>
          <w:rFonts w:hint="eastAsia"/>
          <w:sz w:val="24"/>
        </w:rPr>
      </w:pPr>
    </w:p>
    <w:p>
      <w:pPr>
        <w:spacing w:line="360" w:lineRule="auto"/>
        <w:ind w:left="562"/>
        <w:rPr>
          <w:b/>
          <w:sz w:val="28"/>
          <w:szCs w:val="28"/>
        </w:rPr>
      </w:pPr>
      <w:r>
        <w:rPr>
          <w:rFonts w:hint="eastAsia"/>
          <w:b/>
          <w:sz w:val="28"/>
          <w:szCs w:val="28"/>
        </w:rPr>
        <w:t>五、</w:t>
      </w:r>
      <w:r>
        <w:rPr>
          <w:b/>
          <w:sz w:val="28"/>
          <w:szCs w:val="28"/>
        </w:rPr>
        <w:t>课程考核</w:t>
      </w:r>
    </w:p>
    <w:p>
      <w:pPr>
        <w:spacing w:line="360" w:lineRule="auto"/>
        <w:ind w:firstLine="480" w:firstLineChars="200"/>
        <w:rPr>
          <w:bCs/>
          <w:color w:val="000000"/>
          <w:sz w:val="24"/>
        </w:rPr>
      </w:pPr>
      <w:r>
        <w:rPr>
          <w:rFonts w:hint="eastAsia"/>
          <w:bCs/>
          <w:color w:val="000000"/>
          <w:sz w:val="24"/>
        </w:rPr>
        <w:t>（一）</w:t>
      </w:r>
      <w:r>
        <w:rPr>
          <w:bCs/>
          <w:color w:val="000000"/>
          <w:sz w:val="24"/>
        </w:rPr>
        <w:t>课程考核包括</w:t>
      </w:r>
      <w:r>
        <w:rPr>
          <w:rFonts w:hint="eastAsia"/>
          <w:bCs/>
          <w:color w:val="000000"/>
          <w:sz w:val="24"/>
        </w:rPr>
        <w:t>学生实习态度和表现</w:t>
      </w:r>
      <w:r>
        <w:rPr>
          <w:bCs/>
          <w:color w:val="000000"/>
          <w:sz w:val="24"/>
        </w:rPr>
        <w:t>、</w:t>
      </w:r>
      <w:r>
        <w:rPr>
          <w:rFonts w:hint="eastAsia"/>
          <w:bCs/>
          <w:color w:val="000000"/>
          <w:sz w:val="24"/>
        </w:rPr>
        <w:t>实习笔记、现场考核成绩</w:t>
      </w:r>
      <w:r>
        <w:rPr>
          <w:bCs/>
          <w:color w:val="000000"/>
          <w:sz w:val="24"/>
        </w:rPr>
        <w:t>和</w:t>
      </w:r>
      <w:r>
        <w:rPr>
          <w:rFonts w:hint="eastAsia"/>
          <w:bCs/>
          <w:color w:val="000000"/>
          <w:sz w:val="24"/>
        </w:rPr>
        <w:t>实习报告等</w:t>
      </w:r>
      <w:r>
        <w:rPr>
          <w:bCs/>
          <w:color w:val="000000"/>
          <w:sz w:val="24"/>
        </w:rPr>
        <w:t>。</w:t>
      </w:r>
    </w:p>
    <w:p>
      <w:pPr>
        <w:spacing w:line="360" w:lineRule="auto"/>
        <w:ind w:firstLine="480" w:firstLineChars="200"/>
        <w:rPr>
          <w:sz w:val="24"/>
        </w:rPr>
      </w:pPr>
      <w:r>
        <w:rPr>
          <w:bCs/>
          <w:color w:val="000000"/>
          <w:sz w:val="24"/>
        </w:rPr>
        <w:t>（二）</w:t>
      </w:r>
      <w:r>
        <w:rPr>
          <w:sz w:val="24"/>
        </w:rPr>
        <w:t>课程</w:t>
      </w:r>
      <w:r>
        <w:rPr>
          <w:rFonts w:hint="eastAsia"/>
          <w:sz w:val="24"/>
        </w:rPr>
        <w:t>总评</w:t>
      </w:r>
      <w:r>
        <w:rPr>
          <w:sz w:val="24"/>
        </w:rPr>
        <w:t>成绩=</w:t>
      </w:r>
      <w:r>
        <w:rPr>
          <w:rFonts w:hint="eastAsia"/>
          <w:sz w:val="24"/>
        </w:rPr>
        <w:t>学生实习态度和表现</w:t>
      </w:r>
      <w:r>
        <w:rPr>
          <w:sz w:val="24"/>
        </w:rPr>
        <w:t>×20%+</w:t>
      </w:r>
      <w:r>
        <w:rPr>
          <w:rFonts w:hint="eastAsia"/>
          <w:sz w:val="24"/>
        </w:rPr>
        <w:t>实习笔记</w:t>
      </w:r>
      <w:r>
        <w:rPr>
          <w:sz w:val="24"/>
        </w:rPr>
        <w:t>×20%+</w:t>
      </w:r>
      <w:r>
        <w:rPr>
          <w:rFonts w:hint="eastAsia"/>
          <w:sz w:val="24"/>
        </w:rPr>
        <w:t>现场考核</w:t>
      </w:r>
      <w:r>
        <w:rPr>
          <w:sz w:val="24"/>
        </w:rPr>
        <w:t>×20%+</w:t>
      </w:r>
      <w:r>
        <w:rPr>
          <w:rFonts w:hint="eastAsia"/>
          <w:bCs/>
          <w:color w:val="000000"/>
          <w:sz w:val="24"/>
        </w:rPr>
        <w:t>实习报告</w:t>
      </w:r>
      <w:r>
        <w:rPr>
          <w:sz w:val="24"/>
        </w:rPr>
        <w:t>×40%。具体内容和比例</w:t>
      </w:r>
      <w:r>
        <w:rPr>
          <w:rFonts w:hint="eastAsia"/>
          <w:sz w:val="24"/>
        </w:rPr>
        <w:t>如表所示。</w:t>
      </w:r>
    </w:p>
    <w:p>
      <w:pPr>
        <w:spacing w:line="360" w:lineRule="auto"/>
        <w:ind w:firstLine="480" w:firstLineChars="200"/>
        <w:rPr>
          <w:sz w:val="24"/>
        </w:rPr>
      </w:pPr>
      <w:r>
        <w:rPr>
          <w:rFonts w:hint="eastAsia"/>
          <w:sz w:val="24"/>
        </w:rPr>
        <w:t>（三）课程总评成绩的具体内容和比例如下表所示：</w:t>
      </w:r>
    </w:p>
    <w:p>
      <w:pPr>
        <w:spacing w:line="360" w:lineRule="auto"/>
        <w:ind w:firstLine="480" w:firstLineChars="200"/>
        <w:rPr>
          <w:rFonts w:hint="eastAsia"/>
          <w:sz w:val="24"/>
        </w:rPr>
      </w:pPr>
    </w:p>
    <w:tbl>
      <w:tblPr>
        <w:tblStyle w:val="10"/>
        <w:tblpPr w:leftFromText="180" w:rightFromText="180" w:vertAnchor="text" w:horzAnchor="margin" w:tblpXSpec="center" w:tblpY="2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7"/>
        <w:gridCol w:w="1620"/>
        <w:gridCol w:w="3704"/>
        <w:gridCol w:w="854"/>
        <w:gridCol w:w="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48" w:type="pct"/>
            <w:vMerge w:val="restart"/>
            <w:shd w:val="clear" w:color="auto" w:fill="FFFFFF"/>
            <w:noWrap w:val="0"/>
            <w:tcMar>
              <w:left w:w="57" w:type="dxa"/>
              <w:right w:w="57" w:type="dxa"/>
            </w:tcMar>
            <w:vAlign w:val="center"/>
          </w:tcPr>
          <w:p>
            <w:pPr>
              <w:jc w:val="center"/>
            </w:pPr>
            <w:r>
              <w:rPr>
                <w:rFonts w:hint="eastAsia"/>
              </w:rPr>
              <w:t>考核环节</w:t>
            </w:r>
          </w:p>
        </w:tc>
        <w:tc>
          <w:tcPr>
            <w:tcW w:w="956" w:type="pct"/>
            <w:vMerge w:val="restart"/>
            <w:shd w:val="clear" w:color="auto" w:fill="FFFFFF"/>
            <w:noWrap w:val="0"/>
            <w:vAlign w:val="center"/>
          </w:tcPr>
          <w:p>
            <w:pPr>
              <w:jc w:val="center"/>
            </w:pPr>
            <w:r>
              <w:rPr>
                <w:rFonts w:hint="eastAsia"/>
              </w:rPr>
              <w:t>成绩比例</w:t>
            </w:r>
          </w:p>
        </w:tc>
        <w:tc>
          <w:tcPr>
            <w:tcW w:w="2186" w:type="pct"/>
            <w:vMerge w:val="restart"/>
            <w:shd w:val="clear" w:color="auto" w:fill="FFFFFF"/>
            <w:noWrap w:val="0"/>
            <w:vAlign w:val="center"/>
          </w:tcPr>
          <w:p>
            <w:pPr>
              <w:jc w:val="center"/>
            </w:pPr>
            <w:r>
              <w:t>考核</w:t>
            </w:r>
            <w:r>
              <w:rPr>
                <w:rFonts w:hint="eastAsia"/>
              </w:rPr>
              <w:t>内容与</w:t>
            </w:r>
            <w:r>
              <w:t>评价细则</w:t>
            </w:r>
          </w:p>
        </w:tc>
        <w:tc>
          <w:tcPr>
            <w:tcW w:w="1009" w:type="pct"/>
            <w:gridSpan w:val="2"/>
            <w:shd w:val="clear" w:color="auto" w:fill="FFFFFF"/>
            <w:noWrap w:val="0"/>
            <w:vAlign w:val="top"/>
          </w:tcPr>
          <w:p>
            <w:pPr>
              <w:jc w:val="center"/>
            </w:pPr>
            <w:r>
              <w:rPr>
                <w:rFonts w:hint="eastAsia"/>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48" w:type="pct"/>
            <w:vMerge w:val="continue"/>
            <w:shd w:val="clear" w:color="auto" w:fill="FFFFFF"/>
            <w:noWrap w:val="0"/>
            <w:tcMar>
              <w:left w:w="57" w:type="dxa"/>
              <w:right w:w="57" w:type="dxa"/>
            </w:tcMar>
            <w:vAlign w:val="center"/>
          </w:tcPr>
          <w:p>
            <w:pPr>
              <w:jc w:val="center"/>
            </w:pPr>
          </w:p>
        </w:tc>
        <w:tc>
          <w:tcPr>
            <w:tcW w:w="956" w:type="pct"/>
            <w:vMerge w:val="continue"/>
            <w:shd w:val="clear" w:color="auto" w:fill="FFFFFF"/>
            <w:noWrap w:val="0"/>
            <w:vAlign w:val="center"/>
          </w:tcPr>
          <w:p>
            <w:pPr>
              <w:jc w:val="center"/>
            </w:pPr>
          </w:p>
        </w:tc>
        <w:tc>
          <w:tcPr>
            <w:tcW w:w="2186" w:type="pct"/>
            <w:vMerge w:val="continue"/>
            <w:shd w:val="clear" w:color="auto" w:fill="FFFFFF"/>
            <w:noWrap w:val="0"/>
            <w:vAlign w:val="center"/>
          </w:tcPr>
          <w:p>
            <w:pPr>
              <w:jc w:val="center"/>
            </w:pPr>
          </w:p>
        </w:tc>
        <w:tc>
          <w:tcPr>
            <w:tcW w:w="504" w:type="pct"/>
            <w:shd w:val="clear" w:color="auto" w:fill="FFFFFF"/>
            <w:noWrap w:val="0"/>
            <w:vAlign w:val="center"/>
          </w:tcPr>
          <w:p>
            <w:pPr>
              <w:jc w:val="center"/>
            </w:pPr>
            <w:r>
              <w:rPr>
                <w:rFonts w:hint="eastAsia"/>
              </w:rPr>
              <w:t>目标1</w:t>
            </w:r>
          </w:p>
        </w:tc>
        <w:tc>
          <w:tcPr>
            <w:tcW w:w="505" w:type="pct"/>
            <w:shd w:val="clear" w:color="auto" w:fill="FFFFFF"/>
            <w:noWrap w:val="0"/>
            <w:vAlign w:val="center"/>
          </w:tcPr>
          <w:p>
            <w:pPr>
              <w:jc w:val="center"/>
            </w:pPr>
            <w:r>
              <w:rPr>
                <w:rFonts w:hint="eastAsia"/>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3" w:hRule="atLeast"/>
        </w:trPr>
        <w:tc>
          <w:tcPr>
            <w:tcW w:w="848" w:type="pct"/>
            <w:shd w:val="clear" w:color="auto" w:fill="FFFFFF"/>
            <w:noWrap w:val="0"/>
            <w:tcMar>
              <w:left w:w="57" w:type="dxa"/>
              <w:right w:w="57" w:type="dxa"/>
            </w:tcMar>
            <w:vAlign w:val="center"/>
          </w:tcPr>
          <w:p>
            <w:pPr>
              <w:jc w:val="center"/>
              <w:rPr>
                <w:szCs w:val="21"/>
              </w:rPr>
            </w:pPr>
            <w:r>
              <w:rPr>
                <w:rFonts w:hint="eastAsia"/>
                <w:szCs w:val="21"/>
              </w:rPr>
              <w:t>学生实习态度和表现</w:t>
            </w:r>
          </w:p>
        </w:tc>
        <w:tc>
          <w:tcPr>
            <w:tcW w:w="956" w:type="pct"/>
            <w:shd w:val="clear" w:color="auto" w:fill="FFFFFF"/>
            <w:noWrap w:val="0"/>
            <w:vAlign w:val="center"/>
          </w:tcPr>
          <w:p>
            <w:pPr>
              <w:jc w:val="center"/>
            </w:pPr>
            <w:r>
              <w:rPr>
                <w:rFonts w:hint="eastAsia"/>
              </w:rPr>
              <w:t>20%</w:t>
            </w:r>
          </w:p>
        </w:tc>
        <w:tc>
          <w:tcPr>
            <w:tcW w:w="2186" w:type="pct"/>
            <w:shd w:val="clear" w:color="auto" w:fill="FFFFFF"/>
            <w:noWrap w:val="0"/>
            <w:vAlign w:val="center"/>
          </w:tcPr>
          <w:p>
            <w:pPr>
              <w:rPr>
                <w:color w:val="000000"/>
                <w:szCs w:val="21"/>
              </w:rPr>
            </w:pPr>
            <w:r>
              <w:rPr>
                <w:rFonts w:hint="eastAsia"/>
                <w:szCs w:val="21"/>
              </w:rPr>
              <w:t>以学生在实习过程中的积极性、认真程度等为评价指标，</w:t>
            </w:r>
            <w:r>
              <w:t>按20%计入总成绩。</w:t>
            </w:r>
          </w:p>
        </w:tc>
        <w:tc>
          <w:tcPr>
            <w:tcW w:w="504" w:type="pct"/>
            <w:shd w:val="clear" w:color="auto" w:fill="FFFFFF"/>
            <w:noWrap w:val="0"/>
            <w:vAlign w:val="center"/>
          </w:tcPr>
          <w:p>
            <w:pPr>
              <w:jc w:val="center"/>
              <w:rPr>
                <w:color w:val="000000"/>
                <w:szCs w:val="21"/>
              </w:rPr>
            </w:pPr>
            <w:r>
              <w:t>1</w:t>
            </w:r>
            <w:r>
              <w:rPr>
                <w:rFonts w:hint="eastAsia"/>
              </w:rPr>
              <w:t>0%</w:t>
            </w:r>
          </w:p>
        </w:tc>
        <w:tc>
          <w:tcPr>
            <w:tcW w:w="505" w:type="pct"/>
            <w:shd w:val="clear" w:color="auto" w:fill="FFFFFF"/>
            <w:noWrap w:val="0"/>
            <w:vAlign w:val="center"/>
          </w:tcPr>
          <w:p>
            <w:pPr>
              <w:jc w:val="center"/>
              <w:rPr>
                <w:color w:val="000000"/>
                <w:szCs w:val="21"/>
              </w:rPr>
            </w:pPr>
            <w:r>
              <w:t>1</w:t>
            </w: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848" w:type="pct"/>
            <w:shd w:val="clear" w:color="auto" w:fill="auto"/>
            <w:noWrap w:val="0"/>
            <w:tcMar>
              <w:left w:w="57" w:type="dxa"/>
              <w:right w:w="57" w:type="dxa"/>
            </w:tcMar>
            <w:vAlign w:val="center"/>
          </w:tcPr>
          <w:p>
            <w:pPr>
              <w:jc w:val="center"/>
            </w:pPr>
            <w:r>
              <w:rPr>
                <w:rFonts w:hint="eastAsia"/>
                <w:szCs w:val="21"/>
              </w:rPr>
              <w:t>实习笔记</w:t>
            </w:r>
          </w:p>
        </w:tc>
        <w:tc>
          <w:tcPr>
            <w:tcW w:w="956" w:type="pct"/>
            <w:shd w:val="clear" w:color="auto" w:fill="auto"/>
            <w:noWrap w:val="0"/>
            <w:vAlign w:val="center"/>
          </w:tcPr>
          <w:p>
            <w:pPr>
              <w:jc w:val="center"/>
            </w:pPr>
            <w:r>
              <w:t>2</w:t>
            </w:r>
            <w:r>
              <w:rPr>
                <w:rFonts w:hint="eastAsia"/>
              </w:rPr>
              <w:t>0</w:t>
            </w:r>
            <w:r>
              <w:t>%</w:t>
            </w:r>
          </w:p>
        </w:tc>
        <w:tc>
          <w:tcPr>
            <w:tcW w:w="2186" w:type="pct"/>
            <w:shd w:val="clear" w:color="auto" w:fill="auto"/>
            <w:noWrap w:val="0"/>
            <w:vAlign w:val="center"/>
          </w:tcPr>
          <w:p>
            <w:pPr>
              <w:rPr>
                <w:szCs w:val="21"/>
              </w:rPr>
            </w:pPr>
            <w:r>
              <w:rPr>
                <w:rFonts w:hint="eastAsia"/>
                <w:szCs w:val="21"/>
              </w:rPr>
              <w:t>以学生记录的相关知识点的完整性和条理性为评价指标，</w:t>
            </w:r>
            <w:r>
              <w:t>按20%计入总成绩。</w:t>
            </w:r>
          </w:p>
        </w:tc>
        <w:tc>
          <w:tcPr>
            <w:tcW w:w="504" w:type="pct"/>
            <w:shd w:val="clear" w:color="auto" w:fill="FFFFFF"/>
            <w:noWrap w:val="0"/>
            <w:vAlign w:val="center"/>
          </w:tcPr>
          <w:p>
            <w:pPr>
              <w:jc w:val="center"/>
              <w:rPr>
                <w:color w:val="000000"/>
                <w:szCs w:val="21"/>
              </w:rPr>
            </w:pPr>
            <w:r>
              <w:t>1</w:t>
            </w:r>
            <w:r>
              <w:rPr>
                <w:rFonts w:hint="eastAsia"/>
              </w:rPr>
              <w:t>0%</w:t>
            </w:r>
          </w:p>
        </w:tc>
        <w:tc>
          <w:tcPr>
            <w:tcW w:w="505" w:type="pct"/>
            <w:shd w:val="clear" w:color="auto" w:fill="FFFFFF"/>
            <w:noWrap w:val="0"/>
            <w:vAlign w:val="center"/>
          </w:tcPr>
          <w:p>
            <w:pPr>
              <w:jc w:val="center"/>
              <w:rPr>
                <w:color w:val="000000"/>
                <w:szCs w:val="21"/>
              </w:rPr>
            </w:pPr>
            <w:r>
              <w:t>1</w:t>
            </w: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6" w:hRule="atLeast"/>
        </w:trPr>
        <w:tc>
          <w:tcPr>
            <w:tcW w:w="848" w:type="pct"/>
            <w:shd w:val="clear" w:color="auto" w:fill="auto"/>
            <w:noWrap w:val="0"/>
            <w:tcMar>
              <w:left w:w="57" w:type="dxa"/>
              <w:right w:w="57" w:type="dxa"/>
            </w:tcMar>
            <w:vAlign w:val="center"/>
          </w:tcPr>
          <w:p>
            <w:pPr>
              <w:jc w:val="center"/>
              <w:rPr>
                <w:rFonts w:hint="eastAsia"/>
                <w:szCs w:val="21"/>
              </w:rPr>
            </w:pPr>
            <w:r>
              <w:rPr>
                <w:rFonts w:hint="eastAsia"/>
                <w:szCs w:val="21"/>
              </w:rPr>
              <w:t>现场考核</w:t>
            </w:r>
          </w:p>
        </w:tc>
        <w:tc>
          <w:tcPr>
            <w:tcW w:w="956" w:type="pct"/>
            <w:shd w:val="clear" w:color="auto" w:fill="auto"/>
            <w:noWrap w:val="0"/>
            <w:vAlign w:val="center"/>
          </w:tcPr>
          <w:p>
            <w:pPr>
              <w:jc w:val="center"/>
              <w:rPr>
                <w:rFonts w:hint="eastAsia"/>
              </w:rPr>
            </w:pPr>
            <w:r>
              <w:t>2</w:t>
            </w:r>
            <w:r>
              <w:rPr>
                <w:rFonts w:hint="eastAsia"/>
              </w:rPr>
              <w:t>0</w:t>
            </w:r>
            <w:r>
              <w:t>%</w:t>
            </w:r>
          </w:p>
        </w:tc>
        <w:tc>
          <w:tcPr>
            <w:tcW w:w="2186" w:type="pct"/>
            <w:shd w:val="clear" w:color="auto" w:fill="auto"/>
            <w:noWrap w:val="0"/>
            <w:vAlign w:val="center"/>
          </w:tcPr>
          <w:p>
            <w:pPr>
              <w:rPr>
                <w:rFonts w:hint="eastAsia"/>
                <w:szCs w:val="21"/>
              </w:rPr>
            </w:pPr>
            <w:r>
              <w:rPr>
                <w:color w:val="000000"/>
                <w:szCs w:val="21"/>
              </w:rPr>
              <w:t>以随机的形式，在</w:t>
            </w:r>
            <w:r>
              <w:rPr>
                <w:rFonts w:hint="eastAsia"/>
                <w:color w:val="000000"/>
                <w:szCs w:val="21"/>
              </w:rPr>
              <w:t>实习环节</w:t>
            </w:r>
            <w:r>
              <w:rPr>
                <w:color w:val="000000"/>
                <w:szCs w:val="21"/>
              </w:rPr>
              <w:t>进行中或结束后，测试1-3题，主要考核学生的</w:t>
            </w:r>
            <w:r>
              <w:rPr>
                <w:rFonts w:hint="eastAsia"/>
                <w:color w:val="000000"/>
                <w:szCs w:val="21"/>
              </w:rPr>
              <w:t>实习</w:t>
            </w:r>
            <w:r>
              <w:rPr>
                <w:color w:val="000000"/>
                <w:szCs w:val="21"/>
              </w:rPr>
              <w:t>效果和消化</w:t>
            </w:r>
            <w:r>
              <w:rPr>
                <w:rFonts w:hint="eastAsia"/>
                <w:color w:val="000000"/>
                <w:szCs w:val="21"/>
              </w:rPr>
              <w:t>相关</w:t>
            </w:r>
            <w:r>
              <w:rPr>
                <w:color w:val="000000"/>
                <w:szCs w:val="21"/>
              </w:rPr>
              <w:t>知识的能力</w:t>
            </w:r>
            <w:r>
              <w:rPr>
                <w:szCs w:val="21"/>
              </w:rPr>
              <w:t>，按20%计入课程总成绩。</w:t>
            </w:r>
          </w:p>
        </w:tc>
        <w:tc>
          <w:tcPr>
            <w:tcW w:w="504" w:type="pct"/>
            <w:shd w:val="clear" w:color="auto" w:fill="FFFFFF"/>
            <w:noWrap w:val="0"/>
            <w:vAlign w:val="center"/>
          </w:tcPr>
          <w:p>
            <w:pPr>
              <w:jc w:val="center"/>
              <w:rPr>
                <w:color w:val="000000"/>
                <w:szCs w:val="21"/>
              </w:rPr>
            </w:pPr>
            <w:r>
              <w:t>1</w:t>
            </w:r>
            <w:r>
              <w:rPr>
                <w:rFonts w:hint="eastAsia"/>
              </w:rPr>
              <w:t>0%</w:t>
            </w:r>
          </w:p>
        </w:tc>
        <w:tc>
          <w:tcPr>
            <w:tcW w:w="505" w:type="pct"/>
            <w:shd w:val="clear" w:color="auto" w:fill="FFFFFF"/>
            <w:noWrap w:val="0"/>
            <w:vAlign w:val="center"/>
          </w:tcPr>
          <w:p>
            <w:pPr>
              <w:jc w:val="center"/>
              <w:rPr>
                <w:color w:val="000000"/>
                <w:szCs w:val="21"/>
              </w:rPr>
            </w:pPr>
            <w:r>
              <w:t>1</w:t>
            </w: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2" w:hRule="atLeast"/>
        </w:trPr>
        <w:tc>
          <w:tcPr>
            <w:tcW w:w="848" w:type="pct"/>
            <w:shd w:val="clear" w:color="auto" w:fill="auto"/>
            <w:noWrap w:val="0"/>
            <w:tcMar>
              <w:left w:w="57" w:type="dxa"/>
              <w:right w:w="57" w:type="dxa"/>
            </w:tcMar>
            <w:vAlign w:val="center"/>
          </w:tcPr>
          <w:p>
            <w:pPr>
              <w:jc w:val="center"/>
            </w:pPr>
            <w:r>
              <w:rPr>
                <w:rFonts w:hint="eastAsia"/>
                <w:szCs w:val="21"/>
              </w:rPr>
              <w:t>实习报告</w:t>
            </w:r>
          </w:p>
        </w:tc>
        <w:tc>
          <w:tcPr>
            <w:tcW w:w="956" w:type="pct"/>
            <w:shd w:val="clear" w:color="auto" w:fill="auto"/>
            <w:noWrap w:val="0"/>
            <w:vAlign w:val="center"/>
          </w:tcPr>
          <w:p>
            <w:pPr>
              <w:jc w:val="center"/>
            </w:pPr>
            <w:r>
              <w:rPr>
                <w:rFonts w:hint="eastAsia"/>
              </w:rPr>
              <w:t>40%</w:t>
            </w:r>
          </w:p>
        </w:tc>
        <w:tc>
          <w:tcPr>
            <w:tcW w:w="2186" w:type="pct"/>
            <w:shd w:val="clear" w:color="auto" w:fill="auto"/>
            <w:noWrap w:val="0"/>
            <w:vAlign w:val="center"/>
          </w:tcPr>
          <w:p>
            <w:pPr>
              <w:rPr>
                <w:color w:val="000000"/>
                <w:szCs w:val="21"/>
              </w:rPr>
            </w:pPr>
            <w:r>
              <w:rPr>
                <w:rFonts w:hint="eastAsia"/>
                <w:szCs w:val="21"/>
              </w:rPr>
              <w:t>实习报告成绩按</w:t>
            </w:r>
            <w:r>
              <w:rPr>
                <w:szCs w:val="21"/>
              </w:rPr>
              <w:t>40%计入课程总成绩。</w:t>
            </w:r>
            <w:r>
              <w:rPr>
                <w:rFonts w:hint="eastAsia"/>
                <w:szCs w:val="21"/>
              </w:rPr>
              <w:t>其中简述全厂概况</w:t>
            </w:r>
            <w:r>
              <w:rPr>
                <w:color w:val="000000"/>
                <w:szCs w:val="21"/>
              </w:rPr>
              <w:t>占15%；</w:t>
            </w:r>
            <w:r>
              <w:rPr>
                <w:rFonts w:hint="eastAsia"/>
                <w:szCs w:val="21"/>
              </w:rPr>
              <w:t>所实习车间的主要工艺流程（绘出带控制点的工艺流程图）及特点</w:t>
            </w:r>
            <w:r>
              <w:rPr>
                <w:color w:val="000000"/>
                <w:szCs w:val="21"/>
              </w:rPr>
              <w:t>占30%；</w:t>
            </w:r>
            <w:r>
              <w:rPr>
                <w:rFonts w:hint="eastAsia"/>
                <w:szCs w:val="21"/>
              </w:rPr>
              <w:t>“三废”处理及环保措施、安全生产要求等</w:t>
            </w:r>
            <w:r>
              <w:rPr>
                <w:color w:val="000000"/>
                <w:szCs w:val="21"/>
              </w:rPr>
              <w:t>占20%；</w:t>
            </w:r>
            <w:r>
              <w:rPr>
                <w:rFonts w:hint="eastAsia"/>
                <w:szCs w:val="21"/>
              </w:rPr>
              <w:t>实习车间典型设备的作用原理等</w:t>
            </w:r>
            <w:r>
              <w:rPr>
                <w:color w:val="000000"/>
                <w:szCs w:val="21"/>
              </w:rPr>
              <w:t>占15%；</w:t>
            </w:r>
            <w:r>
              <w:rPr>
                <w:rFonts w:hint="eastAsia"/>
                <w:szCs w:val="21"/>
              </w:rPr>
              <w:t>实习心得体会及对生产的改进建议等</w:t>
            </w:r>
            <w:r>
              <w:rPr>
                <w:color w:val="000000"/>
                <w:szCs w:val="21"/>
              </w:rPr>
              <w:t>占20%</w:t>
            </w:r>
            <w:r>
              <w:rPr>
                <w:rFonts w:hint="eastAsia"/>
                <w:szCs w:val="21"/>
              </w:rPr>
              <w:t>。</w:t>
            </w:r>
          </w:p>
        </w:tc>
        <w:tc>
          <w:tcPr>
            <w:tcW w:w="504" w:type="pct"/>
            <w:shd w:val="clear" w:color="auto" w:fill="FFFFFF"/>
            <w:noWrap w:val="0"/>
            <w:vAlign w:val="center"/>
          </w:tcPr>
          <w:p>
            <w:pPr>
              <w:jc w:val="center"/>
              <w:rPr>
                <w:color w:val="000000"/>
                <w:szCs w:val="21"/>
              </w:rPr>
            </w:pPr>
            <w:r>
              <w:t>2</w:t>
            </w:r>
            <w:r>
              <w:rPr>
                <w:rFonts w:hint="eastAsia"/>
              </w:rPr>
              <w:t>0%</w:t>
            </w:r>
          </w:p>
        </w:tc>
        <w:tc>
          <w:tcPr>
            <w:tcW w:w="505" w:type="pct"/>
            <w:shd w:val="clear" w:color="auto" w:fill="FFFFFF"/>
            <w:noWrap w:val="0"/>
            <w:vAlign w:val="center"/>
          </w:tcPr>
          <w:p>
            <w:pPr>
              <w:jc w:val="center"/>
              <w:rPr>
                <w:color w:val="000000"/>
                <w:szCs w:val="21"/>
              </w:rPr>
            </w:pPr>
            <w:r>
              <w:t>2</w:t>
            </w: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848" w:type="pct"/>
            <w:shd w:val="clear" w:color="auto" w:fill="auto"/>
            <w:noWrap w:val="0"/>
            <w:tcMar>
              <w:left w:w="57" w:type="dxa"/>
              <w:right w:w="57" w:type="dxa"/>
            </w:tcMar>
            <w:vAlign w:val="center"/>
          </w:tcPr>
          <w:p>
            <w:pPr>
              <w:jc w:val="center"/>
            </w:pPr>
            <w:r>
              <w:rPr>
                <w:rFonts w:hint="eastAsia"/>
              </w:rPr>
              <w:t>合    计</w:t>
            </w:r>
          </w:p>
        </w:tc>
        <w:tc>
          <w:tcPr>
            <w:tcW w:w="956" w:type="pct"/>
            <w:shd w:val="clear" w:color="auto" w:fill="auto"/>
            <w:noWrap w:val="0"/>
            <w:vAlign w:val="center"/>
          </w:tcPr>
          <w:p>
            <w:pPr>
              <w:jc w:val="center"/>
            </w:pPr>
            <w:r>
              <w:rPr>
                <w:rFonts w:hint="eastAsia"/>
              </w:rPr>
              <w:t>100%</w:t>
            </w:r>
          </w:p>
        </w:tc>
        <w:tc>
          <w:tcPr>
            <w:tcW w:w="2186" w:type="pct"/>
            <w:shd w:val="clear" w:color="auto" w:fill="auto"/>
            <w:noWrap w:val="0"/>
            <w:vAlign w:val="center"/>
          </w:tcPr>
          <w:p>
            <w:pPr>
              <w:rPr>
                <w:color w:val="000000"/>
                <w:szCs w:val="21"/>
              </w:rPr>
            </w:pPr>
          </w:p>
        </w:tc>
        <w:tc>
          <w:tcPr>
            <w:tcW w:w="504" w:type="pct"/>
            <w:shd w:val="clear" w:color="auto" w:fill="FFFFFF"/>
            <w:noWrap w:val="0"/>
            <w:vAlign w:val="center"/>
          </w:tcPr>
          <w:p>
            <w:pPr>
              <w:jc w:val="center"/>
              <w:rPr>
                <w:color w:val="000000"/>
                <w:szCs w:val="21"/>
              </w:rPr>
            </w:pPr>
            <w:r>
              <w:rPr>
                <w:rFonts w:hint="eastAsia"/>
                <w:color w:val="000000"/>
                <w:szCs w:val="21"/>
              </w:rPr>
              <w:t>50%</w:t>
            </w:r>
          </w:p>
        </w:tc>
        <w:tc>
          <w:tcPr>
            <w:tcW w:w="505" w:type="pct"/>
            <w:shd w:val="clear" w:color="auto" w:fill="FFFFFF"/>
            <w:noWrap w:val="0"/>
            <w:vAlign w:val="center"/>
          </w:tcPr>
          <w:p>
            <w:pPr>
              <w:jc w:val="center"/>
              <w:rPr>
                <w:color w:val="000000"/>
                <w:szCs w:val="21"/>
              </w:rPr>
            </w:pPr>
            <w:r>
              <w:rPr>
                <w:rFonts w:hint="eastAsia"/>
                <w:color w:val="000000"/>
                <w:szCs w:val="21"/>
              </w:rPr>
              <w:t>50%</w:t>
            </w:r>
          </w:p>
        </w:tc>
      </w:tr>
    </w:tbl>
    <w:p>
      <w:pPr>
        <w:spacing w:line="360" w:lineRule="auto"/>
        <w:rPr>
          <w:rFonts w:hint="eastAsia"/>
          <w:b/>
          <w:sz w:val="28"/>
          <w:szCs w:val="28"/>
        </w:rPr>
      </w:pPr>
    </w:p>
    <w:p>
      <w:pPr>
        <w:spacing w:line="360" w:lineRule="auto"/>
        <w:ind w:firstLine="480" w:firstLineChars="200"/>
        <w:rPr>
          <w:rFonts w:hint="eastAsia"/>
          <w:sz w:val="24"/>
        </w:rPr>
      </w:pPr>
      <w:r>
        <w:rPr>
          <w:sz w:val="24"/>
        </w:rPr>
        <w:t>（三）所有课程目标均</w:t>
      </w:r>
      <w:r>
        <w:rPr>
          <w:rFonts w:hint="eastAsia"/>
          <w:sz w:val="24"/>
        </w:rPr>
        <w:t>需</w:t>
      </w:r>
      <w:r>
        <w:rPr>
          <w:sz w:val="24"/>
        </w:rPr>
        <w:t>大于等于0.6，否则总评成绩不及格，需要补考或重</w:t>
      </w:r>
      <w:r>
        <w:rPr>
          <w:rFonts w:hint="eastAsia"/>
          <w:sz w:val="24"/>
        </w:rPr>
        <w:t>修。</w:t>
      </w:r>
      <w:r>
        <w:rPr>
          <w:sz w:val="24"/>
        </w:rPr>
        <w:t>每</w:t>
      </w:r>
      <w:r>
        <w:rPr>
          <w:rFonts w:hint="eastAsia"/>
          <w:sz w:val="24"/>
        </w:rPr>
        <w:t>个</w:t>
      </w:r>
      <w:r>
        <w:rPr>
          <w:sz w:val="24"/>
        </w:rPr>
        <w:t>课程目标达成度计算方法如下：</w:t>
      </w:r>
    </w:p>
    <w:p>
      <w:pPr>
        <w:spacing w:line="360" w:lineRule="auto"/>
        <w:textAlignment w:val="baseline"/>
        <w:rPr>
          <w:rFonts w:hint="eastAsia"/>
          <w:position w:val="-22"/>
          <w:szCs w:val="21"/>
        </w:rPr>
      </w:pPr>
      <w:r>
        <w:rPr>
          <w:position w:val="-22"/>
          <w:szCs w:val="21"/>
        </w:rPr>
        <w:pict>
          <v:shape id="_x0000_s2059" o:spid="_x0000_s2059" o:spt="75" type="#_x0000_t75" style="position:absolute;left:0pt;margin-left:102.8pt;margin-top:0.75pt;height:32.65pt;width:249.4pt;mso-wrap-distance-bottom:0pt;mso-wrap-distance-left:9pt;mso-wrap-distance-right:9pt;mso-wrap-distance-top:0pt;z-index:251666432;mso-width-relative:page;mso-height-relative:page;" o:ole="t" filled="f" o:preferrelative="t" stroked="f" coordsize="21600,21600">
            <v:path/>
            <v:fill on="f" focussize="0,0"/>
            <v:stroke on="f"/>
            <v:imagedata r:id="rId41" o:title=""/>
            <o:lock v:ext="edit" aspectratio="t"/>
            <w10:wrap type="square"/>
          </v:shape>
          <o:OLEObject Type="Embed" ProgID="Equation.3" ShapeID="_x0000_s2059" DrawAspect="Content" ObjectID="_1468075742" r:id="rId42">
            <o:LockedField>false</o:LockedField>
          </o:OLEObject>
        </w:pict>
      </w:r>
    </w:p>
    <w:p>
      <w:pPr>
        <w:spacing w:line="360" w:lineRule="auto"/>
        <w:rPr>
          <w:szCs w:val="22"/>
        </w:rPr>
      </w:pPr>
    </w:p>
    <w:p>
      <w:pPr>
        <w:spacing w:line="360" w:lineRule="auto"/>
        <w:rPr>
          <w:rFonts w:hint="eastAsia"/>
          <w:sz w:val="24"/>
        </w:rPr>
      </w:pPr>
      <w:r>
        <w:rPr>
          <w:sz w:val="24"/>
        </w:rPr>
        <w:t>式中：Ai=平时成绩占总评成绩的权重×课程目标i在平时成绩中的权重</w:t>
      </w:r>
    </w:p>
    <w:p>
      <w:pPr>
        <w:spacing w:line="360" w:lineRule="auto"/>
        <w:ind w:firstLine="720" w:firstLineChars="300"/>
        <w:rPr>
          <w:rFonts w:hint="eastAsia"/>
          <w:b/>
          <w:sz w:val="24"/>
        </w:rPr>
      </w:pPr>
      <w:r>
        <w:rPr>
          <w:sz w:val="24"/>
        </w:rPr>
        <w:t>Bi=</w:t>
      </w:r>
      <w:r>
        <w:rPr>
          <w:rFonts w:hint="eastAsia"/>
          <w:sz w:val="24"/>
        </w:rPr>
        <w:t>期末</w:t>
      </w:r>
      <w:r>
        <w:rPr>
          <w:sz w:val="24"/>
        </w:rPr>
        <w:t>成绩占总评成绩的权重×课程目标i在实</w:t>
      </w:r>
      <w:r>
        <w:rPr>
          <w:rFonts w:hint="eastAsia"/>
          <w:sz w:val="24"/>
        </w:rPr>
        <w:t>验</w:t>
      </w:r>
      <w:r>
        <w:rPr>
          <w:sz w:val="24"/>
        </w:rPr>
        <w:t>成绩中的权重</w:t>
      </w:r>
    </w:p>
    <w:p>
      <w:pPr>
        <w:spacing w:line="360" w:lineRule="auto"/>
        <w:ind w:firstLine="562" w:firstLineChars="200"/>
        <w:rPr>
          <w:rFonts w:hint="eastAsia"/>
          <w:b/>
          <w:sz w:val="28"/>
          <w:szCs w:val="28"/>
        </w:rPr>
      </w:pPr>
      <w:r>
        <w:rPr>
          <w:rFonts w:hint="eastAsia"/>
          <w:b/>
          <w:sz w:val="28"/>
          <w:szCs w:val="28"/>
        </w:rPr>
        <w:t>六</w:t>
      </w:r>
      <w:r>
        <w:rPr>
          <w:b/>
          <w:sz w:val="28"/>
          <w:szCs w:val="28"/>
        </w:rPr>
        <w:t>、</w:t>
      </w:r>
      <w:r>
        <w:rPr>
          <w:rFonts w:hint="eastAsia"/>
          <w:b/>
          <w:sz w:val="28"/>
          <w:szCs w:val="28"/>
        </w:rPr>
        <w:t>有关说明</w:t>
      </w:r>
    </w:p>
    <w:p>
      <w:pPr>
        <w:spacing w:line="360" w:lineRule="auto"/>
        <w:ind w:firstLine="482" w:firstLineChars="200"/>
        <w:rPr>
          <w:rFonts w:hint="eastAsia"/>
          <w:b/>
          <w:color w:val="000000"/>
          <w:sz w:val="24"/>
        </w:rPr>
      </w:pPr>
      <w:r>
        <w:rPr>
          <w:rFonts w:hint="eastAsia"/>
          <w:b/>
          <w:color w:val="000000"/>
          <w:sz w:val="24"/>
        </w:rPr>
        <w:t>（一）持续改进</w:t>
      </w:r>
    </w:p>
    <w:p>
      <w:pPr>
        <w:spacing w:line="360" w:lineRule="auto"/>
        <w:ind w:firstLine="480" w:firstLineChars="200"/>
        <w:rPr>
          <w:sz w:val="24"/>
          <w:szCs w:val="22"/>
        </w:rPr>
      </w:pPr>
      <w:r>
        <w:rPr>
          <w:sz w:val="24"/>
          <w:szCs w:val="22"/>
        </w:rPr>
        <w:t>本课程根据学生</w:t>
      </w:r>
      <w:r>
        <w:rPr>
          <w:rFonts w:hint="eastAsia"/>
          <w:sz w:val="24"/>
          <w:szCs w:val="22"/>
        </w:rPr>
        <w:t>表现</w:t>
      </w:r>
      <w:r>
        <w:rPr>
          <w:sz w:val="24"/>
          <w:szCs w:val="22"/>
        </w:rPr>
        <w:t>、</w:t>
      </w:r>
      <w:r>
        <w:rPr>
          <w:rFonts w:hint="eastAsia"/>
          <w:sz w:val="24"/>
          <w:szCs w:val="22"/>
        </w:rPr>
        <w:t>现场</w:t>
      </w:r>
      <w:r>
        <w:rPr>
          <w:sz w:val="24"/>
          <w:szCs w:val="22"/>
        </w:rPr>
        <w:t>讨论、</w:t>
      </w:r>
      <w:r>
        <w:rPr>
          <w:rFonts w:hint="eastAsia"/>
          <w:sz w:val="24"/>
          <w:szCs w:val="22"/>
        </w:rPr>
        <w:t>现场</w:t>
      </w:r>
      <w:r>
        <w:rPr>
          <w:sz w:val="24"/>
          <w:szCs w:val="22"/>
        </w:rPr>
        <w:t>考核情况</w:t>
      </w:r>
      <w:r>
        <w:rPr>
          <w:rFonts w:hint="eastAsia"/>
          <w:sz w:val="24"/>
          <w:szCs w:val="22"/>
        </w:rPr>
        <w:t>等</w:t>
      </w:r>
      <w:r>
        <w:rPr>
          <w:sz w:val="24"/>
          <w:szCs w:val="22"/>
        </w:rPr>
        <w:t>反馈，及时对教学中</w:t>
      </w:r>
      <w:r>
        <w:rPr>
          <w:rFonts w:hint="eastAsia"/>
          <w:sz w:val="24"/>
          <w:szCs w:val="22"/>
        </w:rPr>
        <w:t>的</w:t>
      </w:r>
      <w:r>
        <w:rPr>
          <w:sz w:val="24"/>
          <w:szCs w:val="22"/>
        </w:rPr>
        <w:t>不足之处进行改进，并在下一轮课程教学中</w:t>
      </w:r>
      <w:r>
        <w:rPr>
          <w:rFonts w:hint="eastAsia"/>
          <w:sz w:val="24"/>
          <w:szCs w:val="22"/>
        </w:rPr>
        <w:t>整改完善</w:t>
      </w:r>
      <w:r>
        <w:rPr>
          <w:sz w:val="24"/>
          <w:szCs w:val="22"/>
        </w:rPr>
        <w:t>。</w:t>
      </w:r>
    </w:p>
    <w:p>
      <w:pPr>
        <w:spacing w:line="312" w:lineRule="auto"/>
        <w:jc w:val="center"/>
      </w:pPr>
    </w:p>
    <w:p>
      <w:pPr>
        <w:autoSpaceDE w:val="0"/>
        <w:autoSpaceDN w:val="0"/>
        <w:adjustRightInd w:val="0"/>
        <w:spacing w:line="360" w:lineRule="auto"/>
        <w:ind w:firstLine="480" w:firstLineChars="200"/>
        <w:jc w:val="left"/>
        <w:rPr>
          <w:kern w:val="0"/>
          <w:sz w:val="24"/>
          <w:szCs w:val="21"/>
        </w:rPr>
      </w:pPr>
      <w:r>
        <w:rPr>
          <w:rFonts w:hint="eastAsia"/>
          <w:sz w:val="24"/>
        </w:rPr>
        <w:t xml:space="preserve">                                                  </w:t>
      </w:r>
      <w:r>
        <w:rPr>
          <w:kern w:val="0"/>
          <w:sz w:val="24"/>
          <w:szCs w:val="21"/>
        </w:rPr>
        <w:t>执笔人：</w:t>
      </w:r>
      <w:r>
        <w:rPr>
          <w:rFonts w:hint="eastAsia"/>
          <w:kern w:val="0"/>
          <w:sz w:val="24"/>
          <w:szCs w:val="21"/>
        </w:rPr>
        <w:t>柏寄荣</w:t>
      </w:r>
    </w:p>
    <w:p>
      <w:pPr>
        <w:autoSpaceDE w:val="0"/>
        <w:autoSpaceDN w:val="0"/>
        <w:adjustRightInd w:val="0"/>
        <w:spacing w:line="360" w:lineRule="auto"/>
        <w:ind w:right="240" w:firstLine="5640" w:firstLineChars="2350"/>
        <w:jc w:val="right"/>
        <w:rPr>
          <w:kern w:val="0"/>
          <w:sz w:val="24"/>
          <w:szCs w:val="21"/>
        </w:rPr>
      </w:pPr>
      <w:r>
        <w:rPr>
          <w:kern w:val="0"/>
          <w:sz w:val="24"/>
          <w:szCs w:val="21"/>
        </w:rPr>
        <w:t>审定人：</w:t>
      </w:r>
      <w:r>
        <w:rPr>
          <w:rFonts w:hint="eastAsia"/>
          <w:kern w:val="0"/>
          <w:sz w:val="24"/>
          <w:szCs w:val="21"/>
        </w:rPr>
        <w:t>魏雪娇</w:t>
      </w:r>
    </w:p>
    <w:p>
      <w:pPr>
        <w:autoSpaceDE w:val="0"/>
        <w:autoSpaceDN w:val="0"/>
        <w:adjustRightInd w:val="0"/>
        <w:spacing w:line="360" w:lineRule="auto"/>
        <w:ind w:right="240" w:firstLine="5640" w:firstLineChars="2350"/>
        <w:jc w:val="right"/>
        <w:rPr>
          <w:kern w:val="0"/>
          <w:sz w:val="24"/>
          <w:szCs w:val="21"/>
        </w:rPr>
      </w:pPr>
      <w:r>
        <w:rPr>
          <w:rFonts w:hint="eastAsia"/>
          <w:kern w:val="0"/>
          <w:sz w:val="24"/>
          <w:szCs w:val="21"/>
        </w:rPr>
        <w:t>审批</w:t>
      </w:r>
      <w:r>
        <w:rPr>
          <w:kern w:val="0"/>
          <w:sz w:val="24"/>
          <w:szCs w:val="21"/>
        </w:rPr>
        <w:t>人：吴泽颖</w:t>
      </w:r>
    </w:p>
    <w:p>
      <w:pPr>
        <w:autoSpaceDE w:val="0"/>
        <w:autoSpaceDN w:val="0"/>
        <w:adjustRightInd w:val="0"/>
        <w:spacing w:line="360" w:lineRule="auto"/>
        <w:ind w:right="240" w:firstLine="5640" w:firstLineChars="2350"/>
        <w:jc w:val="right"/>
        <w:rPr>
          <w:rFonts w:hint="eastAsia"/>
          <w:kern w:val="0"/>
          <w:sz w:val="24"/>
          <w:szCs w:val="21"/>
        </w:rPr>
      </w:pPr>
      <w:r>
        <w:rPr>
          <w:rFonts w:hint="eastAsia"/>
          <w:kern w:val="0"/>
          <w:sz w:val="24"/>
          <w:szCs w:val="21"/>
        </w:rPr>
        <w:t>2021年</w:t>
      </w:r>
      <w:r>
        <w:rPr>
          <w:rFonts w:hint="eastAsia"/>
          <w:kern w:val="0"/>
          <w:sz w:val="24"/>
          <w:szCs w:val="21"/>
          <w:lang w:val="en-US" w:eastAsia="zh-CN"/>
        </w:rPr>
        <w:t>9</w:t>
      </w:r>
      <w:r>
        <w:rPr>
          <w:rFonts w:hint="eastAsia"/>
          <w:kern w:val="0"/>
          <w:sz w:val="24"/>
          <w:szCs w:val="21"/>
        </w:rPr>
        <w:t>月1日</w:t>
      </w:r>
    </w:p>
    <w:p>
      <w:pPr>
        <w:autoSpaceDE w:val="0"/>
        <w:autoSpaceDN w:val="0"/>
        <w:adjustRightInd w:val="0"/>
        <w:spacing w:line="360" w:lineRule="auto"/>
        <w:ind w:right="240" w:firstLine="5640" w:firstLineChars="2350"/>
        <w:jc w:val="right"/>
        <w:rPr>
          <w:rFonts w:hint="eastAsia"/>
          <w:kern w:val="0"/>
          <w:sz w:val="24"/>
          <w:szCs w:val="21"/>
        </w:rPr>
      </w:pPr>
    </w:p>
    <w:p>
      <w:pPr>
        <w:autoSpaceDE w:val="0"/>
        <w:autoSpaceDN w:val="0"/>
        <w:adjustRightInd w:val="0"/>
        <w:spacing w:line="360" w:lineRule="auto"/>
        <w:ind w:right="240" w:firstLine="5640" w:firstLineChars="2350"/>
        <w:jc w:val="right"/>
        <w:rPr>
          <w:rFonts w:hint="eastAsia"/>
          <w:kern w:val="0"/>
          <w:sz w:val="24"/>
          <w:szCs w:val="21"/>
        </w:rPr>
      </w:pPr>
    </w:p>
    <w:p>
      <w:pPr>
        <w:autoSpaceDE w:val="0"/>
        <w:autoSpaceDN w:val="0"/>
        <w:adjustRightInd w:val="0"/>
        <w:spacing w:line="360" w:lineRule="auto"/>
        <w:ind w:right="240" w:firstLine="5640" w:firstLineChars="2350"/>
        <w:jc w:val="right"/>
        <w:rPr>
          <w:rFonts w:hint="eastAsia"/>
          <w:kern w:val="0"/>
          <w:sz w:val="24"/>
          <w:szCs w:val="21"/>
        </w:rPr>
      </w:pPr>
    </w:p>
    <w:p>
      <w:pPr>
        <w:autoSpaceDE w:val="0"/>
        <w:autoSpaceDN w:val="0"/>
        <w:adjustRightInd w:val="0"/>
        <w:spacing w:line="360" w:lineRule="auto"/>
        <w:ind w:right="240" w:firstLine="5640" w:firstLineChars="2350"/>
        <w:jc w:val="right"/>
        <w:rPr>
          <w:rFonts w:hint="eastAsia"/>
          <w:kern w:val="0"/>
          <w:sz w:val="24"/>
          <w:szCs w:val="21"/>
        </w:rPr>
      </w:pPr>
    </w:p>
    <w:p>
      <w:pPr>
        <w:autoSpaceDE w:val="0"/>
        <w:autoSpaceDN w:val="0"/>
        <w:adjustRightInd w:val="0"/>
        <w:spacing w:line="360" w:lineRule="auto"/>
        <w:ind w:right="240" w:firstLine="5640" w:firstLineChars="2350"/>
        <w:jc w:val="right"/>
        <w:rPr>
          <w:rFonts w:hint="eastAsia"/>
          <w:kern w:val="0"/>
          <w:sz w:val="24"/>
          <w:szCs w:val="21"/>
        </w:rPr>
      </w:pPr>
    </w:p>
    <w:p>
      <w:pPr>
        <w:autoSpaceDE w:val="0"/>
        <w:autoSpaceDN w:val="0"/>
        <w:adjustRightInd w:val="0"/>
        <w:spacing w:line="360" w:lineRule="auto"/>
        <w:ind w:right="240" w:firstLine="5640" w:firstLineChars="2350"/>
        <w:jc w:val="right"/>
        <w:rPr>
          <w:rFonts w:hint="eastAsia"/>
          <w:kern w:val="0"/>
          <w:sz w:val="24"/>
          <w:szCs w:val="21"/>
        </w:rPr>
      </w:pPr>
    </w:p>
    <w:p>
      <w:pPr>
        <w:pStyle w:val="3"/>
        <w:bidi w:val="0"/>
        <w:jc w:val="center"/>
      </w:pPr>
      <w:bookmarkStart w:id="310" w:name="_Toc31847"/>
      <w:bookmarkStart w:id="311" w:name="_Toc11493"/>
      <w:r>
        <w:rPr>
          <w:rFonts w:hint="eastAsia"/>
        </w:rPr>
        <w:t>化工原理课程设计</w:t>
      </w:r>
      <w:r>
        <w:t>教学大纲</w:t>
      </w:r>
      <w:bookmarkEnd w:id="310"/>
      <w:bookmarkEnd w:id="311"/>
    </w:p>
    <w:p>
      <w:pPr>
        <w:bidi w:val="0"/>
        <w:jc w:val="center"/>
        <w:rPr>
          <w:b/>
          <w:bCs/>
          <w:sz w:val="24"/>
          <w:szCs w:val="24"/>
        </w:rPr>
      </w:pPr>
      <w:bookmarkStart w:id="312" w:name="_Toc12837"/>
      <w:r>
        <w:rPr>
          <w:b/>
          <w:bCs/>
          <w:sz w:val="24"/>
          <w:szCs w:val="24"/>
        </w:rPr>
        <w:t>（Course Design of Principles of Chemical Industry）</w:t>
      </w:r>
      <w:bookmarkEnd w:id="312"/>
    </w:p>
    <w:p>
      <w:pPr>
        <w:spacing w:line="440" w:lineRule="exact"/>
        <w:jc w:val="center"/>
        <w:rPr>
          <w:sz w:val="24"/>
        </w:rPr>
      </w:pPr>
    </w:p>
    <w:p>
      <w:pPr>
        <w:spacing w:line="360" w:lineRule="auto"/>
        <w:ind w:firstLine="551" w:firstLineChars="196"/>
        <w:rPr>
          <w:b/>
          <w:sz w:val="28"/>
          <w:szCs w:val="28"/>
        </w:rPr>
      </w:pPr>
      <w:r>
        <w:rPr>
          <w:b/>
          <w:sz w:val="28"/>
          <w:szCs w:val="28"/>
        </w:rPr>
        <w:t>一、课程概况</w:t>
      </w:r>
    </w:p>
    <w:p>
      <w:pPr>
        <w:spacing w:line="360" w:lineRule="auto"/>
        <w:ind w:firstLine="482" w:firstLineChars="200"/>
        <w:rPr>
          <w:rFonts w:hint="default" w:eastAsia="宋体"/>
          <w:b/>
          <w:sz w:val="28"/>
          <w:szCs w:val="28"/>
          <w:lang w:val="en-US" w:eastAsia="zh-CN"/>
        </w:rPr>
      </w:pPr>
      <w:r>
        <w:rPr>
          <w:b/>
          <w:bCs/>
          <w:kern w:val="0"/>
          <w:sz w:val="24"/>
        </w:rPr>
        <w:t>课程代码</w:t>
      </w:r>
      <w:r>
        <w:rPr>
          <w:b/>
          <w:kern w:val="0"/>
          <w:sz w:val="24"/>
        </w:rPr>
        <w:t>：</w:t>
      </w:r>
      <w:r>
        <w:rPr>
          <w:rFonts w:hint="eastAsia"/>
          <w:b w:val="0"/>
          <w:bCs/>
          <w:kern w:val="0"/>
          <w:sz w:val="24"/>
          <w:lang w:val="en-US" w:eastAsia="zh-CN"/>
        </w:rPr>
        <w:t>2501804</w:t>
      </w:r>
    </w:p>
    <w:p>
      <w:pPr>
        <w:spacing w:line="360" w:lineRule="auto"/>
        <w:ind w:firstLine="482" w:firstLineChars="200"/>
        <w:rPr>
          <w:kern w:val="0"/>
          <w:sz w:val="24"/>
        </w:rPr>
      </w:pPr>
      <w:r>
        <w:rPr>
          <w:b/>
          <w:bCs/>
          <w:kern w:val="0"/>
          <w:sz w:val="24"/>
        </w:rPr>
        <w:t>学    分</w:t>
      </w:r>
      <w:r>
        <w:rPr>
          <w:rFonts w:hint="eastAsia"/>
          <w:b/>
          <w:bCs/>
          <w:kern w:val="0"/>
          <w:sz w:val="24"/>
          <w:lang w:eastAsia="zh-CN"/>
        </w:rPr>
        <w:t>：</w:t>
      </w:r>
      <w:r>
        <w:rPr>
          <w:rFonts w:hint="eastAsia"/>
          <w:b/>
          <w:bCs/>
          <w:kern w:val="0"/>
          <w:sz w:val="24"/>
          <w:lang w:val="en-US" w:eastAsia="zh-CN"/>
        </w:rPr>
        <w:t>2</w:t>
      </w:r>
      <w:r>
        <w:rPr>
          <w:b w:val="0"/>
          <w:bCs w:val="0"/>
          <w:kern w:val="0"/>
          <w:sz w:val="24"/>
        </w:rPr>
        <w:t xml:space="preserve"> </w:t>
      </w:r>
    </w:p>
    <w:p>
      <w:pPr>
        <w:spacing w:line="360" w:lineRule="auto"/>
        <w:ind w:firstLine="482" w:firstLineChars="200"/>
        <w:rPr>
          <w:kern w:val="0"/>
          <w:sz w:val="24"/>
        </w:rPr>
      </w:pPr>
      <w:r>
        <w:rPr>
          <w:b/>
          <w:bCs/>
          <w:kern w:val="0"/>
          <w:sz w:val="24"/>
        </w:rPr>
        <w:t>学    时：</w:t>
      </w:r>
      <w:r>
        <w:rPr>
          <w:rFonts w:hint="eastAsia"/>
          <w:b/>
          <w:bCs/>
          <w:kern w:val="0"/>
          <w:sz w:val="24"/>
          <w:lang w:val="en-US" w:eastAsia="zh-CN"/>
        </w:rPr>
        <w:t>:2</w:t>
      </w:r>
      <w:r>
        <w:rPr>
          <w:b w:val="0"/>
          <w:bCs w:val="0"/>
          <w:kern w:val="0"/>
          <w:sz w:val="24"/>
        </w:rPr>
        <w:t>周</w:t>
      </w:r>
    </w:p>
    <w:p>
      <w:pPr>
        <w:spacing w:line="400" w:lineRule="atLeast"/>
        <w:ind w:left="210" w:leftChars="100" w:firstLine="241" w:firstLineChars="100"/>
        <w:rPr>
          <w:sz w:val="24"/>
        </w:rPr>
      </w:pPr>
      <w:r>
        <w:rPr>
          <w:b/>
          <w:bCs/>
          <w:kern w:val="0"/>
          <w:sz w:val="24"/>
        </w:rPr>
        <w:t>先修课程：</w:t>
      </w:r>
      <w:r>
        <w:rPr>
          <w:sz w:val="24"/>
        </w:rPr>
        <w:t>有机化学、无机化学、物理化学、化工原理、工程制图与AutoCAD等。</w:t>
      </w:r>
    </w:p>
    <w:p>
      <w:pPr>
        <w:ind w:firstLine="482" w:firstLineChars="200"/>
        <w:rPr>
          <w:sz w:val="24"/>
        </w:rPr>
      </w:pPr>
      <w:r>
        <w:rPr>
          <w:b/>
          <w:bCs/>
          <w:kern w:val="0"/>
          <w:sz w:val="24"/>
        </w:rPr>
        <w:t>适用专业：</w:t>
      </w:r>
      <w:r>
        <w:rPr>
          <w:rFonts w:hint="eastAsia"/>
          <w:sz w:val="24"/>
        </w:rPr>
        <w:t>化学工程与工艺、高分子材料与工程、材料化学、应用化学等</w:t>
      </w:r>
      <w:r>
        <w:rPr>
          <w:kern w:val="0"/>
          <w:sz w:val="24"/>
        </w:rPr>
        <w:t xml:space="preserve">                     </w:t>
      </w:r>
    </w:p>
    <w:p>
      <w:pPr>
        <w:spacing w:line="360" w:lineRule="auto"/>
        <w:ind w:firstLine="482" w:firstLineChars="200"/>
        <w:rPr>
          <w:rFonts w:hint="eastAsia" w:eastAsia="宋体"/>
          <w:kern w:val="0"/>
          <w:sz w:val="24"/>
          <w:lang w:val="en-US" w:eastAsia="zh-CN"/>
        </w:rPr>
      </w:pPr>
      <w:r>
        <w:rPr>
          <w:b/>
          <w:bCs/>
          <w:kern w:val="0"/>
          <w:sz w:val="24"/>
        </w:rPr>
        <w:t>教</w:t>
      </w:r>
      <w:r>
        <w:rPr>
          <w:rFonts w:hint="eastAsia"/>
          <w:b/>
          <w:bCs/>
          <w:kern w:val="0"/>
          <w:sz w:val="24"/>
          <w:lang w:val="en-US" w:eastAsia="zh-CN"/>
        </w:rPr>
        <w:t xml:space="preserve">    </w:t>
      </w:r>
      <w:r>
        <w:rPr>
          <w:b/>
          <w:bCs/>
          <w:kern w:val="0"/>
          <w:sz w:val="24"/>
        </w:rPr>
        <w:t>材：</w:t>
      </w:r>
      <w:r>
        <w:rPr>
          <w:kern w:val="0"/>
          <w:sz w:val="24"/>
        </w:rPr>
        <w:t>《</w:t>
      </w:r>
      <w:r>
        <w:rPr>
          <w:rFonts w:hint="eastAsia"/>
          <w:bCs/>
          <w:kern w:val="0"/>
          <w:sz w:val="24"/>
        </w:rPr>
        <w:t>化工原理课程设计</w:t>
      </w:r>
      <w:r>
        <w:rPr>
          <w:kern w:val="0"/>
          <w:sz w:val="24"/>
        </w:rPr>
        <w:t>》</w:t>
      </w:r>
      <w:r>
        <w:rPr>
          <w:rFonts w:hint="eastAsia"/>
          <w:kern w:val="0"/>
          <w:sz w:val="24"/>
        </w:rPr>
        <w:t>，</w:t>
      </w:r>
      <w:r>
        <w:rPr>
          <w:rFonts w:hint="eastAsia"/>
          <w:kern w:val="0"/>
          <w:sz w:val="24"/>
          <w:lang w:eastAsia="zh-CN"/>
        </w:rPr>
        <w:t>王要令</w:t>
      </w:r>
      <w:r>
        <w:rPr>
          <w:rFonts w:hint="eastAsia"/>
          <w:bCs/>
          <w:kern w:val="0"/>
          <w:sz w:val="24"/>
        </w:rPr>
        <w:t>等编，</w:t>
      </w:r>
      <w:r>
        <w:rPr>
          <w:rFonts w:hint="eastAsia"/>
          <w:bCs/>
          <w:kern w:val="0"/>
          <w:sz w:val="24"/>
          <w:lang w:eastAsia="zh-CN"/>
        </w:rPr>
        <w:t>化学工业</w:t>
      </w:r>
      <w:r>
        <w:rPr>
          <w:rFonts w:hint="eastAsia"/>
          <w:bCs/>
          <w:kern w:val="0"/>
          <w:sz w:val="24"/>
        </w:rPr>
        <w:t>出版社</w:t>
      </w:r>
      <w:r>
        <w:rPr>
          <w:rFonts w:hint="eastAsia"/>
          <w:bCs/>
          <w:kern w:val="0"/>
          <w:sz w:val="24"/>
        </w:rPr>
        <w:tab/>
      </w:r>
      <w:r>
        <w:rPr>
          <w:rFonts w:hint="eastAsia"/>
          <w:bCs/>
          <w:kern w:val="0"/>
          <w:sz w:val="24"/>
        </w:rPr>
        <w:t>，201</w:t>
      </w:r>
      <w:r>
        <w:rPr>
          <w:rFonts w:hint="eastAsia"/>
          <w:bCs/>
          <w:kern w:val="0"/>
          <w:sz w:val="24"/>
          <w:lang w:val="en-US" w:eastAsia="zh-CN"/>
        </w:rPr>
        <w:t>9</w:t>
      </w:r>
    </w:p>
    <w:p>
      <w:pPr>
        <w:spacing w:line="360" w:lineRule="auto"/>
        <w:ind w:firstLine="482" w:firstLineChars="200"/>
        <w:rPr>
          <w:kern w:val="0"/>
          <w:sz w:val="24"/>
        </w:rPr>
      </w:pPr>
      <w:r>
        <w:rPr>
          <w:b/>
          <w:bCs/>
          <w:kern w:val="0"/>
          <w:sz w:val="24"/>
        </w:rPr>
        <w:t>课程归口：</w:t>
      </w:r>
      <w:r>
        <w:rPr>
          <w:rFonts w:hint="eastAsia"/>
          <w:bCs/>
          <w:kern w:val="0"/>
          <w:sz w:val="24"/>
        </w:rPr>
        <w:t>化工</w:t>
      </w:r>
      <w:r>
        <w:rPr>
          <w:rFonts w:hint="eastAsia"/>
          <w:bCs/>
          <w:kern w:val="0"/>
          <w:sz w:val="24"/>
          <w:lang w:eastAsia="zh-CN"/>
        </w:rPr>
        <w:t>与材料</w:t>
      </w:r>
      <w:r>
        <w:rPr>
          <w:kern w:val="0"/>
          <w:sz w:val="24"/>
        </w:rPr>
        <w:t>学院</w:t>
      </w:r>
    </w:p>
    <w:p>
      <w:pPr>
        <w:spacing w:line="360" w:lineRule="auto"/>
        <w:ind w:firstLine="482" w:firstLineChars="200"/>
        <w:rPr>
          <w:kern w:val="0"/>
          <w:sz w:val="24"/>
        </w:rPr>
      </w:pPr>
      <w:r>
        <w:rPr>
          <w:rFonts w:hint="eastAsia" w:ascii="Times New Roman" w:hAnsi="Times New Roman"/>
          <w:b/>
          <w:bCs/>
          <w:kern w:val="0"/>
          <w:sz w:val="24"/>
        </w:rPr>
        <w:t>课程团队：</w:t>
      </w:r>
      <w:r>
        <w:rPr>
          <w:rFonts w:hint="eastAsia"/>
          <w:bCs/>
          <w:kern w:val="0"/>
          <w:sz w:val="24"/>
          <w:lang w:eastAsia="zh-CN"/>
        </w:rPr>
        <w:t>刘宝亮</w:t>
      </w:r>
      <w:r>
        <w:rPr>
          <w:rFonts w:hint="eastAsia" w:ascii="Times New Roman" w:hAnsi="Times New Roman"/>
          <w:bCs/>
          <w:kern w:val="0"/>
          <w:sz w:val="24"/>
        </w:rPr>
        <w:t>、</w:t>
      </w:r>
      <w:r>
        <w:rPr>
          <w:rFonts w:hint="eastAsia"/>
          <w:bCs/>
          <w:kern w:val="0"/>
          <w:sz w:val="24"/>
          <w:lang w:eastAsia="zh-CN"/>
        </w:rPr>
        <w:t>曹桂萍、董爽</w:t>
      </w:r>
      <w:r>
        <w:rPr>
          <w:rFonts w:hint="eastAsia" w:ascii="Times New Roman" w:hAnsi="Times New Roman"/>
          <w:bCs/>
          <w:kern w:val="0"/>
          <w:sz w:val="24"/>
        </w:rPr>
        <w:t>、</w:t>
      </w:r>
      <w:r>
        <w:rPr>
          <w:rFonts w:hint="eastAsia"/>
          <w:bCs/>
          <w:kern w:val="0"/>
          <w:sz w:val="24"/>
          <w:lang w:eastAsia="zh-CN"/>
        </w:rPr>
        <w:t>蒋夫花</w:t>
      </w:r>
      <w:r>
        <w:rPr>
          <w:rFonts w:hint="eastAsia" w:ascii="Times New Roman" w:hAnsi="Times New Roman"/>
          <w:bCs/>
          <w:kern w:val="0"/>
          <w:sz w:val="24"/>
        </w:rPr>
        <w:t>等</w:t>
      </w:r>
    </w:p>
    <w:p>
      <w:pPr>
        <w:spacing w:line="400" w:lineRule="atLeast"/>
        <w:ind w:firstLine="482" w:firstLineChars="200"/>
        <w:rPr>
          <w:rFonts w:eastAsia="黑体"/>
          <w:bCs/>
          <w:sz w:val="24"/>
        </w:rPr>
      </w:pPr>
      <w:r>
        <w:rPr>
          <w:b/>
          <w:bCs/>
          <w:kern w:val="0"/>
          <w:sz w:val="24"/>
        </w:rPr>
        <w:t>课程的性质与任务</w:t>
      </w:r>
      <w:r>
        <w:rPr>
          <w:rFonts w:hint="eastAsia"/>
          <w:b/>
          <w:bCs/>
          <w:kern w:val="0"/>
          <w:sz w:val="24"/>
        </w:rPr>
        <w:t>：</w:t>
      </w:r>
      <w:r>
        <w:rPr>
          <w:sz w:val="24"/>
        </w:rPr>
        <w:t>课程设计的主要任务是运用化工原理课程和有关先修课程所学知识，完成以精馏单元操作为主的板式精馏塔设计。教学目的是，使学生掌握化工原理设计的基本程序和方法，在查阅技术资料、选用公式和数据、用简洁文字和图表表达设计结果以及制图等方面得到一次基本训练。在设计过程中，巩固基本理论知识，提高学生综合应用的能力，加强理论与实践的联系，培养学生树立认真负责、团结合作的工作作风和运用工程观点解决实际问题的能力。</w:t>
      </w:r>
    </w:p>
    <w:p>
      <w:pPr>
        <w:spacing w:line="360" w:lineRule="auto"/>
        <w:ind w:firstLine="551" w:firstLineChars="196"/>
        <w:rPr>
          <w:b/>
          <w:sz w:val="28"/>
          <w:szCs w:val="28"/>
        </w:rPr>
      </w:pPr>
      <w:r>
        <w:rPr>
          <w:rFonts w:hint="eastAsia"/>
          <w:b/>
          <w:sz w:val="28"/>
          <w:szCs w:val="28"/>
        </w:rPr>
        <w:t>二</w:t>
      </w:r>
      <w:r>
        <w:rPr>
          <w:b/>
          <w:sz w:val="28"/>
          <w:szCs w:val="28"/>
        </w:rPr>
        <w:t>、课程目标</w:t>
      </w:r>
      <w:r>
        <w:rPr>
          <w:rFonts w:hint="eastAsia" w:ascii="Times New Roman" w:hAnsi="Times New Roman"/>
          <w:b/>
          <w:sz w:val="28"/>
          <w:szCs w:val="28"/>
        </w:rPr>
        <w:t>及对毕业要求观测点的支撑</w:t>
      </w:r>
    </w:p>
    <w:tbl>
      <w:tblPr>
        <w:tblStyle w:val="1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3"/>
        <w:gridCol w:w="2787"/>
        <w:gridCol w:w="2788"/>
        <w:gridCol w:w="3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573" w:type="dxa"/>
            <w:shd w:val="clear" w:color="auto" w:fill="auto"/>
            <w:noWrap/>
            <w:vAlign w:val="center"/>
          </w:tcPr>
          <w:p>
            <w:pPr>
              <w:widowControl/>
              <w:jc w:val="center"/>
              <w:rPr>
                <w:rFonts w:ascii="Times New Roman" w:hAnsi="Times New Roman"/>
                <w:b/>
                <w:bCs/>
                <w:kern w:val="0"/>
                <w:szCs w:val="21"/>
              </w:rPr>
            </w:pPr>
            <w:r>
              <w:rPr>
                <w:rFonts w:hint="eastAsia" w:ascii="Times New Roman" w:hAnsi="Times New Roman"/>
                <w:b/>
                <w:bCs/>
                <w:kern w:val="0"/>
                <w:szCs w:val="21"/>
              </w:rPr>
              <w:t>序号</w:t>
            </w:r>
          </w:p>
        </w:tc>
        <w:tc>
          <w:tcPr>
            <w:tcW w:w="2787" w:type="dxa"/>
            <w:shd w:val="clear" w:color="auto" w:fill="auto"/>
            <w:noWrap/>
            <w:vAlign w:val="center"/>
          </w:tcPr>
          <w:p>
            <w:pPr>
              <w:widowControl/>
              <w:jc w:val="center"/>
              <w:rPr>
                <w:rFonts w:ascii="Times New Roman" w:hAnsi="Times New Roman"/>
                <w:b/>
                <w:bCs/>
                <w:kern w:val="0"/>
                <w:szCs w:val="21"/>
              </w:rPr>
            </w:pPr>
            <w:r>
              <w:rPr>
                <w:rFonts w:hint="eastAsia" w:ascii="Times New Roman" w:hAnsi="Times New Roman"/>
                <w:b/>
                <w:bCs/>
                <w:kern w:val="0"/>
                <w:szCs w:val="21"/>
              </w:rPr>
              <w:t>课程目标</w:t>
            </w:r>
          </w:p>
        </w:tc>
        <w:tc>
          <w:tcPr>
            <w:tcW w:w="2788" w:type="dxa"/>
            <w:shd w:val="clear" w:color="auto" w:fill="auto"/>
            <w:noWrap/>
            <w:vAlign w:val="center"/>
          </w:tcPr>
          <w:p>
            <w:pPr>
              <w:widowControl/>
              <w:jc w:val="center"/>
              <w:rPr>
                <w:rFonts w:ascii="Times New Roman" w:hAnsi="Times New Roman"/>
                <w:b/>
                <w:bCs/>
                <w:kern w:val="0"/>
                <w:szCs w:val="21"/>
              </w:rPr>
            </w:pPr>
            <w:r>
              <w:rPr>
                <w:rFonts w:hint="eastAsia" w:ascii="Times New Roman" w:hAnsi="Times New Roman"/>
                <w:b/>
                <w:bCs/>
                <w:kern w:val="0"/>
                <w:szCs w:val="21"/>
              </w:rPr>
              <w:t>支撑毕业要求观测点</w:t>
            </w:r>
          </w:p>
        </w:tc>
        <w:tc>
          <w:tcPr>
            <w:tcW w:w="3066" w:type="dxa"/>
            <w:shd w:val="clear" w:color="auto" w:fill="auto"/>
            <w:noWrap/>
            <w:vAlign w:val="center"/>
          </w:tcPr>
          <w:p>
            <w:pPr>
              <w:widowControl/>
              <w:jc w:val="center"/>
              <w:rPr>
                <w:rFonts w:ascii="Times New Roman" w:hAnsi="Times New Roman"/>
                <w:b/>
                <w:bCs/>
                <w:kern w:val="0"/>
                <w:szCs w:val="21"/>
              </w:rPr>
            </w:pPr>
            <w:r>
              <w:rPr>
                <w:rFonts w:hint="eastAsia" w:ascii="Times New Roman" w:hAnsi="Times New Roman"/>
                <w:b/>
                <w:bCs/>
                <w:kern w:val="0"/>
                <w:szCs w:val="21"/>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573" w:type="dxa"/>
            <w:shd w:val="clear" w:color="auto" w:fill="auto"/>
            <w:noWrap/>
            <w:vAlign w:val="center"/>
          </w:tcPr>
          <w:p>
            <w:pPr>
              <w:widowControl/>
              <w:jc w:val="center"/>
              <w:rPr>
                <w:rFonts w:ascii="Times New Roman" w:hAnsi="Times New Roman"/>
                <w:kern w:val="0"/>
                <w:szCs w:val="21"/>
              </w:rPr>
            </w:pPr>
            <w:r>
              <w:rPr>
                <w:rFonts w:hint="eastAsia" w:ascii="Times New Roman" w:hAnsi="Times New Roman"/>
                <w:kern w:val="0"/>
                <w:szCs w:val="21"/>
              </w:rPr>
              <w:t>1</w:t>
            </w:r>
          </w:p>
        </w:tc>
        <w:tc>
          <w:tcPr>
            <w:tcW w:w="2787" w:type="dxa"/>
            <w:shd w:val="clear" w:color="auto" w:fill="auto"/>
            <w:noWrap/>
            <w:vAlign w:val="center"/>
          </w:tcPr>
          <w:p>
            <w:pPr>
              <w:widowControl/>
              <w:rPr>
                <w:rFonts w:ascii="Times New Roman" w:hAnsi="Times New Roman"/>
                <w:kern w:val="0"/>
                <w:szCs w:val="21"/>
              </w:rPr>
            </w:pPr>
            <w:r>
              <w:rPr>
                <w:rFonts w:hint="eastAsia" w:ascii="Times New Roman" w:hAnsi="Times New Roman"/>
                <w:b/>
                <w:bCs/>
                <w:szCs w:val="21"/>
              </w:rPr>
              <w:t>目标1</w:t>
            </w:r>
            <w:r>
              <w:rPr>
                <w:rFonts w:hint="eastAsia" w:ascii="Times New Roman" w:hAnsi="Times New Roman"/>
                <w:bCs/>
                <w:szCs w:val="21"/>
              </w:rPr>
              <w:t>：掌握</w:t>
            </w:r>
            <w:r>
              <w:rPr>
                <w:rFonts w:hint="eastAsia" w:ascii="Times New Roman" w:hAnsi="Times New Roman"/>
                <w:bCs/>
                <w:szCs w:val="21"/>
                <w:lang w:eastAsia="zh-CN"/>
              </w:rPr>
              <w:t>化工原理</w:t>
            </w:r>
            <w:r>
              <w:rPr>
                <w:rFonts w:hint="eastAsia" w:ascii="Times New Roman" w:hAnsi="Times New Roman"/>
                <w:bCs/>
                <w:szCs w:val="21"/>
              </w:rPr>
              <w:t>、化工</w:t>
            </w:r>
            <w:r>
              <w:rPr>
                <w:rFonts w:hint="eastAsia" w:ascii="Times New Roman" w:hAnsi="Times New Roman"/>
                <w:bCs/>
                <w:szCs w:val="21"/>
                <w:lang w:eastAsia="zh-CN"/>
              </w:rPr>
              <w:t>原理实验</w:t>
            </w:r>
            <w:r>
              <w:rPr>
                <w:rFonts w:hint="eastAsia" w:ascii="Times New Roman" w:hAnsi="Times New Roman"/>
                <w:bCs/>
                <w:szCs w:val="21"/>
              </w:rPr>
              <w:t>等工程基础知识，能够运用于化工</w:t>
            </w:r>
            <w:r>
              <w:rPr>
                <w:rFonts w:hint="eastAsia" w:ascii="Times New Roman" w:hAnsi="Times New Roman"/>
                <w:bCs/>
                <w:szCs w:val="21"/>
                <w:lang w:eastAsia="zh-CN"/>
              </w:rPr>
              <w:t>设备设计</w:t>
            </w:r>
            <w:r>
              <w:rPr>
                <w:rFonts w:hint="eastAsia" w:ascii="Times New Roman" w:hAnsi="Times New Roman"/>
                <w:bCs/>
                <w:szCs w:val="21"/>
              </w:rPr>
              <w:t>过程的</w:t>
            </w:r>
            <w:r>
              <w:rPr>
                <w:rFonts w:hint="eastAsia" w:ascii="Times New Roman" w:hAnsi="Times New Roman"/>
                <w:bCs/>
                <w:szCs w:val="21"/>
                <w:lang w:eastAsia="zh-CN"/>
              </w:rPr>
              <w:t>及结算</w:t>
            </w:r>
            <w:r>
              <w:rPr>
                <w:rFonts w:hint="eastAsia" w:ascii="Times New Roman" w:hAnsi="Times New Roman"/>
                <w:bCs/>
                <w:szCs w:val="21"/>
              </w:rPr>
              <w:t>和</w:t>
            </w:r>
            <w:r>
              <w:rPr>
                <w:rFonts w:hint="eastAsia" w:ascii="Times New Roman" w:hAnsi="Times New Roman"/>
                <w:bCs/>
                <w:szCs w:val="21"/>
                <w:lang w:eastAsia="zh-CN"/>
              </w:rPr>
              <w:t>描述</w:t>
            </w:r>
            <w:r>
              <w:rPr>
                <w:rFonts w:hint="eastAsia" w:ascii="Times New Roman" w:hAnsi="Times New Roman"/>
                <w:bCs/>
                <w:szCs w:val="21"/>
              </w:rPr>
              <w:t>。</w:t>
            </w:r>
          </w:p>
        </w:tc>
        <w:tc>
          <w:tcPr>
            <w:tcW w:w="2788" w:type="dxa"/>
            <w:shd w:val="clear" w:color="auto" w:fill="auto"/>
            <w:noWrap/>
            <w:vAlign w:val="center"/>
          </w:tcPr>
          <w:p>
            <w:pPr>
              <w:widowControl/>
              <w:rPr>
                <w:rFonts w:ascii="Times New Roman" w:hAnsi="Times New Roman"/>
                <w:kern w:val="0"/>
                <w:szCs w:val="21"/>
              </w:rPr>
            </w:pPr>
            <w:r>
              <w:rPr>
                <w:rFonts w:ascii="Times New Roman" w:hAnsi="Times New Roman" w:eastAsia="宋体" w:cs="Times New Roman"/>
                <w:b/>
                <w:szCs w:val="21"/>
              </w:rPr>
              <w:t>观测点2.3</w:t>
            </w:r>
            <w:r>
              <w:rPr>
                <w:rFonts w:ascii="Times New Roman" w:hAnsi="Times New Roman" w:eastAsia="宋体" w:cs="Times New Roman"/>
                <w:szCs w:val="21"/>
              </w:rPr>
              <w:t>：</w:t>
            </w:r>
            <w:r>
              <w:rPr>
                <w:rFonts w:ascii="Times New Roman" w:hAnsi="Times New Roman"/>
                <w:color w:val="000000"/>
                <w:kern w:val="0"/>
              </w:rPr>
              <w:t>能够正确表达一个化学工程问题的解决方案</w:t>
            </w:r>
          </w:p>
        </w:tc>
        <w:tc>
          <w:tcPr>
            <w:tcW w:w="3066" w:type="dxa"/>
            <w:shd w:val="clear" w:color="auto" w:fill="auto"/>
            <w:noWrap/>
            <w:vAlign w:val="center"/>
          </w:tcPr>
          <w:p>
            <w:pPr>
              <w:widowControl/>
              <w:rPr>
                <w:rFonts w:ascii="Times New Roman" w:hAnsi="Times New Roman"/>
                <w:kern w:val="0"/>
                <w:szCs w:val="21"/>
              </w:rPr>
            </w:pPr>
            <w:r>
              <w:rPr>
                <w:rFonts w:hint="eastAsia" w:ascii="Times New Roman" w:hAnsi="Times New Roman"/>
                <w:b/>
                <w:kern w:val="0"/>
                <w:szCs w:val="21"/>
              </w:rPr>
              <w:t>毕业要求</w:t>
            </w:r>
            <w:r>
              <w:rPr>
                <w:rFonts w:ascii="Times New Roman" w:hAnsi="Times New Roman" w:eastAsia="宋体" w:cs="Times New Roman"/>
                <w:b/>
                <w:szCs w:val="21"/>
              </w:rPr>
              <w:t>2问题分析：</w:t>
            </w:r>
            <w:r>
              <w:rPr>
                <w:rFonts w:ascii="Times New Roman" w:hAnsi="Times New Roman"/>
                <w:color w:val="000000"/>
                <w:kern w:val="0"/>
              </w:rPr>
              <w:t>能够应用数学、自然科学和工程科学的基本原理，识别、表达、并通过文献研究分析</w:t>
            </w:r>
            <w:r>
              <w:rPr>
                <w:rFonts w:ascii="Times New Roman" w:hAnsi="Times New Roman"/>
                <w:szCs w:val="21"/>
              </w:rPr>
              <w:t>化学工程与工艺领域</w:t>
            </w:r>
            <w:r>
              <w:rPr>
                <w:rFonts w:ascii="Times New Roman" w:hAnsi="Times New Roman"/>
                <w:color w:val="000000"/>
                <w:kern w:val="0"/>
              </w:rPr>
              <w:t>复杂工程问题，以获得有效结论。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573" w:type="dxa"/>
            <w:shd w:val="clear" w:color="auto" w:fill="auto"/>
            <w:noWrap/>
            <w:vAlign w:val="center"/>
          </w:tcPr>
          <w:p>
            <w:pPr>
              <w:widowControl/>
              <w:jc w:val="center"/>
              <w:rPr>
                <w:rFonts w:ascii="Times New Roman" w:hAnsi="Times New Roman"/>
                <w:kern w:val="0"/>
                <w:szCs w:val="21"/>
              </w:rPr>
            </w:pPr>
            <w:r>
              <w:rPr>
                <w:rFonts w:hint="eastAsia" w:ascii="Times New Roman" w:hAnsi="Times New Roman"/>
                <w:kern w:val="0"/>
                <w:szCs w:val="21"/>
              </w:rPr>
              <w:t>2</w:t>
            </w:r>
          </w:p>
        </w:tc>
        <w:tc>
          <w:tcPr>
            <w:tcW w:w="2787" w:type="dxa"/>
            <w:shd w:val="clear" w:color="auto" w:fill="auto"/>
            <w:noWrap/>
            <w:vAlign w:val="center"/>
          </w:tcPr>
          <w:p>
            <w:pPr>
              <w:widowControl/>
              <w:rPr>
                <w:rFonts w:ascii="Times New Roman" w:hAnsi="Times New Roman"/>
                <w:kern w:val="0"/>
                <w:szCs w:val="21"/>
              </w:rPr>
            </w:pPr>
            <w:r>
              <w:rPr>
                <w:rFonts w:hint="eastAsia" w:ascii="Times New Roman" w:hAnsi="Times New Roman"/>
                <w:b/>
                <w:bCs/>
                <w:szCs w:val="21"/>
              </w:rPr>
              <w:t>目标2</w:t>
            </w:r>
            <w:r>
              <w:rPr>
                <w:rFonts w:hint="eastAsia" w:ascii="Times New Roman" w:hAnsi="Times New Roman"/>
                <w:bCs/>
                <w:szCs w:val="21"/>
              </w:rPr>
              <w:t>：具备掌握化工单元操作设计的基本内容、设计方法、设计步骤和基本要求，独立完成查阅技术资料和物性参数、选择设计方案、进行设计计算。</w:t>
            </w:r>
          </w:p>
        </w:tc>
        <w:tc>
          <w:tcPr>
            <w:tcW w:w="2788" w:type="dxa"/>
            <w:shd w:val="clear" w:color="auto" w:fill="auto"/>
            <w:noWrap/>
            <w:vAlign w:val="center"/>
          </w:tcPr>
          <w:p>
            <w:pPr>
              <w:widowControl/>
              <w:rPr>
                <w:rFonts w:ascii="Times New Roman" w:hAnsi="Times New Roman"/>
                <w:kern w:val="0"/>
                <w:szCs w:val="21"/>
              </w:rPr>
            </w:pPr>
            <w:r>
              <w:rPr>
                <w:rFonts w:ascii="Times New Roman" w:hAnsi="Times New Roman" w:eastAsia="宋体" w:cs="Times New Roman"/>
                <w:b/>
                <w:szCs w:val="21"/>
              </w:rPr>
              <w:t>观测点3.</w:t>
            </w:r>
            <w:r>
              <w:rPr>
                <w:rFonts w:hint="eastAsia" w:cs="Times New Roman"/>
                <w:b/>
                <w:szCs w:val="21"/>
                <w:lang w:val="en-US" w:eastAsia="zh-CN"/>
              </w:rPr>
              <w:t>2</w:t>
            </w:r>
            <w:r>
              <w:rPr>
                <w:rFonts w:ascii="Times New Roman" w:hAnsi="Times New Roman" w:eastAsia="宋体" w:cs="Times New Roman"/>
                <w:szCs w:val="21"/>
              </w:rPr>
              <w:t>：</w:t>
            </w:r>
            <w:r>
              <w:rPr>
                <w:rFonts w:ascii="Times New Roman" w:hAnsi="Times New Roman"/>
                <w:color w:val="000000"/>
                <w:kern w:val="0"/>
              </w:rPr>
              <w:t>能够通过建模进行单元和设备设计计算</w:t>
            </w:r>
          </w:p>
        </w:tc>
        <w:tc>
          <w:tcPr>
            <w:tcW w:w="3066" w:type="dxa"/>
            <w:shd w:val="clear" w:color="auto" w:fill="auto"/>
            <w:noWrap/>
            <w:vAlign w:val="center"/>
          </w:tcPr>
          <w:p>
            <w:pPr>
              <w:widowControl/>
              <w:rPr>
                <w:rFonts w:ascii="Times New Roman" w:hAnsi="Times New Roman"/>
                <w:kern w:val="0"/>
                <w:szCs w:val="21"/>
              </w:rPr>
            </w:pPr>
            <w:r>
              <w:rPr>
                <w:rFonts w:hint="eastAsia" w:ascii="Times New Roman" w:hAnsi="Times New Roman"/>
                <w:b/>
                <w:kern w:val="0"/>
                <w:szCs w:val="21"/>
              </w:rPr>
              <w:t>毕业要求</w:t>
            </w:r>
            <w:r>
              <w:rPr>
                <w:rFonts w:ascii="Times New Roman" w:hAnsi="Times New Roman" w:eastAsia="宋体" w:cs="Times New Roman"/>
                <w:b/>
                <w:bCs/>
                <w:kern w:val="0"/>
                <w:szCs w:val="21"/>
              </w:rPr>
              <w:t>3设计/开发解决方案</w:t>
            </w:r>
            <w:r>
              <w:rPr>
                <w:rFonts w:ascii="Times New Roman" w:hAnsi="Times New Roman" w:eastAsia="宋体" w:cs="Times New Roman"/>
                <w:b/>
                <w:kern w:val="0"/>
                <w:szCs w:val="21"/>
              </w:rPr>
              <w:t>：</w:t>
            </w:r>
            <w:r>
              <w:rPr>
                <w:rFonts w:ascii="Times New Roman" w:hAnsi="Times New Roman" w:eastAsia="宋体"/>
                <w:color w:val="000000"/>
                <w:sz w:val="21"/>
                <w:szCs w:val="22"/>
              </w:rPr>
              <w:t>能够设计针对</w:t>
            </w:r>
            <w:r>
              <w:rPr>
                <w:rFonts w:ascii="Times New Roman" w:hAnsi="Times New Roman" w:eastAsia="宋体"/>
                <w:szCs w:val="21"/>
              </w:rPr>
              <w:t>化学工程与工艺领域</w:t>
            </w:r>
            <w:r>
              <w:rPr>
                <w:rFonts w:ascii="Times New Roman" w:hAnsi="Times New Roman" w:eastAsia="宋体"/>
                <w:color w:val="000000"/>
                <w:sz w:val="21"/>
                <w:szCs w:val="22"/>
              </w:rPr>
              <w:t>复杂工程问题的解决方案，设计满足特定需求的系统、单元（部件）或工艺流程，并能够在设计环节中体现创新意识，考虑社会、健康、安全、法律、文化以及环境等因素。</w:t>
            </w:r>
          </w:p>
        </w:tc>
      </w:tr>
    </w:tbl>
    <w:p>
      <w:pPr>
        <w:spacing w:line="360" w:lineRule="auto"/>
        <w:ind w:firstLine="551" w:firstLineChars="196"/>
        <w:rPr>
          <w:b/>
          <w:sz w:val="28"/>
          <w:szCs w:val="28"/>
        </w:rPr>
      </w:pPr>
      <w:r>
        <w:rPr>
          <w:rFonts w:hint="eastAsia"/>
          <w:b/>
          <w:sz w:val="28"/>
          <w:szCs w:val="28"/>
        </w:rPr>
        <w:t>三</w:t>
      </w:r>
      <w:r>
        <w:rPr>
          <w:b/>
          <w:sz w:val="28"/>
          <w:szCs w:val="28"/>
        </w:rPr>
        <w:t>、课程内容与要求</w:t>
      </w:r>
    </w:p>
    <w:p>
      <w:pPr>
        <w:spacing w:line="360" w:lineRule="auto"/>
        <w:ind w:firstLine="241" w:firstLineChars="100"/>
        <w:rPr>
          <w:rFonts w:ascii="Times New Roman" w:hAnsi="Times New Roman" w:eastAsia="宋体" w:cs="Times New Roman"/>
          <w:b/>
          <w:color w:val="000000"/>
          <w:sz w:val="24"/>
        </w:rPr>
      </w:pPr>
      <w:r>
        <w:rPr>
          <w:rFonts w:hint="eastAsia" w:ascii="Times New Roman" w:hAnsi="Times New Roman" w:eastAsia="宋体" w:cs="Times New Roman"/>
          <w:b/>
          <w:color w:val="000000"/>
          <w:sz w:val="24"/>
        </w:rPr>
        <w:t>（一）设计内容</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本设计的内容由以</w:t>
      </w:r>
      <w:r>
        <w:rPr>
          <w:sz w:val="24"/>
        </w:rPr>
        <w:t>以精馏单元操作为主的板式精馏塔设计</w:t>
      </w:r>
      <w:r>
        <w:rPr>
          <w:rFonts w:hint="eastAsia" w:ascii="Times New Roman" w:hAnsi="Times New Roman"/>
          <w:color w:val="000000"/>
          <w:sz w:val="24"/>
        </w:rPr>
        <w:t>，完成</w:t>
      </w:r>
      <w:r>
        <w:rPr>
          <w:rFonts w:hint="eastAsia"/>
          <w:color w:val="000000"/>
          <w:sz w:val="24"/>
          <w:lang w:eastAsia="zh-CN"/>
        </w:rPr>
        <w:t>主体设备精馏塔的工艺流程及设计计算，并包括辅助设备的选型，同时绘制工艺流程图和主体设备图</w:t>
      </w:r>
      <w:r>
        <w:rPr>
          <w:rFonts w:hint="eastAsia" w:ascii="Times New Roman" w:hAnsi="Times New Roman"/>
          <w:color w:val="000000"/>
          <w:sz w:val="24"/>
        </w:rPr>
        <w:t>。</w:t>
      </w:r>
    </w:p>
    <w:p>
      <w:pPr>
        <w:spacing w:line="360" w:lineRule="auto"/>
        <w:ind w:firstLine="241" w:firstLineChars="100"/>
        <w:rPr>
          <w:rFonts w:hint="eastAsia"/>
          <w:b/>
          <w:bCs/>
          <w:sz w:val="24"/>
          <w:lang w:eastAsia="zh-CN"/>
        </w:rPr>
      </w:pPr>
      <w:r>
        <w:rPr>
          <w:rFonts w:hint="eastAsia" w:ascii="Times New Roman" w:hAnsi="Times New Roman" w:eastAsia="宋体" w:cs="Times New Roman"/>
          <w:b/>
          <w:color w:val="000000"/>
          <w:sz w:val="24"/>
        </w:rPr>
        <w:t>（二）设计总体要求</w:t>
      </w:r>
    </w:p>
    <w:p>
      <w:pPr>
        <w:spacing w:line="400" w:lineRule="atLeast"/>
        <w:ind w:firstLine="480" w:firstLineChars="200"/>
        <w:rPr>
          <w:b w:val="0"/>
          <w:bCs w:val="0"/>
          <w:sz w:val="24"/>
        </w:rPr>
      </w:pPr>
      <w:r>
        <w:rPr>
          <w:rFonts w:hint="eastAsia"/>
          <w:b w:val="0"/>
          <w:bCs w:val="0"/>
          <w:sz w:val="24"/>
          <w:lang w:val="en-US" w:eastAsia="zh-CN"/>
        </w:rPr>
        <w:t xml:space="preserve">1. </w:t>
      </w:r>
      <w:r>
        <w:rPr>
          <w:b w:val="0"/>
          <w:bCs w:val="0"/>
          <w:sz w:val="24"/>
        </w:rPr>
        <w:t xml:space="preserve">设计准备 </w:t>
      </w:r>
    </w:p>
    <w:p>
      <w:pPr>
        <w:spacing w:line="400" w:lineRule="atLeast"/>
        <w:ind w:firstLine="480" w:firstLineChars="200"/>
        <w:rPr>
          <w:sz w:val="24"/>
        </w:rPr>
      </w:pPr>
      <w:r>
        <w:rPr>
          <w:sz w:val="24"/>
        </w:rPr>
        <w:t>要求：(1) 明确设计任务，掌握设计内容和设计说明书的要求；</w:t>
      </w:r>
    </w:p>
    <w:p>
      <w:pPr>
        <w:spacing w:line="400" w:lineRule="atLeast"/>
        <w:ind w:firstLine="1200" w:firstLineChars="500"/>
        <w:rPr>
          <w:sz w:val="24"/>
        </w:rPr>
      </w:pPr>
      <w:r>
        <w:rPr>
          <w:sz w:val="24"/>
        </w:rPr>
        <w:t>(2) 准备好设计手册、图册及相关参考资料；</w:t>
      </w:r>
    </w:p>
    <w:p>
      <w:pPr>
        <w:spacing w:line="400" w:lineRule="atLeast"/>
        <w:ind w:firstLine="1200" w:firstLineChars="500"/>
        <w:rPr>
          <w:sz w:val="24"/>
        </w:rPr>
      </w:pPr>
      <w:r>
        <w:rPr>
          <w:sz w:val="24"/>
        </w:rPr>
        <w:t>(3) 准备好课程设计所用的工具。</w:t>
      </w:r>
    </w:p>
    <w:p>
      <w:pPr>
        <w:spacing w:line="400" w:lineRule="atLeast"/>
        <w:ind w:firstLine="480" w:firstLineChars="200"/>
        <w:rPr>
          <w:rFonts w:eastAsia="黑体"/>
          <w:bCs/>
          <w:sz w:val="24"/>
        </w:rPr>
      </w:pPr>
      <w:r>
        <w:rPr>
          <w:sz w:val="24"/>
        </w:rPr>
        <w:t xml:space="preserve">      (4) 根据设计任务和班级情况，3-5人一组，每组一题，要求各组学生既要分工又要合作，共同完成设计任务。</w:t>
      </w:r>
    </w:p>
    <w:p>
      <w:pPr>
        <w:spacing w:line="400" w:lineRule="atLeast"/>
        <w:ind w:firstLine="480" w:firstLineChars="200"/>
        <w:rPr>
          <w:b w:val="0"/>
          <w:bCs w:val="0"/>
          <w:sz w:val="24"/>
        </w:rPr>
      </w:pPr>
      <w:r>
        <w:rPr>
          <w:rFonts w:hint="eastAsia"/>
          <w:b w:val="0"/>
          <w:bCs w:val="0"/>
          <w:sz w:val="24"/>
          <w:lang w:val="en-US" w:eastAsia="zh-CN"/>
        </w:rPr>
        <w:t xml:space="preserve">2. </w:t>
      </w:r>
      <w:r>
        <w:rPr>
          <w:b w:val="0"/>
          <w:bCs w:val="0"/>
          <w:sz w:val="24"/>
        </w:rPr>
        <w:t>编写设计说明书</w:t>
      </w:r>
    </w:p>
    <w:p>
      <w:pPr>
        <w:spacing w:line="400" w:lineRule="atLeast"/>
        <w:ind w:firstLine="480" w:firstLineChars="200"/>
        <w:rPr>
          <w:sz w:val="24"/>
        </w:rPr>
      </w:pPr>
      <w:r>
        <w:rPr>
          <w:sz w:val="24"/>
        </w:rPr>
        <w:t>基本内容：</w:t>
      </w:r>
    </w:p>
    <w:p>
      <w:pPr>
        <w:spacing w:line="400" w:lineRule="atLeast"/>
        <w:ind w:firstLine="720" w:firstLineChars="300"/>
        <w:rPr>
          <w:sz w:val="24"/>
        </w:rPr>
      </w:pPr>
      <w:r>
        <w:rPr>
          <w:sz w:val="24"/>
        </w:rPr>
        <w:t>(1) 设计方案简介，对给定或选定的工艺流程和主要设备的型式进行简要的论述。</w:t>
      </w:r>
    </w:p>
    <w:p>
      <w:pPr>
        <w:spacing w:line="400" w:lineRule="atLeast"/>
        <w:ind w:firstLine="720" w:firstLineChars="300"/>
        <w:rPr>
          <w:sz w:val="24"/>
        </w:rPr>
      </w:pPr>
      <w:r>
        <w:rPr>
          <w:sz w:val="24"/>
        </w:rPr>
        <w:t>(2) 主要设备的工艺设计计算，包括工艺参数的选定、物料衡算、热量衡算、设备的工艺尺寸计算及结构设计。</w:t>
      </w:r>
    </w:p>
    <w:p>
      <w:pPr>
        <w:spacing w:line="400" w:lineRule="atLeast"/>
        <w:ind w:firstLine="720" w:firstLineChars="300"/>
        <w:rPr>
          <w:sz w:val="24"/>
        </w:rPr>
      </w:pPr>
      <w:r>
        <w:rPr>
          <w:sz w:val="24"/>
        </w:rPr>
        <w:t>(3) 典型辅助设备的选型和计算，包括典型辅助设备的主要工艺尺寸计算和设备型号规格的选定。</w:t>
      </w:r>
    </w:p>
    <w:p>
      <w:pPr>
        <w:spacing w:line="400" w:lineRule="atLeast"/>
        <w:ind w:firstLine="480" w:firstLineChars="200"/>
        <w:rPr>
          <w:sz w:val="24"/>
        </w:rPr>
      </w:pPr>
      <w:r>
        <w:rPr>
          <w:sz w:val="24"/>
        </w:rPr>
        <w:t>设计说明书中应包括所有论述、原始数据、计算、表格等，编排顺序如下：</w:t>
      </w:r>
    </w:p>
    <w:p>
      <w:pPr>
        <w:spacing w:line="400" w:lineRule="atLeast"/>
        <w:ind w:firstLine="720" w:firstLineChars="300"/>
        <w:rPr>
          <w:sz w:val="24"/>
        </w:rPr>
      </w:pPr>
      <w:r>
        <w:rPr>
          <w:sz w:val="24"/>
        </w:rPr>
        <w:t>(1) 标题页；</w:t>
      </w:r>
    </w:p>
    <w:p>
      <w:pPr>
        <w:spacing w:line="400" w:lineRule="atLeast"/>
        <w:ind w:firstLine="720" w:firstLineChars="300"/>
        <w:rPr>
          <w:sz w:val="24"/>
        </w:rPr>
      </w:pPr>
      <w:r>
        <w:rPr>
          <w:sz w:val="24"/>
        </w:rPr>
        <w:t>(2) 设计任务书；</w:t>
      </w:r>
    </w:p>
    <w:p>
      <w:pPr>
        <w:spacing w:line="400" w:lineRule="atLeast"/>
        <w:ind w:firstLine="720" w:firstLineChars="300"/>
        <w:rPr>
          <w:sz w:val="24"/>
        </w:rPr>
      </w:pPr>
      <w:r>
        <w:rPr>
          <w:sz w:val="24"/>
        </w:rPr>
        <w:t>(3) 目录；</w:t>
      </w:r>
    </w:p>
    <w:p>
      <w:pPr>
        <w:spacing w:line="400" w:lineRule="atLeast"/>
        <w:ind w:firstLine="720" w:firstLineChars="300"/>
        <w:rPr>
          <w:sz w:val="24"/>
        </w:rPr>
      </w:pPr>
      <w:r>
        <w:rPr>
          <w:sz w:val="24"/>
        </w:rPr>
        <w:t>(4) 设计方案简介；</w:t>
      </w:r>
    </w:p>
    <w:p>
      <w:pPr>
        <w:spacing w:line="400" w:lineRule="atLeast"/>
        <w:ind w:firstLine="720" w:firstLineChars="300"/>
        <w:rPr>
          <w:sz w:val="24"/>
        </w:rPr>
      </w:pPr>
      <w:r>
        <w:rPr>
          <w:sz w:val="24"/>
        </w:rPr>
        <w:t>(5) 工艺流程草图及说明；</w:t>
      </w:r>
    </w:p>
    <w:p>
      <w:pPr>
        <w:spacing w:line="400" w:lineRule="atLeast"/>
        <w:ind w:firstLine="720" w:firstLineChars="300"/>
        <w:rPr>
          <w:sz w:val="24"/>
        </w:rPr>
      </w:pPr>
      <w:r>
        <w:rPr>
          <w:sz w:val="24"/>
        </w:rPr>
        <w:t>(6) 工艺计算及主体设备设计计算及选型；</w:t>
      </w:r>
    </w:p>
    <w:p>
      <w:pPr>
        <w:spacing w:line="400" w:lineRule="atLeast"/>
        <w:ind w:firstLine="720" w:firstLineChars="300"/>
        <w:rPr>
          <w:sz w:val="24"/>
        </w:rPr>
      </w:pPr>
      <w:r>
        <w:rPr>
          <w:sz w:val="24"/>
        </w:rPr>
        <w:t>(7) 辅助设备的计算及选型，接口尺寸的计算；</w:t>
      </w:r>
    </w:p>
    <w:p>
      <w:pPr>
        <w:spacing w:line="400" w:lineRule="atLeast"/>
        <w:ind w:firstLine="720" w:firstLineChars="300"/>
        <w:rPr>
          <w:sz w:val="24"/>
        </w:rPr>
      </w:pPr>
      <w:r>
        <w:rPr>
          <w:sz w:val="24"/>
        </w:rPr>
        <w:t>(8) 设计结果概要或设计一览表；</w:t>
      </w:r>
    </w:p>
    <w:p>
      <w:pPr>
        <w:spacing w:line="400" w:lineRule="atLeast"/>
        <w:ind w:firstLine="720" w:firstLineChars="300"/>
        <w:rPr>
          <w:sz w:val="24"/>
        </w:rPr>
      </w:pPr>
      <w:r>
        <w:rPr>
          <w:sz w:val="24"/>
        </w:rPr>
        <w:t>(9) 对本设计的评述；</w:t>
      </w:r>
    </w:p>
    <w:p>
      <w:pPr>
        <w:spacing w:line="400" w:lineRule="atLeast"/>
        <w:ind w:firstLine="720" w:firstLineChars="300"/>
        <w:rPr>
          <w:sz w:val="24"/>
        </w:rPr>
      </w:pPr>
      <w:r>
        <w:rPr>
          <w:sz w:val="24"/>
        </w:rPr>
        <w:t>(10) 参考文献。</w:t>
      </w:r>
    </w:p>
    <w:p>
      <w:pPr>
        <w:spacing w:line="400" w:lineRule="atLeast"/>
        <w:ind w:firstLine="480" w:firstLineChars="200"/>
        <w:rPr>
          <w:sz w:val="24"/>
        </w:rPr>
      </w:pPr>
      <w:r>
        <w:rPr>
          <w:sz w:val="24"/>
        </w:rPr>
        <w:t xml:space="preserve">要求：学生查阅技术资料和物性参数，选择设计方案，完成设计计算与优化，编写设计说明书。 </w:t>
      </w:r>
    </w:p>
    <w:p>
      <w:pPr>
        <w:numPr>
          <w:ilvl w:val="0"/>
          <w:numId w:val="11"/>
        </w:numPr>
        <w:spacing w:line="400" w:lineRule="atLeast"/>
        <w:ind w:firstLine="480" w:firstLineChars="200"/>
        <w:rPr>
          <w:b w:val="0"/>
          <w:bCs/>
          <w:sz w:val="24"/>
        </w:rPr>
      </w:pPr>
      <w:r>
        <w:rPr>
          <w:b w:val="0"/>
          <w:bCs/>
          <w:sz w:val="24"/>
        </w:rPr>
        <w:t>绘制设计图纸</w:t>
      </w:r>
    </w:p>
    <w:p>
      <w:pPr>
        <w:spacing w:line="400" w:lineRule="atLeast"/>
        <w:ind w:left="1605" w:leftChars="250" w:hanging="1080" w:hangingChars="450"/>
        <w:rPr>
          <w:color w:val="000000"/>
          <w:sz w:val="24"/>
        </w:rPr>
      </w:pPr>
      <w:r>
        <w:rPr>
          <w:color w:val="000000"/>
          <w:sz w:val="24"/>
        </w:rPr>
        <w:t>内容：(1) 工艺流程简图，以单线图的形式绘制，标出主体设备和辅助设备的物料流向和主要化工参数测量点。</w:t>
      </w:r>
    </w:p>
    <w:p>
      <w:pPr>
        <w:spacing w:line="400" w:lineRule="atLeast"/>
        <w:ind w:left="1620" w:leftChars="600" w:hanging="360" w:hangingChars="150"/>
        <w:rPr>
          <w:color w:val="000000"/>
          <w:sz w:val="24"/>
        </w:rPr>
      </w:pPr>
      <w:r>
        <w:rPr>
          <w:color w:val="000000"/>
          <w:sz w:val="24"/>
        </w:rPr>
        <w:t>(2) 主体设备工艺条件图，画图上应包括设备的主要工艺尺寸，技术特性表和接管表等。</w:t>
      </w:r>
    </w:p>
    <w:p>
      <w:pPr>
        <w:spacing w:line="400" w:lineRule="atLeast"/>
        <w:ind w:firstLine="480" w:firstLineChars="200"/>
        <w:rPr>
          <w:sz w:val="24"/>
        </w:rPr>
      </w:pPr>
      <w:r>
        <w:rPr>
          <w:color w:val="000000"/>
          <w:sz w:val="24"/>
        </w:rPr>
        <w:t>要求：绘制完整，图纸清晰，标识准确，整体布局合理。</w:t>
      </w:r>
    </w:p>
    <w:p>
      <w:pPr>
        <w:spacing w:line="360" w:lineRule="auto"/>
        <w:ind w:left="480"/>
        <w:rPr>
          <w:b/>
          <w:bCs/>
          <w:sz w:val="24"/>
        </w:rPr>
      </w:pPr>
      <w:r>
        <w:rPr>
          <w:rFonts w:hint="eastAsia"/>
          <w:b/>
          <w:bCs/>
          <w:sz w:val="24"/>
          <w:lang w:eastAsia="zh-CN"/>
        </w:rPr>
        <w:t>（三）</w:t>
      </w:r>
      <w:r>
        <w:rPr>
          <w:b/>
          <w:bCs/>
          <w:sz w:val="24"/>
        </w:rPr>
        <w:t xml:space="preserve"> </w:t>
      </w:r>
      <w:r>
        <w:rPr>
          <w:rFonts w:hint="eastAsia"/>
          <w:b/>
          <w:bCs/>
          <w:sz w:val="24"/>
        </w:rPr>
        <w:t>教学内容与</w:t>
      </w:r>
      <w:r>
        <w:rPr>
          <w:b/>
          <w:bCs/>
          <w:sz w:val="24"/>
        </w:rPr>
        <w:t>课程目标的</w:t>
      </w:r>
      <w:r>
        <w:rPr>
          <w:rFonts w:hint="eastAsia"/>
          <w:b/>
          <w:bCs/>
          <w:sz w:val="24"/>
        </w:rPr>
        <w:t>对应关系及</w:t>
      </w:r>
      <w:r>
        <w:rPr>
          <w:b/>
          <w:bCs/>
          <w:sz w:val="24"/>
        </w:rPr>
        <w:t>学时分配</w:t>
      </w:r>
    </w:p>
    <w:p>
      <w:pPr>
        <w:spacing w:line="360" w:lineRule="auto"/>
        <w:ind w:firstLine="480" w:firstLineChars="200"/>
        <w:rPr>
          <w:rFonts w:hint="eastAsia" w:ascii="Times New Roman" w:hAnsi="Times New Roman" w:eastAsia="宋体" w:cs="Times New Roman"/>
          <w:color w:val="000000"/>
          <w:sz w:val="24"/>
        </w:rPr>
      </w:pPr>
      <w:r>
        <w:rPr>
          <w:rFonts w:hAnsi="宋体"/>
          <w:sz w:val="24"/>
        </w:rPr>
        <w:t>本课程设计</w:t>
      </w:r>
      <w:r>
        <w:rPr>
          <w:sz w:val="24"/>
        </w:rPr>
        <w:t>时间为</w:t>
      </w:r>
      <w:r>
        <w:rPr>
          <w:rFonts w:hint="eastAsia" w:hAnsi="宋体"/>
          <w:sz w:val="24"/>
          <w:lang w:val="en-US" w:eastAsia="zh-CN"/>
        </w:rPr>
        <w:t>2</w:t>
      </w:r>
      <w:r>
        <w:rPr>
          <w:rFonts w:hAnsi="宋体"/>
          <w:sz w:val="24"/>
        </w:rPr>
        <w:t>周，</w:t>
      </w:r>
      <w:r>
        <w:rPr>
          <w:rFonts w:hint="eastAsia" w:ascii="Times New Roman" w:hAnsi="Times New Roman" w:eastAsia="宋体" w:cs="Times New Roman"/>
          <w:color w:val="000000"/>
          <w:sz w:val="24"/>
        </w:rPr>
        <w:t>安排在第</w:t>
      </w:r>
      <w:r>
        <w:rPr>
          <w:rFonts w:hint="eastAsia" w:cs="Times New Roman"/>
          <w:color w:val="000000"/>
          <w:sz w:val="24"/>
          <w:lang w:eastAsia="zh-CN"/>
        </w:rPr>
        <w:t>五</w:t>
      </w:r>
      <w:r>
        <w:rPr>
          <w:rFonts w:hint="eastAsia" w:ascii="Times New Roman" w:hAnsi="Times New Roman" w:eastAsia="宋体" w:cs="Times New Roman"/>
          <w:color w:val="000000"/>
          <w:sz w:val="24"/>
        </w:rPr>
        <w:t>学期，教学内容与</w:t>
      </w:r>
      <w:r>
        <w:rPr>
          <w:rFonts w:ascii="Times New Roman" w:hAnsi="Times New Roman" w:eastAsia="宋体" w:cs="Times New Roman"/>
          <w:color w:val="000000"/>
          <w:sz w:val="24"/>
        </w:rPr>
        <w:t>课程目标的</w:t>
      </w:r>
      <w:r>
        <w:rPr>
          <w:rFonts w:hint="eastAsia" w:ascii="Times New Roman" w:hAnsi="Times New Roman" w:eastAsia="宋体" w:cs="Times New Roman"/>
          <w:color w:val="000000"/>
          <w:sz w:val="24"/>
        </w:rPr>
        <w:t>对应关系及</w:t>
      </w:r>
      <w:r>
        <w:rPr>
          <w:rFonts w:ascii="Times New Roman" w:hAnsi="Times New Roman" w:eastAsia="宋体" w:cs="Times New Roman"/>
          <w:color w:val="000000"/>
          <w:sz w:val="24"/>
        </w:rPr>
        <w:t>学时分配</w:t>
      </w:r>
      <w:r>
        <w:rPr>
          <w:rFonts w:hint="eastAsia" w:ascii="Times New Roman" w:hAnsi="Times New Roman" w:eastAsia="宋体" w:cs="Times New Roman"/>
          <w:color w:val="000000"/>
          <w:sz w:val="24"/>
        </w:rPr>
        <w:t>如表所示。</w:t>
      </w:r>
    </w:p>
    <w:tbl>
      <w:tblPr>
        <w:tblStyle w:val="10"/>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9"/>
        <w:gridCol w:w="1070"/>
        <w:gridCol w:w="1695"/>
        <w:gridCol w:w="1980"/>
        <w:gridCol w:w="840"/>
        <w:gridCol w:w="1194"/>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9" w:type="dxa"/>
            <w:shd w:val="clear" w:color="auto" w:fill="FFFFFF"/>
            <w:vAlign w:val="center"/>
          </w:tcPr>
          <w:p>
            <w:pPr>
              <w:jc w:val="center"/>
              <w:rPr>
                <w:rFonts w:ascii="Times New Roman" w:hAnsi="Times New Roman"/>
                <w:b/>
                <w:bCs/>
                <w:color w:val="000000"/>
                <w:szCs w:val="21"/>
              </w:rPr>
            </w:pPr>
            <w:r>
              <w:rPr>
                <w:rFonts w:hint="eastAsia" w:ascii="Times New Roman" w:hAnsi="Times New Roman"/>
                <w:b/>
                <w:bCs/>
                <w:color w:val="000000"/>
                <w:szCs w:val="21"/>
              </w:rPr>
              <w:t>序号</w:t>
            </w:r>
          </w:p>
        </w:tc>
        <w:tc>
          <w:tcPr>
            <w:tcW w:w="1070" w:type="dxa"/>
            <w:shd w:val="clear" w:color="auto" w:fill="FFFFFF"/>
            <w:vAlign w:val="center"/>
          </w:tcPr>
          <w:p>
            <w:pPr>
              <w:jc w:val="center"/>
              <w:rPr>
                <w:rFonts w:ascii="Times New Roman" w:hAnsi="Times New Roman"/>
                <w:b/>
                <w:bCs/>
                <w:color w:val="000000"/>
                <w:szCs w:val="21"/>
              </w:rPr>
            </w:pPr>
            <w:r>
              <w:rPr>
                <w:rFonts w:ascii="Times New Roman" w:hAnsi="Times New Roman"/>
                <w:b/>
                <w:bCs/>
                <w:color w:val="000000"/>
                <w:szCs w:val="21"/>
              </w:rPr>
              <w:t>教学内容</w:t>
            </w:r>
          </w:p>
        </w:tc>
        <w:tc>
          <w:tcPr>
            <w:tcW w:w="1695" w:type="dxa"/>
            <w:shd w:val="clear" w:color="auto" w:fill="FFFFFF"/>
            <w:vAlign w:val="center"/>
          </w:tcPr>
          <w:p>
            <w:pPr>
              <w:jc w:val="center"/>
              <w:rPr>
                <w:rFonts w:hint="eastAsia" w:ascii="Times New Roman" w:hAnsi="Times New Roman" w:eastAsia="宋体"/>
                <w:b/>
                <w:bCs/>
                <w:color w:val="000000"/>
                <w:szCs w:val="21"/>
                <w:lang w:eastAsia="zh-CN"/>
              </w:rPr>
            </w:pPr>
            <w:r>
              <w:rPr>
                <w:rFonts w:hint="eastAsia"/>
                <w:b/>
                <w:bCs/>
                <w:color w:val="000000"/>
                <w:szCs w:val="21"/>
                <w:lang w:eastAsia="zh-CN"/>
              </w:rPr>
              <w:t>思政元素</w:t>
            </w:r>
          </w:p>
        </w:tc>
        <w:tc>
          <w:tcPr>
            <w:tcW w:w="1980" w:type="dxa"/>
            <w:shd w:val="clear" w:color="auto" w:fill="FFFFFF"/>
            <w:vAlign w:val="center"/>
          </w:tcPr>
          <w:p>
            <w:pPr>
              <w:jc w:val="center"/>
              <w:rPr>
                <w:rFonts w:ascii="Times New Roman" w:hAnsi="Times New Roman"/>
                <w:b/>
                <w:bCs/>
                <w:color w:val="000000"/>
                <w:szCs w:val="21"/>
              </w:rPr>
            </w:pPr>
            <w:r>
              <w:rPr>
                <w:rFonts w:hint="eastAsia" w:ascii="Times New Roman" w:hAnsi="Times New Roman"/>
                <w:b/>
                <w:bCs/>
                <w:color w:val="000000"/>
                <w:szCs w:val="21"/>
              </w:rPr>
              <w:t>预期学习成果</w:t>
            </w:r>
          </w:p>
        </w:tc>
        <w:tc>
          <w:tcPr>
            <w:tcW w:w="840" w:type="dxa"/>
            <w:shd w:val="clear" w:color="auto" w:fill="FFFFFF"/>
            <w:vAlign w:val="center"/>
          </w:tcPr>
          <w:p>
            <w:pPr>
              <w:jc w:val="center"/>
              <w:rPr>
                <w:rFonts w:ascii="Times New Roman" w:hAnsi="Times New Roman"/>
                <w:b/>
                <w:bCs/>
                <w:szCs w:val="21"/>
              </w:rPr>
            </w:pPr>
            <w:r>
              <w:rPr>
                <w:rFonts w:hint="eastAsia" w:ascii="Times New Roman" w:hAnsi="Times New Roman"/>
                <w:b/>
                <w:bCs/>
                <w:szCs w:val="21"/>
              </w:rPr>
              <w:t>教学学时</w:t>
            </w:r>
          </w:p>
        </w:tc>
        <w:tc>
          <w:tcPr>
            <w:tcW w:w="1194" w:type="dxa"/>
            <w:shd w:val="clear" w:color="auto" w:fill="FFFFFF"/>
            <w:vAlign w:val="center"/>
          </w:tcPr>
          <w:p>
            <w:pPr>
              <w:jc w:val="center"/>
              <w:rPr>
                <w:rFonts w:ascii="Times New Roman" w:hAnsi="Times New Roman"/>
                <w:b/>
                <w:bCs/>
                <w:szCs w:val="21"/>
              </w:rPr>
            </w:pPr>
            <w:r>
              <w:rPr>
                <w:rFonts w:ascii="Times New Roman" w:hAnsi="Times New Roman"/>
                <w:b/>
                <w:bCs/>
                <w:szCs w:val="21"/>
              </w:rPr>
              <w:t>教学形式</w:t>
            </w:r>
          </w:p>
        </w:tc>
        <w:tc>
          <w:tcPr>
            <w:tcW w:w="1275" w:type="dxa"/>
            <w:shd w:val="clear" w:color="auto" w:fill="FFFFFF"/>
            <w:vAlign w:val="center"/>
          </w:tcPr>
          <w:p>
            <w:pPr>
              <w:jc w:val="center"/>
              <w:rPr>
                <w:rFonts w:ascii="Times New Roman" w:hAnsi="Times New Roman"/>
                <w:b/>
                <w:bCs/>
                <w:szCs w:val="21"/>
              </w:rPr>
            </w:pPr>
            <w:r>
              <w:rPr>
                <w:rFonts w:ascii="Times New Roman" w:hAnsi="Times New Roman"/>
                <w:b/>
                <w:bCs/>
                <w:color w:val="000000"/>
                <w:szCs w:val="21"/>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559" w:type="dxa"/>
            <w:vAlign w:val="center"/>
          </w:tcPr>
          <w:p>
            <w:pPr>
              <w:jc w:val="center"/>
              <w:rPr>
                <w:rFonts w:ascii="Times New Roman" w:hAnsi="Times New Roman"/>
                <w:szCs w:val="21"/>
              </w:rPr>
            </w:pPr>
            <w:r>
              <w:rPr>
                <w:rFonts w:hint="eastAsia" w:ascii="Times New Roman" w:hAnsi="Times New Roman"/>
                <w:szCs w:val="21"/>
              </w:rPr>
              <w:t>1</w:t>
            </w:r>
          </w:p>
        </w:tc>
        <w:tc>
          <w:tcPr>
            <w:tcW w:w="1070" w:type="dxa"/>
            <w:vAlign w:val="center"/>
          </w:tcPr>
          <w:p>
            <w:pPr>
              <w:tabs>
                <w:tab w:val="left" w:pos="2162"/>
              </w:tabs>
              <w:jc w:val="left"/>
              <w:rPr>
                <w:rFonts w:ascii="Times New Roman" w:hAnsi="Times New Roman" w:cs="Times New Roman"/>
                <w:szCs w:val="21"/>
              </w:rPr>
            </w:pPr>
            <w:r>
              <w:rPr>
                <w:rFonts w:ascii="Times New Roman" w:hAnsi="Times New Roman" w:cs="Times New Roman"/>
                <w:szCs w:val="21"/>
              </w:rPr>
              <w:t>下达任务，收集资料，消化课题要求</w:t>
            </w:r>
          </w:p>
        </w:tc>
        <w:tc>
          <w:tcPr>
            <w:tcW w:w="1695" w:type="dxa"/>
            <w:vAlign w:val="center"/>
          </w:tcPr>
          <w:p>
            <w:pPr>
              <w:tabs>
                <w:tab w:val="left" w:pos="2162"/>
              </w:tabs>
              <w:jc w:val="left"/>
              <w:rPr>
                <w:rFonts w:ascii="Times New Roman" w:hAnsi="Times New Roman" w:cs="Times New Roman"/>
                <w:szCs w:val="21"/>
              </w:rPr>
            </w:pPr>
            <w:r>
              <w:rPr>
                <w:rFonts w:hint="eastAsia" w:ascii="宋体" w:hAnsi="宋体" w:cs="宋体"/>
                <w:color w:val="000000"/>
                <w:kern w:val="0"/>
                <w:sz w:val="21"/>
                <w:szCs w:val="21"/>
                <w:lang w:val="en-US" w:eastAsia="zh-CN" w:bidi="ar"/>
              </w:rPr>
              <w:t>在课程设计过程中</w:t>
            </w:r>
            <w:r>
              <w:rPr>
                <w:rFonts w:hint="eastAsia" w:ascii="宋体" w:hAnsi="宋体" w:eastAsia="宋体" w:cs="宋体"/>
                <w:color w:val="000000"/>
                <w:kern w:val="0"/>
                <w:sz w:val="21"/>
                <w:szCs w:val="21"/>
                <w:lang w:val="en-US" w:eastAsia="zh-CN" w:bidi="ar"/>
              </w:rPr>
              <w:t>融入逻辑思辨、创新精神的德育元素。</w:t>
            </w:r>
          </w:p>
        </w:tc>
        <w:tc>
          <w:tcPr>
            <w:tcW w:w="1980" w:type="dxa"/>
            <w:vAlign w:val="center"/>
          </w:tcPr>
          <w:p>
            <w:pPr>
              <w:jc w:val="left"/>
              <w:rPr>
                <w:rFonts w:ascii="Times New Roman" w:hAnsi="Times New Roman"/>
                <w:bCs/>
                <w:szCs w:val="21"/>
              </w:rPr>
            </w:pPr>
            <w:r>
              <w:rPr>
                <w:rFonts w:hint="eastAsia" w:ascii="Times New Roman" w:hAnsi="Times New Roman"/>
                <w:color w:val="000000"/>
                <w:szCs w:val="21"/>
              </w:rPr>
              <w:t>能围绕课题项目，了解其应用现状与发展趋势，收集有关技术资并加以研究和消化。</w:t>
            </w:r>
          </w:p>
        </w:tc>
        <w:tc>
          <w:tcPr>
            <w:tcW w:w="840" w:type="dxa"/>
            <w:vAlign w:val="center"/>
          </w:tcPr>
          <w:p>
            <w:pPr>
              <w:jc w:val="center"/>
              <w:rPr>
                <w:rFonts w:ascii="Times New Roman" w:hAnsi="Times New Roman"/>
                <w:szCs w:val="21"/>
              </w:rPr>
            </w:pPr>
            <w:r>
              <w:rPr>
                <w:rFonts w:ascii="Times New Roman" w:hAnsi="Times New Roman"/>
                <w:szCs w:val="21"/>
              </w:rPr>
              <w:t>1</w:t>
            </w:r>
            <w:r>
              <w:rPr>
                <w:rFonts w:hint="eastAsia" w:ascii="Times New Roman" w:hAnsi="Times New Roman"/>
                <w:szCs w:val="21"/>
              </w:rPr>
              <w:t>天</w:t>
            </w:r>
          </w:p>
        </w:tc>
        <w:tc>
          <w:tcPr>
            <w:tcW w:w="1194" w:type="dxa"/>
            <w:vAlign w:val="center"/>
          </w:tcPr>
          <w:p>
            <w:pPr>
              <w:ind w:left="-107" w:leftChars="-51" w:right="-107" w:rightChars="-51"/>
              <w:jc w:val="center"/>
              <w:rPr>
                <w:rFonts w:ascii="Times New Roman" w:hAnsi="Times New Roman"/>
                <w:szCs w:val="21"/>
              </w:rPr>
            </w:pPr>
            <w:r>
              <w:rPr>
                <w:rFonts w:hint="eastAsia" w:ascii="Times New Roman" w:hAnsi="Times New Roman"/>
                <w:szCs w:val="21"/>
              </w:rPr>
              <w:t>讲授/案例/讨论/演示</w:t>
            </w:r>
          </w:p>
        </w:tc>
        <w:tc>
          <w:tcPr>
            <w:tcW w:w="1275" w:type="dxa"/>
            <w:vAlign w:val="center"/>
          </w:tcPr>
          <w:p>
            <w:pPr>
              <w:ind w:left="-107" w:leftChars="-51" w:right="-107" w:rightChars="-51"/>
              <w:jc w:val="center"/>
              <w:rPr>
                <w:rFonts w:ascii="Times New Roman" w:hAnsi="Times New Roman"/>
                <w:szCs w:val="21"/>
              </w:rPr>
            </w:pPr>
            <w:r>
              <w:rPr>
                <w:rFonts w:ascii="Times New Roman" w:hAnsi="Times New Roman"/>
                <w:color w:val="000000"/>
                <w:szCs w:val="21"/>
              </w:rPr>
              <w:t>目标</w:t>
            </w:r>
            <w:r>
              <w:rPr>
                <w:rFonts w:hint="eastAsia" w:ascii="Times New Roman" w:hAnsi="Times New Roman"/>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9" w:type="dxa"/>
            <w:vAlign w:val="center"/>
          </w:tcPr>
          <w:p>
            <w:pPr>
              <w:jc w:val="center"/>
              <w:rPr>
                <w:rFonts w:ascii="Times New Roman" w:hAnsi="Times New Roman"/>
                <w:szCs w:val="21"/>
              </w:rPr>
            </w:pPr>
            <w:r>
              <w:rPr>
                <w:rFonts w:hint="eastAsia" w:ascii="Times New Roman" w:hAnsi="Times New Roman"/>
                <w:szCs w:val="21"/>
              </w:rPr>
              <w:t>2</w:t>
            </w:r>
          </w:p>
        </w:tc>
        <w:tc>
          <w:tcPr>
            <w:tcW w:w="1070" w:type="dxa"/>
            <w:vAlign w:val="center"/>
          </w:tcPr>
          <w:p>
            <w:pPr>
              <w:tabs>
                <w:tab w:val="left" w:pos="1967"/>
              </w:tabs>
              <w:spacing w:line="276" w:lineRule="auto"/>
              <w:jc w:val="left"/>
              <w:rPr>
                <w:rFonts w:ascii="Times New Roman" w:hAnsi="Times New Roman" w:eastAsia="宋体" w:cs="Times New Roman"/>
                <w:szCs w:val="21"/>
              </w:rPr>
            </w:pPr>
            <w:r>
              <w:rPr>
                <w:rFonts w:hint="eastAsia"/>
                <w:color w:val="000000"/>
                <w:sz w:val="21"/>
                <w:szCs w:val="21"/>
                <w:lang w:eastAsia="zh-CN"/>
              </w:rPr>
              <w:t>课题的简化设计方案。做出工艺流程草图</w:t>
            </w:r>
          </w:p>
        </w:tc>
        <w:tc>
          <w:tcPr>
            <w:tcW w:w="1695" w:type="dxa"/>
            <w:vAlign w:val="center"/>
          </w:tcPr>
          <w:p>
            <w:pPr>
              <w:tabs>
                <w:tab w:val="left" w:pos="1967"/>
              </w:tabs>
              <w:spacing w:line="276" w:lineRule="auto"/>
              <w:jc w:val="left"/>
              <w:rPr>
                <w:rFonts w:hint="eastAsia"/>
                <w:color w:val="000000"/>
                <w:sz w:val="21"/>
                <w:szCs w:val="21"/>
                <w:lang w:eastAsia="zh-CN"/>
              </w:rPr>
            </w:pPr>
            <w:r>
              <w:rPr>
                <w:rFonts w:hint="eastAsia" w:ascii="宋体" w:hAnsi="宋体" w:cs="宋体"/>
                <w:color w:val="000000"/>
                <w:kern w:val="0"/>
                <w:sz w:val="21"/>
                <w:szCs w:val="21"/>
                <w:lang w:val="en-US" w:eastAsia="zh-CN" w:bidi="ar"/>
              </w:rPr>
              <w:t>培养学生</w:t>
            </w:r>
            <w:r>
              <w:rPr>
                <w:rFonts w:hint="eastAsia" w:ascii="宋体" w:hAnsi="宋体" w:eastAsia="宋体" w:cs="宋体"/>
                <w:color w:val="000000"/>
                <w:kern w:val="0"/>
                <w:sz w:val="21"/>
                <w:szCs w:val="21"/>
                <w:lang w:val="en-US" w:eastAsia="zh-CN" w:bidi="ar"/>
              </w:rPr>
              <w:t>环保、</w:t>
            </w:r>
            <w:r>
              <w:rPr>
                <w:rFonts w:hint="eastAsia" w:ascii="宋体" w:hAnsi="宋体" w:cs="宋体"/>
                <w:color w:val="000000"/>
                <w:kern w:val="0"/>
                <w:sz w:val="21"/>
                <w:szCs w:val="21"/>
                <w:lang w:val="en-US" w:eastAsia="zh-CN" w:bidi="ar"/>
              </w:rPr>
              <w:t>绿色化工、</w:t>
            </w:r>
            <w:r>
              <w:rPr>
                <w:rFonts w:hint="eastAsia" w:ascii="宋体" w:hAnsi="宋体" w:eastAsia="宋体" w:cs="宋体"/>
                <w:color w:val="000000"/>
                <w:kern w:val="0"/>
                <w:sz w:val="21"/>
                <w:szCs w:val="21"/>
                <w:lang w:val="en-US" w:eastAsia="zh-CN" w:bidi="ar"/>
              </w:rPr>
              <w:t>健康、安全和法律等化工过程的理念</w:t>
            </w:r>
            <w:r>
              <w:rPr>
                <w:rFonts w:hint="eastAsia" w:ascii="宋体" w:hAnsi="宋体" w:cs="宋体"/>
                <w:color w:val="000000"/>
                <w:kern w:val="0"/>
                <w:sz w:val="21"/>
                <w:szCs w:val="21"/>
                <w:lang w:val="en-US" w:eastAsia="zh-CN" w:bidi="ar"/>
              </w:rPr>
              <w:t>。</w:t>
            </w:r>
          </w:p>
        </w:tc>
        <w:tc>
          <w:tcPr>
            <w:tcW w:w="1980" w:type="dxa"/>
            <w:vAlign w:val="center"/>
          </w:tcPr>
          <w:p>
            <w:pPr>
              <w:jc w:val="left"/>
              <w:rPr>
                <w:rFonts w:ascii="Times New Roman" w:hAnsi="Times New Roman"/>
                <w:bCs/>
                <w:szCs w:val="21"/>
              </w:rPr>
            </w:pPr>
            <w:r>
              <w:rPr>
                <w:rFonts w:hint="eastAsia" w:ascii="Times New Roman" w:hAnsi="Times New Roman"/>
                <w:szCs w:val="21"/>
              </w:rPr>
              <w:t>通过分析</w:t>
            </w:r>
            <w:r>
              <w:rPr>
                <w:rFonts w:ascii="Times New Roman" w:hAnsi="Times New Roman"/>
                <w:szCs w:val="21"/>
              </w:rPr>
              <w:t>确定方案，</w:t>
            </w:r>
            <w:r>
              <w:rPr>
                <w:rFonts w:hint="eastAsia" w:ascii="Times New Roman" w:hAnsi="Times New Roman"/>
                <w:szCs w:val="21"/>
              </w:rPr>
              <w:t>确定</w:t>
            </w:r>
            <w:r>
              <w:rPr>
                <w:rFonts w:hint="eastAsia"/>
                <w:szCs w:val="21"/>
                <w:lang w:eastAsia="zh-CN"/>
              </w:rPr>
              <w:t>设计方案</w:t>
            </w:r>
            <w:r>
              <w:rPr>
                <w:rFonts w:hint="eastAsia" w:ascii="Times New Roman" w:hAnsi="Times New Roman"/>
                <w:szCs w:val="21"/>
              </w:rPr>
              <w:t>，</w:t>
            </w:r>
            <w:r>
              <w:rPr>
                <w:rFonts w:hint="eastAsia"/>
                <w:szCs w:val="21"/>
                <w:lang w:eastAsia="zh-CN"/>
              </w:rPr>
              <w:t>绘制精馏工艺</w:t>
            </w:r>
            <w:r>
              <w:rPr>
                <w:rFonts w:hint="eastAsia" w:ascii="Times New Roman" w:hAnsi="Times New Roman"/>
                <w:szCs w:val="21"/>
              </w:rPr>
              <w:t>流程</w:t>
            </w:r>
            <w:r>
              <w:rPr>
                <w:rFonts w:hint="eastAsia"/>
                <w:szCs w:val="21"/>
                <w:lang w:eastAsia="zh-CN"/>
              </w:rPr>
              <w:t>草</w:t>
            </w:r>
            <w:r>
              <w:rPr>
                <w:rFonts w:hint="eastAsia" w:ascii="Times New Roman" w:hAnsi="Times New Roman"/>
                <w:szCs w:val="21"/>
              </w:rPr>
              <w:t>图。</w:t>
            </w:r>
          </w:p>
        </w:tc>
        <w:tc>
          <w:tcPr>
            <w:tcW w:w="840" w:type="dxa"/>
            <w:vAlign w:val="center"/>
          </w:tcPr>
          <w:p>
            <w:pPr>
              <w:jc w:val="center"/>
              <w:rPr>
                <w:rFonts w:ascii="Times New Roman" w:hAnsi="Times New Roman"/>
                <w:szCs w:val="21"/>
              </w:rPr>
            </w:pPr>
            <w:r>
              <w:rPr>
                <w:rFonts w:ascii="Times New Roman" w:hAnsi="Times New Roman"/>
                <w:szCs w:val="21"/>
              </w:rPr>
              <w:t>1</w:t>
            </w:r>
            <w:r>
              <w:rPr>
                <w:rFonts w:hint="eastAsia" w:ascii="Times New Roman" w:hAnsi="Times New Roman"/>
                <w:szCs w:val="21"/>
              </w:rPr>
              <w:t>天</w:t>
            </w:r>
          </w:p>
        </w:tc>
        <w:tc>
          <w:tcPr>
            <w:tcW w:w="1194" w:type="dxa"/>
            <w:vAlign w:val="center"/>
          </w:tcPr>
          <w:p>
            <w:pPr>
              <w:ind w:left="-107" w:leftChars="-51" w:right="-107" w:rightChars="-51"/>
              <w:jc w:val="center"/>
              <w:rPr>
                <w:rFonts w:ascii="Times New Roman" w:hAnsi="Times New Roman"/>
                <w:szCs w:val="21"/>
              </w:rPr>
            </w:pPr>
            <w:r>
              <w:rPr>
                <w:rFonts w:hint="eastAsia" w:ascii="Times New Roman" w:hAnsi="Times New Roman"/>
                <w:szCs w:val="21"/>
              </w:rPr>
              <w:t>讲授/讨论/演示</w:t>
            </w:r>
          </w:p>
        </w:tc>
        <w:tc>
          <w:tcPr>
            <w:tcW w:w="1275" w:type="dxa"/>
            <w:vAlign w:val="center"/>
          </w:tcPr>
          <w:p>
            <w:pPr>
              <w:ind w:left="-107" w:leftChars="-51" w:right="-107" w:rightChars="-51"/>
              <w:jc w:val="center"/>
              <w:rPr>
                <w:rFonts w:ascii="Times New Roman" w:hAnsi="Times New Roman"/>
                <w:szCs w:val="21"/>
              </w:rPr>
            </w:pPr>
            <w:r>
              <w:rPr>
                <w:rFonts w:ascii="Times New Roman" w:hAnsi="Times New Roman"/>
                <w:color w:val="000000"/>
                <w:szCs w:val="21"/>
              </w:rPr>
              <w:t>目标</w:t>
            </w:r>
            <w:r>
              <w:rPr>
                <w:rFonts w:hint="eastAsia" w:ascii="Times New Roman" w:hAnsi="Times New Roman"/>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9" w:type="dxa"/>
            <w:vAlign w:val="center"/>
          </w:tcPr>
          <w:p>
            <w:pPr>
              <w:jc w:val="center"/>
              <w:rPr>
                <w:rFonts w:ascii="Times New Roman" w:hAnsi="Times New Roman"/>
                <w:szCs w:val="21"/>
              </w:rPr>
            </w:pPr>
            <w:r>
              <w:rPr>
                <w:rFonts w:hint="eastAsia" w:ascii="Times New Roman" w:hAnsi="Times New Roman"/>
                <w:szCs w:val="21"/>
              </w:rPr>
              <w:t>3</w:t>
            </w:r>
          </w:p>
        </w:tc>
        <w:tc>
          <w:tcPr>
            <w:tcW w:w="1070" w:type="dxa"/>
            <w:vAlign w:val="center"/>
          </w:tcPr>
          <w:p>
            <w:pPr>
              <w:spacing w:line="276" w:lineRule="auto"/>
              <w:jc w:val="left"/>
              <w:rPr>
                <w:rFonts w:hint="eastAsia" w:ascii="Times New Roman" w:hAnsi="Times New Roman" w:eastAsia="宋体" w:cs="Times New Roman"/>
                <w:szCs w:val="21"/>
                <w:lang w:eastAsia="zh-CN"/>
              </w:rPr>
            </w:pPr>
            <w:r>
              <w:rPr>
                <w:rFonts w:hint="eastAsia" w:cs="Times New Roman"/>
                <w:szCs w:val="21"/>
                <w:lang w:eastAsia="zh-CN"/>
              </w:rPr>
              <w:t>查找参数，进行精馏塔的物料衡算</w:t>
            </w:r>
          </w:p>
        </w:tc>
        <w:tc>
          <w:tcPr>
            <w:tcW w:w="1695" w:type="dxa"/>
            <w:vAlign w:val="center"/>
          </w:tcPr>
          <w:p>
            <w:pPr>
              <w:spacing w:line="276" w:lineRule="auto"/>
              <w:jc w:val="left"/>
              <w:rPr>
                <w:rFonts w:hint="eastAsia" w:cs="Times New Roman"/>
                <w:szCs w:val="21"/>
                <w:lang w:eastAsia="zh-CN"/>
              </w:rPr>
            </w:pPr>
          </w:p>
        </w:tc>
        <w:tc>
          <w:tcPr>
            <w:tcW w:w="1980" w:type="dxa"/>
            <w:vAlign w:val="center"/>
          </w:tcPr>
          <w:p>
            <w:pPr>
              <w:rPr>
                <w:rFonts w:ascii="Times New Roman" w:hAnsi="Times New Roman"/>
                <w:bCs/>
                <w:szCs w:val="21"/>
              </w:rPr>
            </w:pPr>
            <w:r>
              <w:rPr>
                <w:rFonts w:hint="eastAsia" w:ascii="Times New Roman" w:hAnsi="Times New Roman"/>
                <w:color w:val="000000"/>
                <w:szCs w:val="21"/>
              </w:rPr>
              <w:t>掌握</w:t>
            </w:r>
            <w:r>
              <w:rPr>
                <w:rFonts w:hint="eastAsia"/>
                <w:color w:val="000000"/>
                <w:szCs w:val="21"/>
                <w:lang w:eastAsia="zh-CN"/>
              </w:rPr>
              <w:t>精馏段和提馏段的物料衡算</w:t>
            </w:r>
            <w:r>
              <w:rPr>
                <w:rFonts w:hint="eastAsia" w:ascii="Times New Roman" w:hAnsi="Times New Roman"/>
                <w:color w:val="000000"/>
                <w:szCs w:val="21"/>
              </w:rPr>
              <w:t>。</w:t>
            </w:r>
          </w:p>
        </w:tc>
        <w:tc>
          <w:tcPr>
            <w:tcW w:w="840" w:type="dxa"/>
            <w:vAlign w:val="center"/>
          </w:tcPr>
          <w:p>
            <w:pPr>
              <w:jc w:val="center"/>
              <w:rPr>
                <w:rFonts w:ascii="Times New Roman" w:hAnsi="Times New Roman"/>
                <w:szCs w:val="21"/>
              </w:rPr>
            </w:pPr>
            <w:r>
              <w:rPr>
                <w:rFonts w:ascii="Times New Roman" w:hAnsi="Times New Roman"/>
                <w:szCs w:val="21"/>
              </w:rPr>
              <w:t>1</w:t>
            </w:r>
            <w:r>
              <w:rPr>
                <w:rFonts w:hint="eastAsia" w:ascii="Times New Roman" w:hAnsi="Times New Roman"/>
                <w:szCs w:val="21"/>
              </w:rPr>
              <w:t>天</w:t>
            </w:r>
          </w:p>
        </w:tc>
        <w:tc>
          <w:tcPr>
            <w:tcW w:w="1194" w:type="dxa"/>
            <w:vAlign w:val="center"/>
          </w:tcPr>
          <w:p>
            <w:pPr>
              <w:ind w:left="-107" w:leftChars="-51" w:right="-107" w:rightChars="-51"/>
              <w:jc w:val="center"/>
              <w:rPr>
                <w:rFonts w:ascii="Times New Roman" w:hAnsi="Times New Roman"/>
                <w:szCs w:val="21"/>
              </w:rPr>
            </w:pPr>
            <w:r>
              <w:rPr>
                <w:rFonts w:hint="eastAsia" w:ascii="Times New Roman" w:hAnsi="Times New Roman"/>
                <w:szCs w:val="21"/>
              </w:rPr>
              <w:t>讨论/演示</w:t>
            </w:r>
          </w:p>
        </w:tc>
        <w:tc>
          <w:tcPr>
            <w:tcW w:w="1275" w:type="dxa"/>
            <w:vAlign w:val="center"/>
          </w:tcPr>
          <w:p>
            <w:pPr>
              <w:ind w:left="-107" w:leftChars="-51" w:right="-107" w:rightChars="-51"/>
              <w:jc w:val="center"/>
              <w:rPr>
                <w:rFonts w:ascii="Times New Roman" w:hAnsi="Times New Roman"/>
                <w:szCs w:val="21"/>
              </w:rPr>
            </w:pPr>
            <w:r>
              <w:rPr>
                <w:rFonts w:ascii="Times New Roman" w:hAnsi="Times New Roman"/>
                <w:color w:val="000000"/>
                <w:szCs w:val="21"/>
              </w:rPr>
              <w:t>目标</w:t>
            </w:r>
            <w:r>
              <w:rPr>
                <w:rFonts w:hint="eastAsia" w:ascii="Times New Roman" w:hAnsi="Times New Roman"/>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9" w:type="dxa"/>
            <w:vAlign w:val="center"/>
          </w:tcPr>
          <w:p>
            <w:pPr>
              <w:jc w:val="center"/>
              <w:rPr>
                <w:rFonts w:ascii="Times New Roman" w:hAnsi="Times New Roman"/>
                <w:szCs w:val="21"/>
              </w:rPr>
            </w:pPr>
            <w:r>
              <w:rPr>
                <w:rFonts w:hint="eastAsia" w:ascii="Times New Roman" w:hAnsi="Times New Roman"/>
                <w:szCs w:val="21"/>
              </w:rPr>
              <w:t>4</w:t>
            </w:r>
          </w:p>
        </w:tc>
        <w:tc>
          <w:tcPr>
            <w:tcW w:w="1070" w:type="dxa"/>
            <w:vAlign w:val="center"/>
          </w:tcPr>
          <w:p>
            <w:pPr>
              <w:spacing w:line="276" w:lineRule="auto"/>
              <w:jc w:val="left"/>
              <w:rPr>
                <w:rFonts w:ascii="Times New Roman" w:hAnsi="Times New Roman" w:cs="Times New Roman"/>
                <w:szCs w:val="21"/>
              </w:rPr>
            </w:pPr>
            <w:r>
              <w:rPr>
                <w:rFonts w:hint="eastAsia" w:ascii="Times New Roman" w:hAnsi="Times New Roman" w:cs="Times New Roman"/>
                <w:szCs w:val="21"/>
                <w:lang w:eastAsia="zh-CN"/>
              </w:rPr>
              <w:t>塔板数的确定</w:t>
            </w:r>
          </w:p>
        </w:tc>
        <w:tc>
          <w:tcPr>
            <w:tcW w:w="1695" w:type="dxa"/>
            <w:vAlign w:val="center"/>
          </w:tcPr>
          <w:p>
            <w:pPr>
              <w:spacing w:line="276" w:lineRule="auto"/>
              <w:jc w:val="left"/>
              <w:rPr>
                <w:rFonts w:hint="eastAsia" w:ascii="Times New Roman" w:hAnsi="Times New Roman" w:cs="Times New Roman"/>
                <w:szCs w:val="21"/>
                <w:lang w:eastAsia="zh-CN"/>
              </w:rPr>
            </w:pPr>
            <w:r>
              <w:rPr>
                <w:rFonts w:hint="eastAsia" w:cs="Times New Roman"/>
                <w:szCs w:val="21"/>
                <w:lang w:eastAsia="zh-CN"/>
              </w:rPr>
              <w:t>通过科学家的故事培养学生</w:t>
            </w:r>
            <w:r>
              <w:rPr>
                <w:rFonts w:hint="eastAsia" w:ascii="宋体" w:hAnsi="宋体" w:eastAsia="宋体" w:cs="宋体"/>
                <w:color w:val="000000"/>
                <w:kern w:val="0"/>
                <w:sz w:val="21"/>
                <w:szCs w:val="21"/>
                <w:lang w:val="en-US" w:eastAsia="zh-CN" w:bidi="ar"/>
              </w:rPr>
              <w:t>理想信念、使命感和科学精神等思政教育。</w:t>
            </w:r>
          </w:p>
        </w:tc>
        <w:tc>
          <w:tcPr>
            <w:tcW w:w="1980" w:type="dxa"/>
            <w:vAlign w:val="center"/>
          </w:tcPr>
          <w:p>
            <w:pPr>
              <w:jc w:val="left"/>
              <w:rPr>
                <w:rFonts w:hint="eastAsia" w:ascii="Times New Roman" w:hAnsi="Times New Roman" w:eastAsia="宋体"/>
                <w:bCs/>
                <w:szCs w:val="21"/>
                <w:lang w:eastAsia="zh-CN"/>
              </w:rPr>
            </w:pPr>
            <w:r>
              <w:rPr>
                <w:rFonts w:hint="eastAsia"/>
                <w:color w:val="000000"/>
                <w:szCs w:val="21"/>
                <w:lang w:eastAsia="zh-CN"/>
              </w:rPr>
              <w:t>逐板计算法和作图法计算塔板，并相互比较</w:t>
            </w:r>
          </w:p>
        </w:tc>
        <w:tc>
          <w:tcPr>
            <w:tcW w:w="840" w:type="dxa"/>
            <w:vAlign w:val="center"/>
          </w:tcPr>
          <w:p>
            <w:pPr>
              <w:jc w:val="center"/>
              <w:rPr>
                <w:rFonts w:ascii="Times New Roman" w:hAnsi="Times New Roman"/>
                <w:szCs w:val="21"/>
              </w:rPr>
            </w:pPr>
            <w:r>
              <w:rPr>
                <w:rFonts w:ascii="Times New Roman" w:hAnsi="Times New Roman"/>
                <w:szCs w:val="21"/>
              </w:rPr>
              <w:t>1</w:t>
            </w:r>
            <w:r>
              <w:rPr>
                <w:rFonts w:hint="eastAsia" w:ascii="Times New Roman" w:hAnsi="Times New Roman"/>
                <w:szCs w:val="21"/>
              </w:rPr>
              <w:t>天</w:t>
            </w:r>
          </w:p>
        </w:tc>
        <w:tc>
          <w:tcPr>
            <w:tcW w:w="1194" w:type="dxa"/>
            <w:vAlign w:val="center"/>
          </w:tcPr>
          <w:p>
            <w:pPr>
              <w:ind w:left="-107" w:leftChars="-51" w:right="-107" w:rightChars="-51"/>
              <w:jc w:val="center"/>
              <w:rPr>
                <w:rFonts w:ascii="Times New Roman" w:hAnsi="Times New Roman"/>
                <w:szCs w:val="21"/>
              </w:rPr>
            </w:pPr>
            <w:r>
              <w:rPr>
                <w:rFonts w:hint="eastAsia" w:ascii="Times New Roman" w:hAnsi="Times New Roman"/>
                <w:szCs w:val="21"/>
              </w:rPr>
              <w:t>讲授/案例/讨论/演示</w:t>
            </w:r>
          </w:p>
        </w:tc>
        <w:tc>
          <w:tcPr>
            <w:tcW w:w="1275" w:type="dxa"/>
            <w:vAlign w:val="center"/>
          </w:tcPr>
          <w:p>
            <w:pPr>
              <w:ind w:left="-107" w:leftChars="-51" w:right="-107" w:rightChars="-51"/>
              <w:jc w:val="center"/>
              <w:rPr>
                <w:rFonts w:ascii="Times New Roman" w:hAnsi="Times New Roman"/>
                <w:szCs w:val="21"/>
              </w:rPr>
            </w:pPr>
            <w:r>
              <w:rPr>
                <w:rFonts w:ascii="Times New Roman" w:hAnsi="Times New Roman"/>
                <w:color w:val="000000"/>
                <w:szCs w:val="21"/>
              </w:rPr>
              <w:t>目标</w:t>
            </w:r>
            <w:r>
              <w:rPr>
                <w:rFonts w:hint="eastAsia" w:ascii="Times New Roman" w:hAnsi="Times New Roman"/>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9" w:type="dxa"/>
            <w:vAlign w:val="center"/>
          </w:tcPr>
          <w:p>
            <w:pPr>
              <w:jc w:val="center"/>
              <w:rPr>
                <w:rFonts w:ascii="Times New Roman" w:hAnsi="Times New Roman"/>
                <w:szCs w:val="21"/>
              </w:rPr>
            </w:pPr>
            <w:r>
              <w:rPr>
                <w:rFonts w:hint="eastAsia" w:ascii="Times New Roman" w:hAnsi="Times New Roman"/>
                <w:szCs w:val="21"/>
              </w:rPr>
              <w:t>5</w:t>
            </w:r>
          </w:p>
        </w:tc>
        <w:tc>
          <w:tcPr>
            <w:tcW w:w="1070" w:type="dxa"/>
            <w:vAlign w:val="center"/>
          </w:tcPr>
          <w:p>
            <w:pPr>
              <w:spacing w:line="276" w:lineRule="auto"/>
              <w:jc w:val="left"/>
              <w:rPr>
                <w:rFonts w:hint="eastAsia" w:ascii="Times New Roman" w:hAnsi="Times New Roman" w:eastAsia="宋体" w:cs="Times New Roman"/>
                <w:szCs w:val="21"/>
                <w:lang w:eastAsia="zh-CN"/>
              </w:rPr>
            </w:pPr>
            <w:r>
              <w:rPr>
                <w:rFonts w:hint="eastAsia" w:cs="Times New Roman"/>
                <w:szCs w:val="21"/>
                <w:lang w:eastAsia="zh-CN"/>
              </w:rPr>
              <w:t>精馏塔和塔板的工艺尺寸的确定</w:t>
            </w:r>
          </w:p>
        </w:tc>
        <w:tc>
          <w:tcPr>
            <w:tcW w:w="1695" w:type="dxa"/>
            <w:vAlign w:val="center"/>
          </w:tcPr>
          <w:p>
            <w:pPr>
              <w:spacing w:line="276" w:lineRule="auto"/>
              <w:jc w:val="left"/>
              <w:rPr>
                <w:rFonts w:hint="eastAsia" w:cs="Times New Roman"/>
                <w:szCs w:val="21"/>
                <w:lang w:eastAsia="zh-CN"/>
              </w:rPr>
            </w:pPr>
          </w:p>
        </w:tc>
        <w:tc>
          <w:tcPr>
            <w:tcW w:w="1980" w:type="dxa"/>
            <w:vAlign w:val="center"/>
          </w:tcPr>
          <w:p>
            <w:pPr>
              <w:jc w:val="left"/>
              <w:rPr>
                <w:rFonts w:hint="eastAsia" w:ascii="Times New Roman" w:hAnsi="Times New Roman" w:eastAsia="宋体"/>
                <w:bCs/>
                <w:szCs w:val="21"/>
                <w:lang w:eastAsia="zh-CN"/>
              </w:rPr>
            </w:pPr>
            <w:r>
              <w:rPr>
                <w:rFonts w:hint="eastAsia" w:ascii="Times New Roman" w:hAnsi="Times New Roman"/>
                <w:color w:val="000000"/>
                <w:szCs w:val="21"/>
              </w:rPr>
              <w:t>掌握</w:t>
            </w:r>
            <w:r>
              <w:rPr>
                <w:rFonts w:hint="eastAsia"/>
                <w:color w:val="000000"/>
                <w:szCs w:val="21"/>
                <w:lang w:eastAsia="zh-CN"/>
              </w:rPr>
              <w:t>塔高、塔径、溢流堰、降液管等计算</w:t>
            </w:r>
          </w:p>
        </w:tc>
        <w:tc>
          <w:tcPr>
            <w:tcW w:w="840" w:type="dxa"/>
            <w:vAlign w:val="center"/>
          </w:tcPr>
          <w:p>
            <w:pPr>
              <w:jc w:val="center"/>
              <w:rPr>
                <w:rFonts w:ascii="Times New Roman" w:hAnsi="Times New Roman"/>
                <w:szCs w:val="21"/>
              </w:rPr>
            </w:pPr>
            <w:r>
              <w:rPr>
                <w:rFonts w:ascii="Times New Roman" w:hAnsi="Times New Roman"/>
                <w:szCs w:val="21"/>
              </w:rPr>
              <w:t>1</w:t>
            </w:r>
            <w:r>
              <w:rPr>
                <w:rFonts w:hint="eastAsia" w:ascii="Times New Roman" w:hAnsi="Times New Roman"/>
                <w:szCs w:val="21"/>
              </w:rPr>
              <w:t>天</w:t>
            </w:r>
          </w:p>
        </w:tc>
        <w:tc>
          <w:tcPr>
            <w:tcW w:w="1194" w:type="dxa"/>
            <w:vAlign w:val="center"/>
          </w:tcPr>
          <w:p>
            <w:pPr>
              <w:ind w:left="-107" w:leftChars="-51" w:right="-107" w:rightChars="-51"/>
              <w:jc w:val="center"/>
              <w:rPr>
                <w:rFonts w:ascii="Times New Roman" w:hAnsi="Times New Roman"/>
                <w:szCs w:val="21"/>
              </w:rPr>
            </w:pPr>
            <w:r>
              <w:rPr>
                <w:rFonts w:hint="eastAsia" w:ascii="Times New Roman" w:hAnsi="Times New Roman"/>
                <w:szCs w:val="21"/>
              </w:rPr>
              <w:t>讲授/演示</w:t>
            </w:r>
          </w:p>
        </w:tc>
        <w:tc>
          <w:tcPr>
            <w:tcW w:w="1275" w:type="dxa"/>
            <w:vAlign w:val="center"/>
          </w:tcPr>
          <w:p>
            <w:pPr>
              <w:ind w:left="-107" w:leftChars="-51" w:right="-107" w:rightChars="-51"/>
              <w:jc w:val="center"/>
              <w:rPr>
                <w:rFonts w:ascii="Times New Roman" w:hAnsi="Times New Roman"/>
                <w:szCs w:val="21"/>
              </w:rPr>
            </w:pPr>
            <w:r>
              <w:rPr>
                <w:rFonts w:ascii="Times New Roman" w:hAnsi="Times New Roman"/>
                <w:color w:val="000000"/>
                <w:szCs w:val="21"/>
              </w:rPr>
              <w:t>目标</w:t>
            </w:r>
            <w:r>
              <w:rPr>
                <w:rFonts w:hint="eastAsia" w:ascii="Times New Roman" w:hAnsi="Times New Roman"/>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9" w:type="dxa"/>
            <w:vAlign w:val="center"/>
          </w:tcPr>
          <w:p>
            <w:pPr>
              <w:jc w:val="center"/>
              <w:rPr>
                <w:rFonts w:ascii="Times New Roman" w:hAnsi="Times New Roman"/>
                <w:szCs w:val="21"/>
              </w:rPr>
            </w:pPr>
            <w:r>
              <w:rPr>
                <w:rFonts w:hint="eastAsia" w:ascii="Times New Roman" w:hAnsi="Times New Roman"/>
                <w:szCs w:val="21"/>
              </w:rPr>
              <w:t>6</w:t>
            </w:r>
          </w:p>
        </w:tc>
        <w:tc>
          <w:tcPr>
            <w:tcW w:w="1070" w:type="dxa"/>
            <w:vAlign w:val="center"/>
          </w:tcPr>
          <w:p>
            <w:pPr>
              <w:spacing w:line="276" w:lineRule="auto"/>
              <w:jc w:val="left"/>
              <w:rPr>
                <w:rFonts w:ascii="Times New Roman" w:hAnsi="Times New Roman" w:cs="Times New Roman"/>
                <w:szCs w:val="21"/>
              </w:rPr>
            </w:pPr>
            <w:r>
              <w:rPr>
                <w:rFonts w:hint="eastAsia" w:cs="Times New Roman"/>
                <w:szCs w:val="21"/>
                <w:lang w:eastAsia="zh-CN"/>
              </w:rPr>
              <w:t>塔</w:t>
            </w:r>
            <w:r>
              <w:rPr>
                <w:rFonts w:hint="eastAsia" w:ascii="Times New Roman" w:hAnsi="Times New Roman" w:cs="Times New Roman"/>
                <w:szCs w:val="21"/>
              </w:rPr>
              <w:t>板的流体力学验算</w:t>
            </w:r>
          </w:p>
        </w:tc>
        <w:tc>
          <w:tcPr>
            <w:tcW w:w="1695" w:type="dxa"/>
            <w:vAlign w:val="center"/>
          </w:tcPr>
          <w:p>
            <w:pPr>
              <w:spacing w:line="276" w:lineRule="auto"/>
              <w:jc w:val="left"/>
              <w:rPr>
                <w:rFonts w:hint="eastAsia" w:cs="Times New Roman"/>
                <w:szCs w:val="21"/>
                <w:lang w:eastAsia="zh-CN"/>
              </w:rPr>
            </w:pPr>
          </w:p>
        </w:tc>
        <w:tc>
          <w:tcPr>
            <w:tcW w:w="1980" w:type="dxa"/>
            <w:vAlign w:val="center"/>
          </w:tcPr>
          <w:p>
            <w:pPr>
              <w:jc w:val="left"/>
              <w:rPr>
                <w:rFonts w:hint="eastAsia" w:ascii="Times New Roman" w:hAnsi="Times New Roman" w:eastAsia="宋体"/>
                <w:bCs/>
                <w:szCs w:val="21"/>
                <w:lang w:eastAsia="zh-CN"/>
              </w:rPr>
            </w:pPr>
            <w:r>
              <w:rPr>
                <w:rFonts w:hint="eastAsia" w:ascii="Times New Roman" w:hAnsi="Times New Roman"/>
                <w:bCs/>
                <w:szCs w:val="21"/>
              </w:rPr>
              <w:t>掌握</w:t>
            </w:r>
            <w:r>
              <w:rPr>
                <w:rFonts w:hint="eastAsia"/>
                <w:bCs/>
                <w:szCs w:val="21"/>
                <w:lang w:eastAsia="zh-CN"/>
              </w:rPr>
              <w:t>塔板压降、雾沫夹带、漏液、液泛等计算</w:t>
            </w:r>
          </w:p>
        </w:tc>
        <w:tc>
          <w:tcPr>
            <w:tcW w:w="840" w:type="dxa"/>
            <w:vAlign w:val="center"/>
          </w:tcPr>
          <w:p>
            <w:pPr>
              <w:jc w:val="center"/>
              <w:rPr>
                <w:rFonts w:ascii="Times New Roman" w:hAnsi="Times New Roman"/>
                <w:szCs w:val="21"/>
              </w:rPr>
            </w:pPr>
            <w:r>
              <w:rPr>
                <w:rFonts w:ascii="Times New Roman" w:hAnsi="Times New Roman"/>
                <w:szCs w:val="21"/>
              </w:rPr>
              <w:t>1</w:t>
            </w:r>
            <w:r>
              <w:rPr>
                <w:rFonts w:hint="eastAsia" w:ascii="Times New Roman" w:hAnsi="Times New Roman"/>
                <w:szCs w:val="21"/>
              </w:rPr>
              <w:t>天</w:t>
            </w:r>
          </w:p>
        </w:tc>
        <w:tc>
          <w:tcPr>
            <w:tcW w:w="1194" w:type="dxa"/>
            <w:vAlign w:val="center"/>
          </w:tcPr>
          <w:p>
            <w:pPr>
              <w:ind w:left="-107" w:leftChars="-51" w:right="-107" w:rightChars="-51"/>
              <w:jc w:val="center"/>
              <w:rPr>
                <w:rFonts w:ascii="Times New Roman" w:hAnsi="Times New Roman"/>
                <w:szCs w:val="21"/>
              </w:rPr>
            </w:pPr>
            <w:r>
              <w:rPr>
                <w:rFonts w:hint="eastAsia" w:ascii="Times New Roman" w:hAnsi="Times New Roman"/>
                <w:szCs w:val="21"/>
              </w:rPr>
              <w:t>讲授/案例/讨论/演示</w:t>
            </w:r>
          </w:p>
        </w:tc>
        <w:tc>
          <w:tcPr>
            <w:tcW w:w="1275" w:type="dxa"/>
            <w:vAlign w:val="center"/>
          </w:tcPr>
          <w:p>
            <w:pPr>
              <w:ind w:left="-107" w:leftChars="-51" w:right="-107" w:rightChars="-51"/>
              <w:jc w:val="center"/>
              <w:rPr>
                <w:rFonts w:ascii="Times New Roman" w:hAnsi="Times New Roman"/>
                <w:szCs w:val="21"/>
              </w:rPr>
            </w:pPr>
            <w:r>
              <w:rPr>
                <w:rFonts w:ascii="Times New Roman" w:hAnsi="Times New Roman"/>
                <w:color w:val="000000"/>
                <w:szCs w:val="21"/>
              </w:rPr>
              <w:t>目标</w:t>
            </w:r>
            <w:r>
              <w:rPr>
                <w:rFonts w:hint="eastAsia" w:ascii="Times New Roman" w:hAnsi="Times New Roman"/>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9" w:type="dxa"/>
            <w:vAlign w:val="center"/>
          </w:tcPr>
          <w:p>
            <w:pPr>
              <w:jc w:val="center"/>
              <w:rPr>
                <w:rFonts w:ascii="Times New Roman" w:hAnsi="Times New Roman"/>
                <w:szCs w:val="21"/>
              </w:rPr>
            </w:pPr>
            <w:r>
              <w:rPr>
                <w:rFonts w:hint="eastAsia" w:ascii="Times New Roman" w:hAnsi="Times New Roman"/>
                <w:szCs w:val="21"/>
              </w:rPr>
              <w:t>7</w:t>
            </w:r>
          </w:p>
        </w:tc>
        <w:tc>
          <w:tcPr>
            <w:tcW w:w="1070" w:type="dxa"/>
            <w:vAlign w:val="center"/>
          </w:tcPr>
          <w:p>
            <w:pPr>
              <w:spacing w:line="276" w:lineRule="auto"/>
              <w:jc w:val="left"/>
              <w:rPr>
                <w:rFonts w:hint="eastAsia" w:ascii="Times New Roman" w:hAnsi="Times New Roman" w:eastAsia="宋体" w:cs="Times New Roman"/>
                <w:szCs w:val="21"/>
                <w:lang w:eastAsia="zh-CN"/>
              </w:rPr>
            </w:pPr>
            <w:r>
              <w:rPr>
                <w:rFonts w:hint="eastAsia" w:cs="Times New Roman"/>
                <w:szCs w:val="21"/>
                <w:lang w:eastAsia="zh-CN"/>
              </w:rPr>
              <w:t>附属设备及管口计算</w:t>
            </w:r>
          </w:p>
        </w:tc>
        <w:tc>
          <w:tcPr>
            <w:tcW w:w="1695" w:type="dxa"/>
            <w:vAlign w:val="center"/>
          </w:tcPr>
          <w:p>
            <w:pPr>
              <w:keepNext w:val="0"/>
              <w:keepLines w:val="0"/>
              <w:widowControl/>
              <w:suppressLineNumbers w:val="0"/>
              <w:jc w:val="left"/>
              <w:rPr>
                <w:rFonts w:hint="eastAsia" w:cs="Times New Roman"/>
                <w:szCs w:val="21"/>
                <w:lang w:eastAsia="zh-CN"/>
              </w:rPr>
            </w:pPr>
            <w:r>
              <w:rPr>
                <w:rFonts w:hint="eastAsia" w:cs="Times New Roman"/>
                <w:szCs w:val="21"/>
                <w:lang w:eastAsia="zh-CN"/>
              </w:rPr>
              <w:t>换热器计算中培养学生热能的综合利用，</w:t>
            </w:r>
            <w:r>
              <w:rPr>
                <w:rFonts w:hint="eastAsia" w:ascii="宋体" w:hAnsi="宋体" w:eastAsia="宋体" w:cs="宋体"/>
                <w:color w:val="000000"/>
                <w:kern w:val="0"/>
                <w:sz w:val="21"/>
                <w:szCs w:val="21"/>
                <w:lang w:val="en-US" w:eastAsia="zh-CN" w:bidi="ar"/>
              </w:rPr>
              <w:t>加强</w:t>
            </w:r>
            <w:r>
              <w:rPr>
                <w:rFonts w:hint="eastAsia" w:ascii="宋体" w:hAnsi="宋体" w:cs="宋体"/>
                <w:color w:val="000000"/>
                <w:kern w:val="0"/>
                <w:sz w:val="21"/>
                <w:szCs w:val="21"/>
                <w:lang w:val="en-US" w:eastAsia="zh-CN" w:bidi="ar"/>
              </w:rPr>
              <w:t>学生</w:t>
            </w:r>
            <w:r>
              <w:rPr>
                <w:rFonts w:hint="eastAsia" w:ascii="宋体" w:hAnsi="宋体" w:eastAsia="宋体" w:cs="宋体"/>
                <w:color w:val="000000"/>
                <w:kern w:val="0"/>
                <w:sz w:val="21"/>
                <w:szCs w:val="21"/>
                <w:lang w:val="en-US" w:eastAsia="zh-CN" w:bidi="ar"/>
              </w:rPr>
              <w:t>新型能源和资源利用观点和意识教育。</w:t>
            </w:r>
          </w:p>
        </w:tc>
        <w:tc>
          <w:tcPr>
            <w:tcW w:w="1980" w:type="dxa"/>
            <w:vAlign w:val="center"/>
          </w:tcPr>
          <w:p>
            <w:pPr>
              <w:jc w:val="left"/>
              <w:rPr>
                <w:rFonts w:hint="eastAsia" w:ascii="Times New Roman" w:hAnsi="Times New Roman" w:eastAsia="宋体"/>
                <w:bCs/>
                <w:szCs w:val="21"/>
                <w:lang w:eastAsia="zh-CN"/>
              </w:rPr>
            </w:pPr>
            <w:r>
              <w:rPr>
                <w:rFonts w:hint="eastAsia" w:ascii="Times New Roman" w:hAnsi="Times New Roman"/>
                <w:bCs/>
                <w:szCs w:val="21"/>
              </w:rPr>
              <w:t>掌握</w:t>
            </w:r>
            <w:r>
              <w:rPr>
                <w:rFonts w:hint="eastAsia"/>
                <w:bCs/>
                <w:szCs w:val="21"/>
                <w:lang w:eastAsia="zh-CN"/>
              </w:rPr>
              <w:t>换热器和泵的选择和计算</w:t>
            </w:r>
          </w:p>
        </w:tc>
        <w:tc>
          <w:tcPr>
            <w:tcW w:w="840" w:type="dxa"/>
            <w:vAlign w:val="center"/>
          </w:tcPr>
          <w:p>
            <w:pPr>
              <w:jc w:val="center"/>
              <w:rPr>
                <w:rFonts w:ascii="Times New Roman" w:hAnsi="Times New Roman"/>
                <w:szCs w:val="21"/>
              </w:rPr>
            </w:pPr>
            <w:r>
              <w:rPr>
                <w:rFonts w:ascii="Times New Roman" w:hAnsi="Times New Roman"/>
                <w:szCs w:val="21"/>
              </w:rPr>
              <w:t>1</w:t>
            </w:r>
            <w:r>
              <w:rPr>
                <w:rFonts w:hint="eastAsia" w:ascii="Times New Roman" w:hAnsi="Times New Roman"/>
                <w:szCs w:val="21"/>
              </w:rPr>
              <w:t>天</w:t>
            </w:r>
          </w:p>
        </w:tc>
        <w:tc>
          <w:tcPr>
            <w:tcW w:w="1194" w:type="dxa"/>
            <w:vAlign w:val="center"/>
          </w:tcPr>
          <w:p>
            <w:pPr>
              <w:ind w:left="-107" w:leftChars="-51" w:right="-107" w:rightChars="-51"/>
              <w:jc w:val="center"/>
              <w:rPr>
                <w:rFonts w:ascii="Times New Roman" w:hAnsi="Times New Roman"/>
                <w:szCs w:val="21"/>
              </w:rPr>
            </w:pPr>
            <w:r>
              <w:rPr>
                <w:rFonts w:hint="eastAsia" w:ascii="Times New Roman" w:hAnsi="Times New Roman"/>
                <w:szCs w:val="21"/>
              </w:rPr>
              <w:t>讲授/案例/讨论/演示</w:t>
            </w:r>
          </w:p>
        </w:tc>
        <w:tc>
          <w:tcPr>
            <w:tcW w:w="1275" w:type="dxa"/>
            <w:vAlign w:val="center"/>
          </w:tcPr>
          <w:p>
            <w:pPr>
              <w:ind w:left="-107" w:leftChars="-51" w:right="-107" w:rightChars="-51"/>
              <w:jc w:val="center"/>
              <w:rPr>
                <w:rFonts w:ascii="Times New Roman" w:hAnsi="Times New Roman"/>
                <w:szCs w:val="21"/>
              </w:rPr>
            </w:pPr>
            <w:r>
              <w:rPr>
                <w:rFonts w:ascii="Times New Roman" w:hAnsi="Times New Roman"/>
                <w:color w:val="000000"/>
                <w:szCs w:val="21"/>
              </w:rPr>
              <w:t>目标</w:t>
            </w:r>
            <w:r>
              <w:rPr>
                <w:rFonts w:hint="eastAsia" w:ascii="Times New Roman" w:hAnsi="Times New Roman"/>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9" w:type="dxa"/>
            <w:vAlign w:val="center"/>
          </w:tcPr>
          <w:p>
            <w:pPr>
              <w:jc w:val="center"/>
              <w:rPr>
                <w:rFonts w:ascii="Times New Roman" w:hAnsi="Times New Roman"/>
                <w:szCs w:val="21"/>
              </w:rPr>
            </w:pPr>
            <w:r>
              <w:rPr>
                <w:rFonts w:hint="eastAsia" w:ascii="Times New Roman" w:hAnsi="Times New Roman"/>
                <w:szCs w:val="21"/>
              </w:rPr>
              <w:t>8</w:t>
            </w:r>
          </w:p>
        </w:tc>
        <w:tc>
          <w:tcPr>
            <w:tcW w:w="1070" w:type="dxa"/>
            <w:vAlign w:val="center"/>
          </w:tcPr>
          <w:p>
            <w:pPr>
              <w:spacing w:line="276" w:lineRule="auto"/>
              <w:jc w:val="left"/>
              <w:rPr>
                <w:rFonts w:ascii="Times New Roman" w:hAnsi="Times New Roman" w:cs="Times New Roman"/>
                <w:szCs w:val="21"/>
              </w:rPr>
            </w:pPr>
            <w:r>
              <w:rPr>
                <w:rFonts w:ascii="Times New Roman" w:hAnsi="Times New Roman" w:cs="Times New Roman"/>
                <w:szCs w:val="21"/>
              </w:rPr>
              <w:t>撰写设计报告</w:t>
            </w:r>
          </w:p>
        </w:tc>
        <w:tc>
          <w:tcPr>
            <w:tcW w:w="1695" w:type="dxa"/>
            <w:vAlign w:val="center"/>
          </w:tcPr>
          <w:p>
            <w:pPr>
              <w:spacing w:line="276" w:lineRule="auto"/>
              <w:jc w:val="left"/>
              <w:rPr>
                <w:rFonts w:ascii="Times New Roman" w:hAnsi="Times New Roman" w:cs="Times New Roman"/>
                <w:szCs w:val="21"/>
              </w:rPr>
            </w:pPr>
          </w:p>
        </w:tc>
        <w:tc>
          <w:tcPr>
            <w:tcW w:w="1980" w:type="dxa"/>
            <w:vAlign w:val="center"/>
          </w:tcPr>
          <w:p>
            <w:pPr>
              <w:jc w:val="left"/>
              <w:rPr>
                <w:rFonts w:ascii="Times New Roman" w:hAnsi="Times New Roman"/>
                <w:bCs/>
                <w:szCs w:val="21"/>
              </w:rPr>
            </w:pPr>
            <w:r>
              <w:rPr>
                <w:rFonts w:hint="eastAsia" w:ascii="Times New Roman" w:hAnsi="Times New Roman"/>
                <w:color w:val="000000"/>
                <w:szCs w:val="21"/>
              </w:rPr>
              <w:t>完成课程设计报告的编写。</w:t>
            </w:r>
          </w:p>
        </w:tc>
        <w:tc>
          <w:tcPr>
            <w:tcW w:w="840" w:type="dxa"/>
            <w:vAlign w:val="center"/>
          </w:tcPr>
          <w:p>
            <w:pPr>
              <w:jc w:val="center"/>
              <w:rPr>
                <w:rFonts w:ascii="Times New Roman" w:hAnsi="Times New Roman"/>
                <w:szCs w:val="21"/>
              </w:rPr>
            </w:pPr>
            <w:r>
              <w:rPr>
                <w:rFonts w:ascii="Times New Roman" w:hAnsi="Times New Roman"/>
                <w:szCs w:val="21"/>
              </w:rPr>
              <w:t>1</w:t>
            </w:r>
            <w:r>
              <w:rPr>
                <w:rFonts w:hint="eastAsia" w:ascii="Times New Roman" w:hAnsi="Times New Roman"/>
                <w:szCs w:val="21"/>
              </w:rPr>
              <w:t>天</w:t>
            </w:r>
          </w:p>
        </w:tc>
        <w:tc>
          <w:tcPr>
            <w:tcW w:w="1194" w:type="dxa"/>
            <w:vAlign w:val="center"/>
          </w:tcPr>
          <w:p>
            <w:pPr>
              <w:ind w:left="-107" w:leftChars="-51" w:right="-107" w:rightChars="-51"/>
              <w:jc w:val="center"/>
              <w:rPr>
                <w:rFonts w:ascii="Times New Roman" w:hAnsi="Times New Roman"/>
                <w:szCs w:val="21"/>
              </w:rPr>
            </w:pPr>
            <w:r>
              <w:rPr>
                <w:rFonts w:hint="eastAsia" w:ascii="Times New Roman" w:hAnsi="Times New Roman"/>
                <w:szCs w:val="21"/>
              </w:rPr>
              <w:t>讨论/演示</w:t>
            </w:r>
          </w:p>
        </w:tc>
        <w:tc>
          <w:tcPr>
            <w:tcW w:w="1275" w:type="dxa"/>
            <w:vAlign w:val="center"/>
          </w:tcPr>
          <w:p>
            <w:pPr>
              <w:ind w:left="-107" w:leftChars="-51" w:right="-107" w:rightChars="-51"/>
              <w:jc w:val="center"/>
              <w:rPr>
                <w:rFonts w:ascii="Times New Roman" w:hAnsi="Times New Roman"/>
                <w:szCs w:val="21"/>
              </w:rPr>
            </w:pPr>
            <w:r>
              <w:rPr>
                <w:rFonts w:ascii="Times New Roman" w:hAnsi="Times New Roman"/>
                <w:color w:val="000000"/>
                <w:szCs w:val="21"/>
              </w:rPr>
              <w:t>目标</w:t>
            </w:r>
            <w:r>
              <w:rPr>
                <w:rFonts w:hint="eastAsia" w:ascii="Times New Roman" w:hAnsi="Times New Roman"/>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9" w:type="dxa"/>
            <w:vAlign w:val="center"/>
          </w:tcPr>
          <w:p>
            <w:pPr>
              <w:jc w:val="center"/>
              <w:rPr>
                <w:rFonts w:ascii="Times New Roman" w:hAnsi="Times New Roman"/>
                <w:szCs w:val="21"/>
              </w:rPr>
            </w:pPr>
            <w:r>
              <w:rPr>
                <w:rFonts w:hint="eastAsia" w:ascii="Times New Roman" w:hAnsi="Times New Roman"/>
                <w:szCs w:val="21"/>
              </w:rPr>
              <w:t>9</w:t>
            </w:r>
          </w:p>
        </w:tc>
        <w:tc>
          <w:tcPr>
            <w:tcW w:w="1070" w:type="dxa"/>
            <w:vAlign w:val="center"/>
          </w:tcPr>
          <w:p>
            <w:pPr>
              <w:spacing w:line="276" w:lineRule="auto"/>
              <w:jc w:val="left"/>
              <w:rPr>
                <w:rFonts w:hint="eastAsia" w:ascii="Times New Roman" w:hAnsi="Times New Roman" w:eastAsia="宋体" w:cs="Times New Roman"/>
                <w:szCs w:val="21"/>
                <w:lang w:eastAsia="zh-CN"/>
              </w:rPr>
            </w:pPr>
            <w:r>
              <w:rPr>
                <w:rFonts w:hint="eastAsia" w:cs="Times New Roman"/>
                <w:szCs w:val="21"/>
                <w:lang w:eastAsia="zh-CN"/>
              </w:rPr>
              <w:t>绘制工艺流程图和主体设备图</w:t>
            </w:r>
          </w:p>
        </w:tc>
        <w:tc>
          <w:tcPr>
            <w:tcW w:w="1695" w:type="dxa"/>
            <w:vAlign w:val="center"/>
          </w:tcPr>
          <w:p>
            <w:pPr>
              <w:spacing w:line="276" w:lineRule="auto"/>
              <w:jc w:val="left"/>
              <w:rPr>
                <w:rFonts w:hint="eastAsia" w:cs="Times New Roman"/>
                <w:szCs w:val="21"/>
                <w:lang w:eastAsia="zh-CN"/>
              </w:rPr>
            </w:pPr>
          </w:p>
        </w:tc>
        <w:tc>
          <w:tcPr>
            <w:tcW w:w="1980" w:type="dxa"/>
            <w:vAlign w:val="center"/>
          </w:tcPr>
          <w:p>
            <w:pPr>
              <w:jc w:val="left"/>
              <w:rPr>
                <w:rFonts w:hint="eastAsia" w:ascii="Times New Roman" w:hAnsi="Times New Roman" w:eastAsia="宋体"/>
                <w:bCs/>
                <w:szCs w:val="21"/>
                <w:lang w:eastAsia="zh-CN"/>
              </w:rPr>
            </w:pPr>
            <w:r>
              <w:rPr>
                <w:rFonts w:hint="eastAsia"/>
                <w:bCs/>
                <w:szCs w:val="21"/>
                <w:lang w:eastAsia="zh-CN"/>
              </w:rPr>
              <w:t>按照化工制图规范完成图纸的绘制</w:t>
            </w:r>
          </w:p>
        </w:tc>
        <w:tc>
          <w:tcPr>
            <w:tcW w:w="840" w:type="dxa"/>
            <w:vAlign w:val="center"/>
          </w:tcPr>
          <w:p>
            <w:pPr>
              <w:jc w:val="center"/>
              <w:rPr>
                <w:rFonts w:ascii="Times New Roman" w:hAnsi="Times New Roman"/>
                <w:szCs w:val="21"/>
              </w:rPr>
            </w:pPr>
            <w:r>
              <w:rPr>
                <w:rFonts w:ascii="Times New Roman" w:hAnsi="Times New Roman"/>
                <w:szCs w:val="21"/>
              </w:rPr>
              <w:t>1</w:t>
            </w:r>
            <w:r>
              <w:rPr>
                <w:rFonts w:hint="eastAsia" w:ascii="Times New Roman" w:hAnsi="Times New Roman"/>
                <w:szCs w:val="21"/>
              </w:rPr>
              <w:t>天</w:t>
            </w:r>
          </w:p>
        </w:tc>
        <w:tc>
          <w:tcPr>
            <w:tcW w:w="1194" w:type="dxa"/>
            <w:vAlign w:val="center"/>
          </w:tcPr>
          <w:p>
            <w:pPr>
              <w:ind w:left="-107" w:leftChars="-51" w:right="-107" w:rightChars="-51"/>
              <w:jc w:val="center"/>
              <w:rPr>
                <w:rFonts w:ascii="Times New Roman" w:hAnsi="Times New Roman"/>
                <w:szCs w:val="21"/>
              </w:rPr>
            </w:pPr>
            <w:r>
              <w:rPr>
                <w:rFonts w:hint="eastAsia" w:ascii="Times New Roman" w:hAnsi="Times New Roman"/>
                <w:szCs w:val="21"/>
              </w:rPr>
              <w:t>讲授/演示</w:t>
            </w:r>
          </w:p>
        </w:tc>
        <w:tc>
          <w:tcPr>
            <w:tcW w:w="1275" w:type="dxa"/>
            <w:vAlign w:val="center"/>
          </w:tcPr>
          <w:p>
            <w:pPr>
              <w:ind w:left="-107" w:leftChars="-51" w:right="-107" w:rightChars="-51"/>
              <w:jc w:val="center"/>
              <w:rPr>
                <w:rFonts w:ascii="Times New Roman" w:hAnsi="Times New Roman"/>
                <w:szCs w:val="21"/>
              </w:rPr>
            </w:pPr>
            <w:r>
              <w:rPr>
                <w:rFonts w:ascii="Times New Roman" w:hAnsi="Times New Roman"/>
                <w:color w:val="000000"/>
                <w:szCs w:val="21"/>
              </w:rPr>
              <w:t>目标</w:t>
            </w:r>
            <w:r>
              <w:rPr>
                <w:rFonts w:hint="eastAsia" w:ascii="Times New Roman" w:hAnsi="Times New Roman"/>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559" w:type="dxa"/>
            <w:vAlign w:val="center"/>
          </w:tcPr>
          <w:p>
            <w:pPr>
              <w:jc w:val="center"/>
              <w:rPr>
                <w:rFonts w:ascii="Times New Roman" w:hAnsi="Times New Roman"/>
                <w:szCs w:val="21"/>
              </w:rPr>
            </w:pPr>
            <w:r>
              <w:rPr>
                <w:rFonts w:hint="eastAsia" w:ascii="Times New Roman" w:hAnsi="Times New Roman"/>
                <w:szCs w:val="21"/>
              </w:rPr>
              <w:t>10</w:t>
            </w:r>
          </w:p>
        </w:tc>
        <w:tc>
          <w:tcPr>
            <w:tcW w:w="1070" w:type="dxa"/>
            <w:vAlign w:val="center"/>
          </w:tcPr>
          <w:p>
            <w:pPr>
              <w:spacing w:line="276" w:lineRule="auto"/>
              <w:jc w:val="left"/>
              <w:rPr>
                <w:rFonts w:ascii="Times New Roman" w:hAnsi="Times New Roman" w:cs="Times New Roman"/>
                <w:szCs w:val="21"/>
              </w:rPr>
            </w:pPr>
            <w:r>
              <w:rPr>
                <w:rFonts w:ascii="Times New Roman" w:hAnsi="Times New Roman" w:cs="Times New Roman"/>
                <w:szCs w:val="21"/>
              </w:rPr>
              <w:t>提交设计报告、</w:t>
            </w:r>
            <w:r>
              <w:rPr>
                <w:rFonts w:hint="eastAsia" w:cs="Times New Roman"/>
                <w:szCs w:val="21"/>
                <w:lang w:eastAsia="zh-CN"/>
              </w:rPr>
              <w:t>图纸</w:t>
            </w:r>
            <w:r>
              <w:rPr>
                <w:rFonts w:ascii="Times New Roman" w:hAnsi="Times New Roman" w:cs="Times New Roman"/>
                <w:szCs w:val="21"/>
              </w:rPr>
              <w:t>和答辩</w:t>
            </w:r>
          </w:p>
        </w:tc>
        <w:tc>
          <w:tcPr>
            <w:tcW w:w="1695" w:type="dxa"/>
            <w:vAlign w:val="center"/>
          </w:tcPr>
          <w:p>
            <w:pPr>
              <w:spacing w:line="276" w:lineRule="auto"/>
              <w:jc w:val="left"/>
              <w:rPr>
                <w:rFonts w:ascii="Times New Roman" w:hAnsi="Times New Roman" w:cs="Times New Roman"/>
                <w:szCs w:val="21"/>
              </w:rPr>
            </w:pPr>
          </w:p>
        </w:tc>
        <w:tc>
          <w:tcPr>
            <w:tcW w:w="1980" w:type="dxa"/>
            <w:vAlign w:val="center"/>
          </w:tcPr>
          <w:p>
            <w:pPr>
              <w:jc w:val="left"/>
              <w:rPr>
                <w:rFonts w:ascii="Times New Roman" w:hAnsi="Times New Roman"/>
                <w:bCs/>
                <w:szCs w:val="21"/>
              </w:rPr>
            </w:pPr>
            <w:r>
              <w:rPr>
                <w:rFonts w:hint="eastAsia" w:ascii="Times New Roman" w:hAnsi="Times New Roman"/>
                <w:color w:val="000000"/>
                <w:szCs w:val="21"/>
              </w:rPr>
              <w:t>进行课程设计的答辩汇报。</w:t>
            </w:r>
          </w:p>
        </w:tc>
        <w:tc>
          <w:tcPr>
            <w:tcW w:w="840" w:type="dxa"/>
            <w:vAlign w:val="center"/>
          </w:tcPr>
          <w:p>
            <w:pPr>
              <w:jc w:val="center"/>
              <w:rPr>
                <w:rFonts w:ascii="Times New Roman" w:hAnsi="Times New Roman"/>
                <w:szCs w:val="21"/>
              </w:rPr>
            </w:pPr>
            <w:r>
              <w:rPr>
                <w:rFonts w:ascii="Times New Roman" w:hAnsi="Times New Roman"/>
                <w:szCs w:val="21"/>
              </w:rPr>
              <w:t>1</w:t>
            </w:r>
            <w:r>
              <w:rPr>
                <w:rFonts w:hint="eastAsia" w:ascii="Times New Roman" w:hAnsi="Times New Roman"/>
                <w:szCs w:val="21"/>
              </w:rPr>
              <w:t>天</w:t>
            </w:r>
          </w:p>
        </w:tc>
        <w:tc>
          <w:tcPr>
            <w:tcW w:w="1194" w:type="dxa"/>
            <w:vAlign w:val="center"/>
          </w:tcPr>
          <w:p>
            <w:pPr>
              <w:ind w:left="-107" w:leftChars="-51" w:right="-107" w:rightChars="-51"/>
              <w:jc w:val="center"/>
              <w:rPr>
                <w:rFonts w:ascii="Times New Roman" w:hAnsi="Times New Roman"/>
                <w:szCs w:val="21"/>
              </w:rPr>
            </w:pPr>
            <w:r>
              <w:rPr>
                <w:rFonts w:hint="eastAsia" w:ascii="Times New Roman" w:hAnsi="Times New Roman"/>
                <w:szCs w:val="21"/>
              </w:rPr>
              <w:t>演示/答辩</w:t>
            </w:r>
          </w:p>
        </w:tc>
        <w:tc>
          <w:tcPr>
            <w:tcW w:w="1275" w:type="dxa"/>
            <w:vAlign w:val="center"/>
          </w:tcPr>
          <w:p>
            <w:pPr>
              <w:ind w:left="-107" w:leftChars="-51" w:right="-107" w:rightChars="-51"/>
              <w:jc w:val="center"/>
              <w:rPr>
                <w:rFonts w:ascii="Times New Roman" w:hAnsi="Times New Roman"/>
                <w:szCs w:val="21"/>
              </w:rPr>
            </w:pPr>
            <w:r>
              <w:rPr>
                <w:rFonts w:ascii="Times New Roman" w:hAnsi="Times New Roman"/>
                <w:color w:val="000000"/>
                <w:szCs w:val="21"/>
              </w:rPr>
              <w:t>目标</w:t>
            </w:r>
            <w:r>
              <w:rPr>
                <w:rFonts w:hint="eastAsia" w:ascii="Times New Roman" w:hAnsi="Times New Roman"/>
                <w:szCs w:val="21"/>
              </w:rPr>
              <w:t>1、2</w:t>
            </w:r>
          </w:p>
        </w:tc>
      </w:tr>
    </w:tbl>
    <w:p>
      <w:pPr>
        <w:spacing w:line="360" w:lineRule="auto"/>
        <w:ind w:firstLine="562" w:firstLineChars="200"/>
        <w:rPr>
          <w:b/>
          <w:sz w:val="28"/>
          <w:szCs w:val="28"/>
        </w:rPr>
      </w:pPr>
      <w:r>
        <w:rPr>
          <w:rFonts w:hint="eastAsia"/>
          <w:b/>
          <w:sz w:val="28"/>
          <w:szCs w:val="28"/>
        </w:rPr>
        <w:t>四</w:t>
      </w:r>
      <w:r>
        <w:rPr>
          <w:b/>
          <w:sz w:val="28"/>
          <w:szCs w:val="28"/>
        </w:rPr>
        <w:t>、</w:t>
      </w:r>
      <w:r>
        <w:rPr>
          <w:rFonts w:hint="eastAsia"/>
          <w:b/>
          <w:sz w:val="28"/>
          <w:szCs w:val="28"/>
        </w:rPr>
        <w:t>课程实施</w:t>
      </w:r>
    </w:p>
    <w:p>
      <w:pPr>
        <w:spacing w:line="360" w:lineRule="auto"/>
        <w:ind w:firstLine="482" w:firstLineChars="200"/>
        <w:rPr>
          <w:rFonts w:hint="eastAsia"/>
          <w:sz w:val="24"/>
        </w:rPr>
      </w:pPr>
      <w:r>
        <w:rPr>
          <w:rFonts w:hint="eastAsia" w:ascii="Times New Roman" w:hAnsi="Times New Roman"/>
          <w:b/>
          <w:sz w:val="24"/>
        </w:rPr>
        <w:t>（一）教学方法与教学手段</w:t>
      </w:r>
    </w:p>
    <w:p>
      <w:pPr>
        <w:spacing w:line="360" w:lineRule="auto"/>
        <w:ind w:firstLine="480" w:firstLineChars="200"/>
        <w:jc w:val="left"/>
        <w:rPr>
          <w:rFonts w:ascii="Times New Roman" w:hAnsi="Times New Roman"/>
          <w:color w:val="000000"/>
          <w:sz w:val="24"/>
        </w:rPr>
      </w:pPr>
      <w:r>
        <w:rPr>
          <w:rFonts w:hint="eastAsia" w:ascii="Times New Roman" w:hAnsi="Times New Roman"/>
          <w:color w:val="000000"/>
          <w:sz w:val="24"/>
        </w:rPr>
        <w:t>1.在条件允许前提下，通过参观、调研等形式，以企业工程项目为背景，通过对复杂</w:t>
      </w:r>
      <w:r>
        <w:rPr>
          <w:rFonts w:hint="eastAsia"/>
          <w:color w:val="000000"/>
          <w:sz w:val="24"/>
          <w:lang w:eastAsia="zh-CN"/>
        </w:rPr>
        <w:t>化学工程问题</w:t>
      </w:r>
      <w:r>
        <w:rPr>
          <w:rFonts w:hint="eastAsia" w:ascii="Times New Roman" w:hAnsi="Times New Roman"/>
          <w:color w:val="000000"/>
          <w:sz w:val="24"/>
        </w:rPr>
        <w:t>和工作原理的研究、剖析，拟立符合两周工作量的项目课题。</w:t>
      </w:r>
    </w:p>
    <w:p>
      <w:pPr>
        <w:spacing w:line="360" w:lineRule="auto"/>
        <w:ind w:firstLine="480" w:firstLineChars="200"/>
        <w:jc w:val="left"/>
        <w:rPr>
          <w:rFonts w:ascii="Times New Roman" w:hAnsi="Times New Roman"/>
          <w:color w:val="000000"/>
          <w:sz w:val="24"/>
        </w:rPr>
      </w:pPr>
      <w:r>
        <w:rPr>
          <w:rFonts w:hint="eastAsia" w:ascii="Times New Roman" w:hAnsi="Times New Roman"/>
          <w:color w:val="000000"/>
          <w:sz w:val="24"/>
        </w:rPr>
        <w:t>2.学生可以根据环境条件、自身能力和特长，选择符合本专业培养计划要求的设计与实践课题，原则上要求</w:t>
      </w:r>
      <w:r>
        <w:rPr>
          <w:rFonts w:hint="eastAsia"/>
          <w:color w:val="000000"/>
          <w:sz w:val="24"/>
          <w:lang w:eastAsia="zh-CN"/>
        </w:rPr>
        <w:t>包含精馏塔的设计，换热器和离心泵等附属设备的选择</w:t>
      </w:r>
      <w:r>
        <w:rPr>
          <w:rFonts w:hint="eastAsia" w:ascii="Times New Roman" w:hAnsi="Times New Roman"/>
          <w:color w:val="000000"/>
          <w:sz w:val="24"/>
        </w:rPr>
        <w:t>。</w:t>
      </w:r>
    </w:p>
    <w:p>
      <w:pPr>
        <w:spacing w:line="360" w:lineRule="auto"/>
        <w:ind w:firstLine="480" w:firstLineChars="200"/>
        <w:jc w:val="left"/>
        <w:rPr>
          <w:rFonts w:ascii="Times New Roman" w:hAnsi="Times New Roman"/>
          <w:color w:val="000000"/>
          <w:sz w:val="24"/>
        </w:rPr>
      </w:pPr>
      <w:r>
        <w:rPr>
          <w:rFonts w:hint="eastAsia" w:ascii="Times New Roman" w:hAnsi="Times New Roman"/>
          <w:color w:val="000000"/>
          <w:sz w:val="24"/>
        </w:rPr>
        <w:t>3.项目强调实践、动手能力，注重作品质量、效果。答辩注重PPT质量和现场解决问题能力评价。报告更注重具体设计、调试等细节方面内容的描述，体现报告的深度和广度。</w:t>
      </w:r>
    </w:p>
    <w:p>
      <w:pPr>
        <w:spacing w:line="360" w:lineRule="auto"/>
        <w:ind w:firstLine="482" w:firstLineChars="200"/>
        <w:rPr>
          <w:rFonts w:ascii="Times New Roman" w:hAnsi="Times New Roman"/>
          <w:b/>
          <w:sz w:val="24"/>
        </w:rPr>
      </w:pPr>
      <w:r>
        <w:rPr>
          <w:rFonts w:hint="eastAsia" w:ascii="Times New Roman" w:hAnsi="Times New Roman"/>
          <w:b/>
          <w:sz w:val="24"/>
        </w:rPr>
        <w:t>（二）课程实施与保障</w:t>
      </w:r>
    </w:p>
    <w:p>
      <w:pPr>
        <w:spacing w:line="360" w:lineRule="auto"/>
        <w:ind w:firstLine="480" w:firstLineChars="200"/>
        <w:rPr>
          <w:rFonts w:hint="eastAsia"/>
          <w:bCs/>
          <w:sz w:val="24"/>
        </w:rPr>
      </w:pPr>
    </w:p>
    <w:tbl>
      <w:tblPr>
        <w:tblStyle w:val="10"/>
        <w:tblW w:w="921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62"/>
        <w:gridCol w:w="1418"/>
        <w:gridCol w:w="693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280" w:type="dxa"/>
            <w:gridSpan w:val="2"/>
            <w:vAlign w:val="center"/>
          </w:tcPr>
          <w:p>
            <w:pPr>
              <w:snapToGrid w:val="0"/>
              <w:jc w:val="center"/>
              <w:rPr>
                <w:bCs/>
                <w:szCs w:val="22"/>
              </w:rPr>
            </w:pPr>
            <w:r>
              <w:rPr>
                <w:bCs/>
                <w:szCs w:val="22"/>
              </w:rPr>
              <w:t>主要</w:t>
            </w:r>
            <w:r>
              <w:rPr>
                <w:rFonts w:hint="eastAsia"/>
                <w:bCs/>
                <w:szCs w:val="22"/>
              </w:rPr>
              <w:t>教学</w:t>
            </w:r>
            <w:r>
              <w:rPr>
                <w:bCs/>
                <w:szCs w:val="22"/>
              </w:rPr>
              <w:t>环节</w:t>
            </w:r>
          </w:p>
        </w:tc>
        <w:tc>
          <w:tcPr>
            <w:tcW w:w="6939" w:type="dxa"/>
            <w:vAlign w:val="center"/>
          </w:tcPr>
          <w:p>
            <w:pPr>
              <w:snapToGrid w:val="0"/>
              <w:jc w:val="center"/>
              <w:rPr>
                <w:bCs/>
                <w:szCs w:val="22"/>
              </w:rPr>
            </w:pPr>
            <w:r>
              <w:rPr>
                <w:bCs/>
                <w:szCs w:val="22"/>
              </w:rPr>
              <w:t>质量要求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862" w:type="dxa"/>
            <w:vMerge w:val="restart"/>
            <w:vAlign w:val="center"/>
          </w:tcPr>
          <w:p>
            <w:pPr>
              <w:jc w:val="center"/>
              <w:rPr>
                <w:szCs w:val="21"/>
              </w:rPr>
            </w:pPr>
            <w:r>
              <w:rPr>
                <w:szCs w:val="21"/>
              </w:rPr>
              <w:t>准备</w:t>
            </w:r>
          </w:p>
          <w:p>
            <w:pPr>
              <w:jc w:val="center"/>
              <w:rPr>
                <w:szCs w:val="21"/>
              </w:rPr>
            </w:pPr>
            <w:r>
              <w:rPr>
                <w:szCs w:val="21"/>
              </w:rPr>
              <w:t>阶段</w:t>
            </w:r>
          </w:p>
        </w:tc>
        <w:tc>
          <w:tcPr>
            <w:tcW w:w="1418" w:type="dxa"/>
            <w:vAlign w:val="center"/>
          </w:tcPr>
          <w:p>
            <w:pPr>
              <w:rPr>
                <w:szCs w:val="21"/>
              </w:rPr>
            </w:pPr>
            <w:r>
              <w:rPr>
                <w:szCs w:val="21"/>
              </w:rPr>
              <w:t>1.实践计划</w:t>
            </w:r>
          </w:p>
        </w:tc>
        <w:tc>
          <w:tcPr>
            <w:tcW w:w="6939" w:type="dxa"/>
            <w:vAlign w:val="center"/>
          </w:tcPr>
          <w:p>
            <w:pPr>
              <w:rPr>
                <w:szCs w:val="21"/>
              </w:rPr>
            </w:pPr>
            <w:r>
              <w:rPr>
                <w:szCs w:val="21"/>
              </w:rPr>
              <w:t>根据学校要求及专业人才培养方案制定详实可行的设计计划</w:t>
            </w:r>
            <w:r>
              <w:rPr>
                <w:rFonts w:hint="eastAsia"/>
                <w:szCs w:val="21"/>
              </w:rPr>
              <w:t>，并</w:t>
            </w:r>
            <w:r>
              <w:rPr>
                <w:szCs w:val="21"/>
              </w:rPr>
              <w:t>在设计开始前发放给学生。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862" w:type="dxa"/>
            <w:vMerge w:val="continue"/>
            <w:vAlign w:val="center"/>
          </w:tcPr>
          <w:p>
            <w:pPr>
              <w:jc w:val="center"/>
              <w:rPr>
                <w:szCs w:val="21"/>
              </w:rPr>
            </w:pPr>
          </w:p>
        </w:tc>
        <w:tc>
          <w:tcPr>
            <w:tcW w:w="1418" w:type="dxa"/>
            <w:vAlign w:val="center"/>
          </w:tcPr>
          <w:p>
            <w:pPr>
              <w:snapToGrid w:val="0"/>
              <w:rPr>
                <w:szCs w:val="21"/>
              </w:rPr>
            </w:pPr>
            <w:r>
              <w:rPr>
                <w:szCs w:val="21"/>
              </w:rPr>
              <w:t>2.指导老师</w:t>
            </w:r>
          </w:p>
        </w:tc>
        <w:tc>
          <w:tcPr>
            <w:tcW w:w="6939" w:type="dxa"/>
            <w:vAlign w:val="center"/>
          </w:tcPr>
          <w:p>
            <w:pPr>
              <w:snapToGrid w:val="0"/>
              <w:rPr>
                <w:rFonts w:hint="eastAsia" w:eastAsia="宋体"/>
                <w:szCs w:val="21"/>
                <w:lang w:eastAsia="zh-CN"/>
              </w:rPr>
            </w:pPr>
            <w:r>
              <w:rPr>
                <w:szCs w:val="21"/>
              </w:rPr>
              <w:t>指导教师</w:t>
            </w:r>
            <w:r>
              <w:rPr>
                <w:rFonts w:hint="eastAsia"/>
                <w:szCs w:val="21"/>
              </w:rPr>
              <w:t>应</w:t>
            </w:r>
            <w:r>
              <w:rPr>
                <w:szCs w:val="21"/>
              </w:rPr>
              <w:t>具备扎实的理论知识和丰富的实践经验</w:t>
            </w:r>
            <w:r>
              <w:rPr>
                <w:rFonts w:hint="eastAsia"/>
                <w:szCs w:val="21"/>
              </w:rPr>
              <w:t>。</w:t>
            </w:r>
            <w:r>
              <w:rPr>
                <w:szCs w:val="21"/>
              </w:rPr>
              <w:t>指导教师在</w:t>
            </w:r>
            <w:r>
              <w:rPr>
                <w:rFonts w:hint="eastAsia"/>
                <w:szCs w:val="21"/>
              </w:rPr>
              <w:t>设置课程设计课题前应提前做好准备</w:t>
            </w:r>
            <w:r>
              <w:rPr>
                <w:rFonts w:hint="eastAsia"/>
                <w:szCs w:val="21"/>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862" w:type="dxa"/>
            <w:vMerge w:val="continue"/>
            <w:vAlign w:val="center"/>
          </w:tcPr>
          <w:p>
            <w:pPr>
              <w:jc w:val="center"/>
              <w:rPr>
                <w:szCs w:val="21"/>
              </w:rPr>
            </w:pPr>
          </w:p>
        </w:tc>
        <w:tc>
          <w:tcPr>
            <w:tcW w:w="1418" w:type="dxa"/>
            <w:vAlign w:val="center"/>
          </w:tcPr>
          <w:p>
            <w:pPr>
              <w:snapToGrid w:val="0"/>
              <w:rPr>
                <w:szCs w:val="21"/>
              </w:rPr>
            </w:pPr>
            <w:r>
              <w:rPr>
                <w:szCs w:val="21"/>
              </w:rPr>
              <w:t>3.</w:t>
            </w:r>
            <w:r>
              <w:rPr>
                <w:rFonts w:hint="eastAsia"/>
                <w:szCs w:val="21"/>
              </w:rPr>
              <w:t>选用</w:t>
            </w:r>
            <w:r>
              <w:rPr>
                <w:szCs w:val="21"/>
              </w:rPr>
              <w:t>教材</w:t>
            </w:r>
          </w:p>
        </w:tc>
        <w:tc>
          <w:tcPr>
            <w:tcW w:w="6939" w:type="dxa"/>
            <w:vAlign w:val="center"/>
          </w:tcPr>
          <w:p>
            <w:pPr>
              <w:snapToGrid w:val="0"/>
              <w:rPr>
                <w:szCs w:val="21"/>
              </w:rPr>
            </w:pPr>
            <w:r>
              <w:rPr>
                <w:rFonts w:hint="eastAsia"/>
                <w:szCs w:val="21"/>
              </w:rPr>
              <w:t>选用或者自编</w:t>
            </w:r>
            <w:r>
              <w:rPr>
                <w:szCs w:val="21"/>
              </w:rPr>
              <w:t>应用性强</w:t>
            </w:r>
            <w:r>
              <w:rPr>
                <w:rFonts w:hint="eastAsia"/>
                <w:szCs w:val="21"/>
              </w:rPr>
              <w:t>、</w:t>
            </w:r>
            <w:r>
              <w:rPr>
                <w:szCs w:val="21"/>
              </w:rPr>
              <w:t>实践指导性强，且符合教学大纲要求的教材和指导书。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62" w:type="dxa"/>
            <w:vMerge w:val="continue"/>
            <w:vAlign w:val="center"/>
          </w:tcPr>
          <w:p>
            <w:pPr>
              <w:jc w:val="center"/>
              <w:rPr>
                <w:szCs w:val="21"/>
              </w:rPr>
            </w:pPr>
          </w:p>
        </w:tc>
        <w:tc>
          <w:tcPr>
            <w:tcW w:w="1418" w:type="dxa"/>
            <w:vAlign w:val="center"/>
          </w:tcPr>
          <w:p>
            <w:pPr>
              <w:snapToGrid w:val="0"/>
              <w:rPr>
                <w:szCs w:val="21"/>
              </w:rPr>
            </w:pPr>
            <w:r>
              <w:rPr>
                <w:szCs w:val="21"/>
              </w:rPr>
              <w:t>4.组织管理</w:t>
            </w:r>
          </w:p>
        </w:tc>
        <w:tc>
          <w:tcPr>
            <w:tcW w:w="6939" w:type="dxa"/>
            <w:vAlign w:val="center"/>
          </w:tcPr>
          <w:p>
            <w:pPr>
              <w:snapToGrid w:val="0"/>
              <w:rPr>
                <w:szCs w:val="21"/>
              </w:rPr>
            </w:pPr>
            <w:r>
              <w:rPr>
                <w:szCs w:val="21"/>
              </w:rPr>
              <w:t>进行</w:t>
            </w:r>
            <w:r>
              <w:rPr>
                <w:rFonts w:hint="eastAsia"/>
                <w:szCs w:val="21"/>
              </w:rPr>
              <w:t>课程设计</w:t>
            </w:r>
            <w:r>
              <w:rPr>
                <w:szCs w:val="21"/>
              </w:rPr>
              <w:t>要求讲解和安全教育，同组中每位学生都</w:t>
            </w:r>
            <w:r>
              <w:rPr>
                <w:rFonts w:hint="eastAsia"/>
                <w:szCs w:val="21"/>
              </w:rPr>
              <w:t>要</w:t>
            </w:r>
            <w:r>
              <w:rPr>
                <w:szCs w:val="21"/>
              </w:rPr>
              <w:t>有明确的要求。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62" w:type="dxa"/>
            <w:vMerge w:val="restart"/>
            <w:vAlign w:val="center"/>
          </w:tcPr>
          <w:p>
            <w:pPr>
              <w:jc w:val="center"/>
              <w:rPr>
                <w:szCs w:val="21"/>
              </w:rPr>
            </w:pPr>
            <w:r>
              <w:rPr>
                <w:szCs w:val="21"/>
              </w:rPr>
              <w:t>实施</w:t>
            </w:r>
          </w:p>
          <w:p>
            <w:pPr>
              <w:jc w:val="center"/>
              <w:rPr>
                <w:szCs w:val="21"/>
              </w:rPr>
            </w:pPr>
            <w:r>
              <w:rPr>
                <w:szCs w:val="21"/>
              </w:rPr>
              <w:t>阶段</w:t>
            </w:r>
          </w:p>
        </w:tc>
        <w:tc>
          <w:tcPr>
            <w:tcW w:w="1418" w:type="dxa"/>
            <w:vAlign w:val="center"/>
          </w:tcPr>
          <w:p>
            <w:pPr>
              <w:rPr>
                <w:szCs w:val="21"/>
              </w:rPr>
            </w:pPr>
            <w:r>
              <w:rPr>
                <w:szCs w:val="21"/>
              </w:rPr>
              <w:t>1.计划执行</w:t>
            </w:r>
          </w:p>
        </w:tc>
        <w:tc>
          <w:tcPr>
            <w:tcW w:w="6939" w:type="dxa"/>
            <w:vAlign w:val="center"/>
          </w:tcPr>
          <w:p>
            <w:pPr>
              <w:rPr>
                <w:szCs w:val="21"/>
              </w:rPr>
            </w:pPr>
            <w:r>
              <w:rPr>
                <w:rFonts w:hint="eastAsia"/>
                <w:szCs w:val="21"/>
              </w:rPr>
              <w:t>课程设计</w:t>
            </w:r>
            <w:r>
              <w:rPr>
                <w:szCs w:val="21"/>
              </w:rPr>
              <w:t>进度及</w:t>
            </w:r>
            <w:r>
              <w:rPr>
                <w:rFonts w:hint="eastAsia"/>
                <w:szCs w:val="21"/>
              </w:rPr>
              <w:t>完成</w:t>
            </w:r>
            <w:r>
              <w:rPr>
                <w:szCs w:val="21"/>
              </w:rPr>
              <w:t xml:space="preserve">质量等符合教学大纲的要求。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62" w:type="dxa"/>
            <w:vMerge w:val="continue"/>
            <w:vAlign w:val="center"/>
          </w:tcPr>
          <w:p>
            <w:pPr>
              <w:jc w:val="center"/>
              <w:rPr>
                <w:szCs w:val="21"/>
              </w:rPr>
            </w:pPr>
          </w:p>
        </w:tc>
        <w:tc>
          <w:tcPr>
            <w:tcW w:w="1418" w:type="dxa"/>
            <w:vAlign w:val="center"/>
          </w:tcPr>
          <w:p>
            <w:pPr>
              <w:snapToGrid w:val="0"/>
              <w:rPr>
                <w:szCs w:val="21"/>
              </w:rPr>
            </w:pPr>
            <w:r>
              <w:rPr>
                <w:szCs w:val="21"/>
              </w:rPr>
              <w:t>2.</w:t>
            </w:r>
            <w:r>
              <w:rPr>
                <w:rFonts w:hint="eastAsia"/>
                <w:szCs w:val="21"/>
              </w:rPr>
              <w:t>过程</w:t>
            </w:r>
            <w:r>
              <w:rPr>
                <w:szCs w:val="21"/>
              </w:rPr>
              <w:t>指导</w:t>
            </w:r>
          </w:p>
        </w:tc>
        <w:tc>
          <w:tcPr>
            <w:tcW w:w="6939" w:type="dxa"/>
            <w:vAlign w:val="center"/>
          </w:tcPr>
          <w:p>
            <w:pPr>
              <w:snapToGrid w:val="0"/>
              <w:rPr>
                <w:szCs w:val="21"/>
              </w:rPr>
            </w:pPr>
            <w:r>
              <w:rPr>
                <w:szCs w:val="21"/>
              </w:rPr>
              <w:t>按要求对每个学生予以指导，并做好相关记录。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862" w:type="dxa"/>
            <w:vMerge w:val="continue"/>
            <w:vAlign w:val="center"/>
          </w:tcPr>
          <w:p>
            <w:pPr>
              <w:jc w:val="center"/>
              <w:rPr>
                <w:szCs w:val="21"/>
              </w:rPr>
            </w:pPr>
          </w:p>
        </w:tc>
        <w:tc>
          <w:tcPr>
            <w:tcW w:w="1418" w:type="dxa"/>
            <w:vAlign w:val="center"/>
          </w:tcPr>
          <w:p>
            <w:pPr>
              <w:snapToGrid w:val="0"/>
              <w:rPr>
                <w:szCs w:val="21"/>
              </w:rPr>
            </w:pPr>
            <w:r>
              <w:rPr>
                <w:szCs w:val="21"/>
              </w:rPr>
              <w:t>3.学生管理</w:t>
            </w:r>
          </w:p>
        </w:tc>
        <w:tc>
          <w:tcPr>
            <w:tcW w:w="6939" w:type="dxa"/>
            <w:vAlign w:val="center"/>
          </w:tcPr>
          <w:p>
            <w:pPr>
              <w:snapToGrid w:val="0"/>
              <w:rPr>
                <w:szCs w:val="21"/>
              </w:rPr>
            </w:pPr>
            <w:r>
              <w:rPr>
                <w:szCs w:val="21"/>
              </w:rPr>
              <w:t>严格进行考勤和平时考核，认真记录</w:t>
            </w:r>
            <w:r>
              <w:rPr>
                <w:rFonts w:hint="eastAsia"/>
                <w:szCs w:val="21"/>
              </w:rPr>
              <w:t>学生工作</w:t>
            </w:r>
            <w:r>
              <w:rPr>
                <w:szCs w:val="21"/>
              </w:rPr>
              <w:t>情况；对迟到、早退和无故缺勤等违纪情况及时处理。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62" w:type="dxa"/>
            <w:vMerge w:val="continue"/>
            <w:vAlign w:val="center"/>
          </w:tcPr>
          <w:p>
            <w:pPr>
              <w:jc w:val="center"/>
              <w:rPr>
                <w:szCs w:val="21"/>
              </w:rPr>
            </w:pPr>
          </w:p>
        </w:tc>
        <w:tc>
          <w:tcPr>
            <w:tcW w:w="1418" w:type="dxa"/>
            <w:vAlign w:val="center"/>
          </w:tcPr>
          <w:p>
            <w:pPr>
              <w:snapToGrid w:val="0"/>
              <w:rPr>
                <w:szCs w:val="21"/>
              </w:rPr>
            </w:pPr>
            <w:r>
              <w:rPr>
                <w:szCs w:val="21"/>
              </w:rPr>
              <w:t>4.教学检查</w:t>
            </w:r>
          </w:p>
        </w:tc>
        <w:tc>
          <w:tcPr>
            <w:tcW w:w="6939" w:type="dxa"/>
            <w:vAlign w:val="center"/>
          </w:tcPr>
          <w:p>
            <w:pPr>
              <w:snapToGrid w:val="0"/>
              <w:rPr>
                <w:szCs w:val="21"/>
              </w:rPr>
            </w:pPr>
            <w:r>
              <w:rPr>
                <w:szCs w:val="21"/>
              </w:rPr>
              <w:t>学院有计划地开展督导检查，并及时反馈检查情况。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62" w:type="dxa"/>
            <w:vMerge w:val="restart"/>
            <w:vAlign w:val="center"/>
          </w:tcPr>
          <w:p>
            <w:pPr>
              <w:jc w:val="center"/>
              <w:rPr>
                <w:szCs w:val="21"/>
              </w:rPr>
            </w:pPr>
            <w:r>
              <w:rPr>
                <w:szCs w:val="21"/>
              </w:rPr>
              <w:t>总结</w:t>
            </w:r>
          </w:p>
          <w:p>
            <w:pPr>
              <w:jc w:val="center"/>
              <w:rPr>
                <w:szCs w:val="21"/>
              </w:rPr>
            </w:pPr>
            <w:r>
              <w:rPr>
                <w:szCs w:val="21"/>
              </w:rPr>
              <w:t>考核</w:t>
            </w:r>
          </w:p>
        </w:tc>
        <w:tc>
          <w:tcPr>
            <w:tcW w:w="1418" w:type="dxa"/>
            <w:vAlign w:val="center"/>
          </w:tcPr>
          <w:p>
            <w:pPr>
              <w:rPr>
                <w:szCs w:val="21"/>
              </w:rPr>
            </w:pPr>
            <w:r>
              <w:rPr>
                <w:szCs w:val="21"/>
              </w:rPr>
              <w:t>1.</w:t>
            </w:r>
            <w:r>
              <w:rPr>
                <w:rFonts w:hint="eastAsia"/>
                <w:szCs w:val="21"/>
              </w:rPr>
              <w:t>设计</w:t>
            </w:r>
            <w:r>
              <w:rPr>
                <w:szCs w:val="21"/>
              </w:rPr>
              <w:t>报告</w:t>
            </w:r>
          </w:p>
        </w:tc>
        <w:tc>
          <w:tcPr>
            <w:tcW w:w="6939" w:type="dxa"/>
            <w:vAlign w:val="center"/>
          </w:tcPr>
          <w:p>
            <w:pPr>
              <w:rPr>
                <w:szCs w:val="21"/>
              </w:rPr>
            </w:pPr>
            <w:r>
              <w:rPr>
                <w:szCs w:val="21"/>
              </w:rPr>
              <w:t>结束后，及时按要求提交设计报告。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862" w:type="dxa"/>
            <w:vMerge w:val="continue"/>
            <w:vAlign w:val="center"/>
          </w:tcPr>
          <w:p>
            <w:pPr>
              <w:rPr>
                <w:szCs w:val="21"/>
              </w:rPr>
            </w:pPr>
          </w:p>
        </w:tc>
        <w:tc>
          <w:tcPr>
            <w:tcW w:w="1418" w:type="dxa"/>
            <w:vAlign w:val="center"/>
          </w:tcPr>
          <w:p>
            <w:pPr>
              <w:snapToGrid w:val="0"/>
              <w:rPr>
                <w:szCs w:val="21"/>
              </w:rPr>
            </w:pPr>
            <w:r>
              <w:rPr>
                <w:szCs w:val="21"/>
              </w:rPr>
              <w:t>2.</w:t>
            </w:r>
            <w:r>
              <w:rPr>
                <w:rFonts w:hint="eastAsia"/>
                <w:szCs w:val="21"/>
              </w:rPr>
              <w:t>成绩</w:t>
            </w:r>
            <w:r>
              <w:rPr>
                <w:szCs w:val="21"/>
              </w:rPr>
              <w:t>考核</w:t>
            </w:r>
          </w:p>
        </w:tc>
        <w:tc>
          <w:tcPr>
            <w:tcW w:w="6939" w:type="dxa"/>
            <w:vAlign w:val="center"/>
          </w:tcPr>
          <w:p>
            <w:pPr>
              <w:snapToGrid w:val="0"/>
              <w:rPr>
                <w:szCs w:val="21"/>
              </w:rPr>
            </w:pPr>
            <w:r>
              <w:rPr>
                <w:szCs w:val="21"/>
              </w:rPr>
              <w:t>根据考核内容及要求对每位学生设计情况进行考核，合理评价，并按照学校有关规定登记成绩。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62" w:type="dxa"/>
            <w:vMerge w:val="continue"/>
            <w:vAlign w:val="center"/>
          </w:tcPr>
          <w:p>
            <w:pPr>
              <w:rPr>
                <w:szCs w:val="21"/>
              </w:rPr>
            </w:pPr>
          </w:p>
        </w:tc>
        <w:tc>
          <w:tcPr>
            <w:tcW w:w="1418" w:type="dxa"/>
            <w:vAlign w:val="center"/>
          </w:tcPr>
          <w:p>
            <w:pPr>
              <w:snapToGrid w:val="0"/>
              <w:rPr>
                <w:szCs w:val="21"/>
              </w:rPr>
            </w:pPr>
            <w:r>
              <w:rPr>
                <w:szCs w:val="21"/>
              </w:rPr>
              <w:t>3.总结归档</w:t>
            </w:r>
          </w:p>
        </w:tc>
        <w:tc>
          <w:tcPr>
            <w:tcW w:w="6939" w:type="dxa"/>
            <w:vAlign w:val="center"/>
          </w:tcPr>
          <w:p>
            <w:pPr>
              <w:snapToGrid w:val="0"/>
              <w:rPr>
                <w:szCs w:val="21"/>
              </w:rPr>
            </w:pPr>
            <w:r>
              <w:rPr>
                <w:szCs w:val="21"/>
              </w:rPr>
              <w:t>及时总结交流经验与体会，按要求做好材料归档。</w:t>
            </w:r>
          </w:p>
        </w:tc>
      </w:tr>
    </w:tbl>
    <w:p>
      <w:pPr>
        <w:spacing w:line="360" w:lineRule="auto"/>
        <w:ind w:firstLine="562" w:firstLineChars="200"/>
        <w:rPr>
          <w:b/>
          <w:sz w:val="28"/>
          <w:szCs w:val="28"/>
        </w:rPr>
      </w:pPr>
      <w:r>
        <w:rPr>
          <w:rFonts w:hint="eastAsia"/>
          <w:b/>
          <w:sz w:val="28"/>
          <w:szCs w:val="28"/>
        </w:rPr>
        <w:t>五</w:t>
      </w:r>
      <w:r>
        <w:rPr>
          <w:b/>
          <w:sz w:val="28"/>
          <w:szCs w:val="28"/>
        </w:rPr>
        <w:t>、课程考核</w:t>
      </w:r>
    </w:p>
    <w:p>
      <w:pPr>
        <w:spacing w:line="360" w:lineRule="auto"/>
        <w:ind w:firstLine="480" w:firstLineChars="200"/>
        <w:rPr>
          <w:rFonts w:ascii="Times New Roman" w:hAnsi="Times New Roman"/>
          <w:sz w:val="24"/>
        </w:rPr>
      </w:pPr>
      <w:r>
        <w:rPr>
          <w:rFonts w:hint="eastAsia" w:ascii="Times New Roman" w:hAnsi="Times New Roman"/>
          <w:sz w:val="24"/>
        </w:rPr>
        <w:t>（一）设计的考核是本课程的重要组成部分，将过程性评价、作品和报告等终结者评价相结合。考核方式包括平时成绩考核、设计报告考核、实践成绩考核等。</w:t>
      </w:r>
    </w:p>
    <w:p>
      <w:pPr>
        <w:spacing w:line="360" w:lineRule="auto"/>
        <w:ind w:firstLine="480" w:firstLineChars="200"/>
        <w:rPr>
          <w:rFonts w:ascii="Times New Roman" w:hAnsi="Times New Roman"/>
          <w:sz w:val="24"/>
        </w:rPr>
      </w:pPr>
      <w:r>
        <w:rPr>
          <w:rFonts w:hint="eastAsia" w:ascii="Times New Roman" w:hAnsi="Times New Roman"/>
          <w:sz w:val="24"/>
        </w:rPr>
        <w:t>（二）</w:t>
      </w:r>
      <w:r>
        <w:rPr>
          <w:rFonts w:ascii="Times New Roman" w:hAnsi="Times New Roman"/>
          <w:sz w:val="24"/>
        </w:rPr>
        <w:t>课程考核</w:t>
      </w:r>
      <w:r>
        <w:rPr>
          <w:rFonts w:hint="eastAsia" w:ascii="Times New Roman" w:hAnsi="Times New Roman"/>
          <w:sz w:val="24"/>
        </w:rPr>
        <w:t>方式</w:t>
      </w:r>
      <w:r>
        <w:rPr>
          <w:rFonts w:ascii="Times New Roman" w:hAnsi="Times New Roman"/>
          <w:sz w:val="24"/>
        </w:rPr>
        <w:t>包括</w:t>
      </w:r>
      <w:r>
        <w:rPr>
          <w:rFonts w:hint="eastAsia" w:ascii="Times New Roman" w:hAnsi="Times New Roman"/>
          <w:sz w:val="24"/>
        </w:rPr>
        <w:t>平时（包括：出勤和过程表现）</w:t>
      </w:r>
      <w:r>
        <w:rPr>
          <w:rFonts w:ascii="Times New Roman" w:hAnsi="Times New Roman"/>
          <w:sz w:val="24"/>
        </w:rPr>
        <w:t>、</w:t>
      </w:r>
      <w:r>
        <w:rPr>
          <w:rFonts w:hint="eastAsia" w:ascii="Times New Roman" w:hAnsi="Times New Roman"/>
          <w:sz w:val="24"/>
        </w:rPr>
        <w:t>作品（包括：</w:t>
      </w:r>
      <w:r>
        <w:rPr>
          <w:rFonts w:hint="eastAsia"/>
          <w:sz w:val="24"/>
          <w:lang w:eastAsia="zh-CN"/>
        </w:rPr>
        <w:t>工艺流程图</w:t>
      </w:r>
      <w:r>
        <w:rPr>
          <w:rFonts w:hint="eastAsia" w:ascii="Times New Roman" w:hAnsi="Times New Roman"/>
          <w:sz w:val="24"/>
        </w:rPr>
        <w:t>、</w:t>
      </w:r>
      <w:r>
        <w:rPr>
          <w:rFonts w:hint="eastAsia"/>
          <w:sz w:val="24"/>
          <w:lang w:eastAsia="zh-CN"/>
        </w:rPr>
        <w:t>主体设备图</w:t>
      </w:r>
      <w:r>
        <w:rPr>
          <w:rFonts w:hint="eastAsia" w:ascii="Times New Roman" w:hAnsi="Times New Roman"/>
          <w:sz w:val="24"/>
        </w:rPr>
        <w:t>）、</w:t>
      </w:r>
      <w:r>
        <w:rPr>
          <w:rFonts w:hint="eastAsia"/>
          <w:sz w:val="24"/>
          <w:lang w:eastAsia="zh-CN"/>
        </w:rPr>
        <w:t>设计说明书</w:t>
      </w:r>
      <w:r>
        <w:rPr>
          <w:rFonts w:hint="eastAsia" w:ascii="Times New Roman" w:hAnsi="Times New Roman"/>
          <w:sz w:val="24"/>
        </w:rPr>
        <w:t>、答辩情况等</w:t>
      </w:r>
      <w:r>
        <w:rPr>
          <w:rFonts w:ascii="Times New Roman" w:hAnsi="Times New Roman"/>
          <w:sz w:val="24"/>
        </w:rPr>
        <w:t>。</w:t>
      </w:r>
      <w:r>
        <w:rPr>
          <w:rFonts w:hint="eastAsia" w:ascii="Times New Roman" w:hAnsi="Times New Roman"/>
          <w:sz w:val="24"/>
        </w:rPr>
        <w:t>课程成绩按五级分：优秀、良好、中等、及格、不及格，综合得分</w:t>
      </w:r>
      <w:r>
        <w:rPr>
          <w:rFonts w:ascii="Times New Roman" w:hAnsi="Times New Roman"/>
          <w:sz w:val="24"/>
        </w:rPr>
        <w:t>90</w:t>
      </w:r>
      <w:r>
        <w:rPr>
          <w:rFonts w:hint="eastAsia" w:ascii="Times New Roman" w:hAnsi="Times New Roman"/>
          <w:sz w:val="24"/>
        </w:rPr>
        <w:t>分评定为优秀，综合得分</w:t>
      </w:r>
      <w:r>
        <w:rPr>
          <w:rFonts w:ascii="Times New Roman" w:hAnsi="Times New Roman"/>
          <w:sz w:val="24"/>
        </w:rPr>
        <w:t>80</w:t>
      </w:r>
      <w:r>
        <w:rPr>
          <w:rFonts w:hint="eastAsia" w:ascii="Times New Roman" w:hAnsi="Times New Roman"/>
          <w:sz w:val="24"/>
        </w:rPr>
        <w:t>～</w:t>
      </w:r>
      <w:r>
        <w:rPr>
          <w:rFonts w:ascii="Times New Roman" w:hAnsi="Times New Roman"/>
          <w:sz w:val="24"/>
        </w:rPr>
        <w:t>89</w:t>
      </w:r>
      <w:r>
        <w:rPr>
          <w:rFonts w:hint="eastAsia" w:ascii="Times New Roman" w:hAnsi="Times New Roman"/>
          <w:sz w:val="24"/>
        </w:rPr>
        <w:t>分评定为良好，综合得分</w:t>
      </w:r>
      <w:r>
        <w:rPr>
          <w:rFonts w:ascii="Times New Roman" w:hAnsi="Times New Roman"/>
          <w:sz w:val="24"/>
        </w:rPr>
        <w:t>70</w:t>
      </w:r>
      <w:r>
        <w:rPr>
          <w:rFonts w:hint="eastAsia" w:ascii="Times New Roman" w:hAnsi="Times New Roman"/>
          <w:sz w:val="24"/>
        </w:rPr>
        <w:t>～</w:t>
      </w:r>
      <w:r>
        <w:rPr>
          <w:rFonts w:ascii="Times New Roman" w:hAnsi="Times New Roman"/>
          <w:sz w:val="24"/>
        </w:rPr>
        <w:t>79</w:t>
      </w:r>
      <w:r>
        <w:rPr>
          <w:rFonts w:hint="eastAsia" w:ascii="Times New Roman" w:hAnsi="Times New Roman"/>
          <w:sz w:val="24"/>
        </w:rPr>
        <w:t>分评定为中等，综合得分</w:t>
      </w:r>
      <w:r>
        <w:rPr>
          <w:rFonts w:ascii="Times New Roman" w:hAnsi="Times New Roman"/>
          <w:sz w:val="24"/>
        </w:rPr>
        <w:t>60</w:t>
      </w:r>
      <w:r>
        <w:rPr>
          <w:rFonts w:hint="eastAsia" w:ascii="Times New Roman" w:hAnsi="Times New Roman"/>
          <w:sz w:val="24"/>
        </w:rPr>
        <w:t>～</w:t>
      </w:r>
      <w:r>
        <w:rPr>
          <w:rFonts w:ascii="Times New Roman" w:hAnsi="Times New Roman"/>
          <w:sz w:val="24"/>
        </w:rPr>
        <w:t>69</w:t>
      </w:r>
      <w:r>
        <w:rPr>
          <w:rFonts w:hint="eastAsia" w:ascii="Times New Roman" w:hAnsi="Times New Roman"/>
          <w:sz w:val="24"/>
        </w:rPr>
        <w:t>评定为及格，综合得分</w:t>
      </w:r>
      <w:r>
        <w:rPr>
          <w:rFonts w:ascii="Times New Roman" w:hAnsi="Times New Roman"/>
          <w:sz w:val="24"/>
        </w:rPr>
        <w:t>&lt;60</w:t>
      </w:r>
      <w:r>
        <w:rPr>
          <w:rFonts w:hint="eastAsia" w:ascii="Times New Roman" w:hAnsi="Times New Roman"/>
          <w:sz w:val="24"/>
        </w:rPr>
        <w:t>分评定为不及格。</w:t>
      </w:r>
    </w:p>
    <w:p>
      <w:pPr>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（三）课程总评成绩的具体内容和比例如下表所示：</w:t>
      </w:r>
    </w:p>
    <w:p>
      <w:pPr>
        <w:spacing w:line="360" w:lineRule="auto"/>
        <w:ind w:firstLine="480" w:firstLineChars="200"/>
        <w:rPr>
          <w:rFonts w:hint="eastAsia" w:ascii="Times New Roman" w:hAnsi="Times New Roman" w:eastAsia="宋体" w:cs="Times New Roman"/>
          <w:sz w:val="24"/>
        </w:rPr>
      </w:pPr>
    </w:p>
    <w:tbl>
      <w:tblPr>
        <w:tblStyle w:val="10"/>
        <w:tblpPr w:leftFromText="180" w:rightFromText="180" w:vertAnchor="text" w:horzAnchor="margin" w:tblpXSpec="center" w:tblpY="244"/>
        <w:tblW w:w="93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2918"/>
        <w:gridCol w:w="673"/>
        <w:gridCol w:w="674"/>
        <w:gridCol w:w="673"/>
        <w:gridCol w:w="673"/>
        <w:gridCol w:w="673"/>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134" w:type="dxa"/>
            <w:vMerge w:val="restart"/>
            <w:shd w:val="clear" w:color="auto" w:fill="FFFFFF"/>
            <w:tcMar>
              <w:left w:w="57" w:type="dxa"/>
              <w:right w:w="57" w:type="dxa"/>
            </w:tcMar>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考核环节</w:t>
            </w:r>
          </w:p>
        </w:tc>
        <w:tc>
          <w:tcPr>
            <w:tcW w:w="1276" w:type="dxa"/>
            <w:vMerge w:val="restart"/>
            <w:shd w:val="clear" w:color="auto" w:fill="FFFFFF"/>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成绩比例</w:t>
            </w:r>
          </w:p>
        </w:tc>
        <w:tc>
          <w:tcPr>
            <w:tcW w:w="2918" w:type="dxa"/>
            <w:vMerge w:val="restart"/>
            <w:shd w:val="clear" w:color="auto" w:fill="FFFFFF"/>
            <w:vAlign w:val="center"/>
          </w:tcPr>
          <w:p>
            <w:pPr>
              <w:jc w:val="center"/>
              <w:rPr>
                <w:rFonts w:ascii="Times New Roman" w:hAnsi="Times New Roman" w:eastAsia="宋体" w:cs="Times New Roman"/>
                <w:szCs w:val="24"/>
              </w:rPr>
            </w:pPr>
            <w:r>
              <w:rPr>
                <w:rFonts w:ascii="Times New Roman" w:hAnsi="Times New Roman" w:eastAsia="宋体" w:cs="Times New Roman"/>
                <w:szCs w:val="24"/>
              </w:rPr>
              <w:t>考核</w:t>
            </w:r>
            <w:r>
              <w:rPr>
                <w:rFonts w:hint="eastAsia" w:ascii="Times New Roman" w:hAnsi="Times New Roman" w:eastAsia="宋体" w:cs="Times New Roman"/>
                <w:szCs w:val="24"/>
              </w:rPr>
              <w:t>内容与</w:t>
            </w:r>
            <w:r>
              <w:rPr>
                <w:rFonts w:ascii="Times New Roman" w:hAnsi="Times New Roman" w:eastAsia="宋体" w:cs="Times New Roman"/>
                <w:szCs w:val="24"/>
              </w:rPr>
              <w:t>评价细则</w:t>
            </w:r>
          </w:p>
        </w:tc>
        <w:tc>
          <w:tcPr>
            <w:tcW w:w="4041" w:type="dxa"/>
            <w:gridSpan w:val="6"/>
            <w:shd w:val="clear" w:color="auto" w:fill="FFFFFF"/>
          </w:tcPr>
          <w:p>
            <w:pPr>
              <w:jc w:val="center"/>
              <w:rPr>
                <w:rFonts w:ascii="Times New Roman" w:hAnsi="Times New Roman" w:eastAsia="宋体" w:cs="Times New Roman"/>
                <w:szCs w:val="24"/>
              </w:rPr>
            </w:pPr>
            <w:r>
              <w:rPr>
                <w:rFonts w:hint="eastAsia" w:ascii="Times New Roman" w:hAnsi="Times New Roman" w:eastAsia="宋体" w:cs="Times New Roman"/>
                <w:szCs w:val="24"/>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134" w:type="dxa"/>
            <w:vMerge w:val="continue"/>
            <w:shd w:val="clear" w:color="auto" w:fill="FFFFFF"/>
            <w:tcMar>
              <w:left w:w="57" w:type="dxa"/>
              <w:right w:w="57" w:type="dxa"/>
            </w:tcMar>
            <w:vAlign w:val="center"/>
          </w:tcPr>
          <w:p>
            <w:pPr>
              <w:jc w:val="center"/>
              <w:rPr>
                <w:rFonts w:ascii="Times New Roman" w:hAnsi="Times New Roman" w:eastAsia="宋体" w:cs="Times New Roman"/>
                <w:szCs w:val="24"/>
              </w:rPr>
            </w:pPr>
          </w:p>
        </w:tc>
        <w:tc>
          <w:tcPr>
            <w:tcW w:w="1276" w:type="dxa"/>
            <w:vMerge w:val="continue"/>
            <w:shd w:val="clear" w:color="auto" w:fill="FFFFFF"/>
            <w:vAlign w:val="center"/>
          </w:tcPr>
          <w:p>
            <w:pPr>
              <w:jc w:val="center"/>
              <w:rPr>
                <w:rFonts w:ascii="Times New Roman" w:hAnsi="Times New Roman" w:eastAsia="宋体" w:cs="Times New Roman"/>
                <w:szCs w:val="24"/>
              </w:rPr>
            </w:pPr>
          </w:p>
        </w:tc>
        <w:tc>
          <w:tcPr>
            <w:tcW w:w="2918" w:type="dxa"/>
            <w:vMerge w:val="continue"/>
            <w:shd w:val="clear" w:color="auto" w:fill="FFFFFF"/>
            <w:vAlign w:val="center"/>
          </w:tcPr>
          <w:p>
            <w:pPr>
              <w:jc w:val="center"/>
              <w:rPr>
                <w:rFonts w:ascii="Times New Roman" w:hAnsi="Times New Roman" w:eastAsia="宋体" w:cs="Times New Roman"/>
                <w:szCs w:val="24"/>
              </w:rPr>
            </w:pPr>
          </w:p>
        </w:tc>
        <w:tc>
          <w:tcPr>
            <w:tcW w:w="673" w:type="dxa"/>
            <w:shd w:val="clear" w:color="auto" w:fill="FFFFFF"/>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目标1</w:t>
            </w:r>
          </w:p>
        </w:tc>
        <w:tc>
          <w:tcPr>
            <w:tcW w:w="674" w:type="dxa"/>
            <w:shd w:val="clear" w:color="auto" w:fill="FFFFFF"/>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目标2</w:t>
            </w:r>
          </w:p>
        </w:tc>
        <w:tc>
          <w:tcPr>
            <w:tcW w:w="673" w:type="dxa"/>
            <w:shd w:val="clear" w:color="auto" w:fill="FFFFFF"/>
          </w:tcPr>
          <w:p>
            <w:pPr>
              <w:jc w:val="center"/>
              <w:rPr>
                <w:rFonts w:ascii="Times New Roman" w:hAnsi="Times New Roman" w:eastAsia="宋体" w:cs="Times New Roman"/>
                <w:szCs w:val="24"/>
              </w:rPr>
            </w:pPr>
            <w:r>
              <w:rPr>
                <w:rFonts w:hint="eastAsia" w:ascii="Times New Roman" w:hAnsi="Times New Roman" w:eastAsia="宋体" w:cs="Times New Roman"/>
                <w:szCs w:val="24"/>
              </w:rPr>
              <w:t>目标3</w:t>
            </w:r>
          </w:p>
        </w:tc>
        <w:tc>
          <w:tcPr>
            <w:tcW w:w="673" w:type="dxa"/>
            <w:shd w:val="clear" w:color="auto" w:fill="FFFFFF"/>
          </w:tcPr>
          <w:p>
            <w:pPr>
              <w:jc w:val="center"/>
              <w:rPr>
                <w:rFonts w:ascii="Times New Roman" w:hAnsi="Times New Roman" w:eastAsia="宋体" w:cs="Times New Roman"/>
                <w:szCs w:val="24"/>
              </w:rPr>
            </w:pPr>
            <w:r>
              <w:rPr>
                <w:rFonts w:hint="eastAsia" w:ascii="Times New Roman" w:hAnsi="Times New Roman" w:eastAsia="宋体" w:cs="Times New Roman"/>
                <w:szCs w:val="24"/>
              </w:rPr>
              <w:t>目标4</w:t>
            </w:r>
          </w:p>
        </w:tc>
        <w:tc>
          <w:tcPr>
            <w:tcW w:w="673" w:type="dxa"/>
            <w:shd w:val="clear" w:color="auto" w:fill="FFFFFF"/>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目标5</w:t>
            </w:r>
          </w:p>
        </w:tc>
        <w:tc>
          <w:tcPr>
            <w:tcW w:w="675" w:type="dxa"/>
            <w:shd w:val="clear" w:color="auto" w:fill="FFFFFF"/>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6" w:hRule="atLeast"/>
        </w:trPr>
        <w:tc>
          <w:tcPr>
            <w:tcW w:w="1134" w:type="dxa"/>
            <w:shd w:val="clear" w:color="auto" w:fill="FFFFFF"/>
            <w:tcMar>
              <w:left w:w="57" w:type="dxa"/>
              <w:right w:w="57" w:type="dxa"/>
            </w:tcMar>
            <w:vAlign w:val="center"/>
          </w:tcPr>
          <w:p>
            <w:pPr>
              <w:jc w:val="center"/>
              <w:rPr>
                <w:rFonts w:ascii="Times New Roman" w:hAnsi="Times New Roman" w:eastAsia="宋体" w:cs="Times New Roman"/>
                <w:szCs w:val="24"/>
              </w:rPr>
            </w:pPr>
            <w:r>
              <w:rPr>
                <w:rFonts w:ascii="Times New Roman" w:hAnsi="Times New Roman" w:eastAsia="宋体" w:cs="Times New Roman"/>
                <w:szCs w:val="24"/>
              </w:rPr>
              <w:t>平时</w:t>
            </w:r>
            <w:r>
              <w:rPr>
                <w:rFonts w:hint="eastAsia" w:ascii="Times New Roman" w:hAnsi="Times New Roman" w:eastAsia="宋体" w:cs="Times New Roman"/>
                <w:szCs w:val="24"/>
              </w:rPr>
              <w:t>表现</w:t>
            </w:r>
          </w:p>
        </w:tc>
        <w:tc>
          <w:tcPr>
            <w:tcW w:w="1276" w:type="dxa"/>
            <w:shd w:val="clear" w:color="auto" w:fill="FFFFFF"/>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20%</w:t>
            </w:r>
          </w:p>
        </w:tc>
        <w:tc>
          <w:tcPr>
            <w:tcW w:w="2918" w:type="dxa"/>
            <w:shd w:val="clear" w:color="auto" w:fill="FFFFFF"/>
            <w:vAlign w:val="center"/>
          </w:tcPr>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重点考核：学生的学习态度、独立工作能力、查阅资料能力、团队分工与协作能力及设计过程中的创新意识或独特见解。</w:t>
            </w:r>
          </w:p>
        </w:tc>
        <w:tc>
          <w:tcPr>
            <w:tcW w:w="673" w:type="dxa"/>
            <w:shd w:val="clear" w:color="auto" w:fill="FFFFFF"/>
            <w:vAlign w:val="center"/>
          </w:tcPr>
          <w:p>
            <w:pPr>
              <w:jc w:val="center"/>
              <w:rPr>
                <w:rFonts w:ascii="Times New Roman" w:hAnsi="Times New Roman" w:eastAsia="宋体" w:cs="Times New Roman"/>
                <w:color w:val="000000"/>
                <w:kern w:val="2"/>
                <w:sz w:val="21"/>
                <w:szCs w:val="21"/>
                <w:lang w:val="en-US" w:eastAsia="zh-CN" w:bidi="ar-SA"/>
              </w:rPr>
            </w:pPr>
            <w:r>
              <w:rPr>
                <w:rFonts w:hint="eastAsia" w:cs="Times New Roman"/>
                <w:color w:val="000000"/>
                <w:szCs w:val="21"/>
                <w:lang w:val="en-US" w:eastAsia="zh-CN"/>
              </w:rPr>
              <w:t>10</w:t>
            </w:r>
            <w:r>
              <w:rPr>
                <w:rFonts w:hint="eastAsia" w:ascii="Times New Roman" w:hAnsi="Times New Roman" w:eastAsia="宋体" w:cs="Times New Roman"/>
                <w:color w:val="000000"/>
                <w:szCs w:val="21"/>
              </w:rPr>
              <w:t>%</w:t>
            </w:r>
          </w:p>
        </w:tc>
        <w:tc>
          <w:tcPr>
            <w:tcW w:w="674" w:type="dxa"/>
            <w:shd w:val="clear" w:color="auto" w:fill="FFFFFF"/>
            <w:vAlign w:val="center"/>
          </w:tcPr>
          <w:p>
            <w:pPr>
              <w:jc w:val="center"/>
              <w:rPr>
                <w:rFonts w:ascii="Times New Roman" w:hAnsi="Times New Roman" w:eastAsia="宋体" w:cs="Times New Roman"/>
                <w:color w:val="000000"/>
                <w:kern w:val="2"/>
                <w:sz w:val="21"/>
                <w:szCs w:val="21"/>
                <w:lang w:val="en-US" w:eastAsia="zh-CN" w:bidi="ar-SA"/>
              </w:rPr>
            </w:pPr>
            <w:r>
              <w:rPr>
                <w:rFonts w:hint="eastAsia" w:cs="Times New Roman"/>
                <w:color w:val="000000"/>
                <w:szCs w:val="21"/>
                <w:lang w:val="en-US" w:eastAsia="zh-CN"/>
              </w:rPr>
              <w:t>10</w:t>
            </w:r>
            <w:r>
              <w:rPr>
                <w:rFonts w:hint="eastAsia" w:ascii="Times New Roman" w:hAnsi="Times New Roman" w:eastAsia="宋体" w:cs="Times New Roman"/>
                <w:color w:val="000000"/>
                <w:szCs w:val="21"/>
              </w:rPr>
              <w:t>%</w:t>
            </w:r>
          </w:p>
        </w:tc>
        <w:tc>
          <w:tcPr>
            <w:tcW w:w="673" w:type="dxa"/>
            <w:shd w:val="clear" w:color="auto" w:fill="FFFFFF"/>
            <w:vAlign w:val="center"/>
          </w:tcPr>
          <w:p>
            <w:pPr>
              <w:jc w:val="center"/>
              <w:rPr>
                <w:rFonts w:ascii="Times New Roman" w:hAnsi="Times New Roman" w:eastAsia="宋体" w:cs="Times New Roman"/>
                <w:color w:val="000000"/>
                <w:szCs w:val="21"/>
              </w:rPr>
            </w:pPr>
          </w:p>
        </w:tc>
        <w:tc>
          <w:tcPr>
            <w:tcW w:w="673" w:type="dxa"/>
            <w:shd w:val="clear" w:color="auto" w:fill="FFFFFF"/>
            <w:vAlign w:val="center"/>
          </w:tcPr>
          <w:p>
            <w:pPr>
              <w:jc w:val="center"/>
              <w:rPr>
                <w:rFonts w:ascii="Times New Roman" w:hAnsi="Times New Roman" w:eastAsia="宋体" w:cs="Times New Roman"/>
                <w:color w:val="000000"/>
                <w:szCs w:val="21"/>
              </w:rPr>
            </w:pPr>
          </w:p>
        </w:tc>
        <w:tc>
          <w:tcPr>
            <w:tcW w:w="673" w:type="dxa"/>
            <w:shd w:val="clear" w:color="auto" w:fill="FFFFFF"/>
            <w:vAlign w:val="center"/>
          </w:tcPr>
          <w:p>
            <w:pPr>
              <w:jc w:val="center"/>
              <w:rPr>
                <w:rFonts w:ascii="Times New Roman" w:hAnsi="Times New Roman" w:eastAsia="宋体" w:cs="Times New Roman"/>
                <w:color w:val="000000"/>
                <w:szCs w:val="21"/>
              </w:rPr>
            </w:pPr>
          </w:p>
        </w:tc>
        <w:tc>
          <w:tcPr>
            <w:tcW w:w="675" w:type="dxa"/>
            <w:shd w:val="clear" w:color="auto" w:fill="FFFFFF"/>
            <w:vAlign w:val="center"/>
          </w:tcPr>
          <w:p>
            <w:pPr>
              <w:jc w:val="center"/>
              <w:rPr>
                <w:rFonts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2" w:hRule="atLeast"/>
        </w:trPr>
        <w:tc>
          <w:tcPr>
            <w:tcW w:w="1134" w:type="dxa"/>
            <w:tcMar>
              <w:left w:w="57" w:type="dxa"/>
              <w:right w:w="57" w:type="dxa"/>
            </w:tcMar>
            <w:vAlign w:val="center"/>
          </w:tcPr>
          <w:p>
            <w:pPr>
              <w:jc w:val="center"/>
              <w:rPr>
                <w:rFonts w:hint="eastAsia" w:ascii="Times New Roman" w:hAnsi="Times New Roman" w:eastAsia="宋体" w:cs="Times New Roman"/>
                <w:szCs w:val="24"/>
                <w:lang w:eastAsia="zh-CN"/>
              </w:rPr>
            </w:pPr>
            <w:r>
              <w:rPr>
                <w:rFonts w:hint="eastAsia" w:cs="Times New Roman"/>
                <w:szCs w:val="24"/>
                <w:lang w:eastAsia="zh-CN"/>
              </w:rPr>
              <w:t>设计说明书</w:t>
            </w:r>
          </w:p>
        </w:tc>
        <w:tc>
          <w:tcPr>
            <w:tcW w:w="1276" w:type="dxa"/>
            <w:vAlign w:val="center"/>
          </w:tcPr>
          <w:p>
            <w:pPr>
              <w:jc w:val="center"/>
              <w:rPr>
                <w:rFonts w:ascii="Times New Roman" w:hAnsi="Times New Roman" w:eastAsia="宋体" w:cs="Times New Roman"/>
                <w:szCs w:val="24"/>
              </w:rPr>
            </w:pPr>
            <w:r>
              <w:rPr>
                <w:rFonts w:hint="eastAsia" w:cs="Times New Roman"/>
                <w:szCs w:val="24"/>
                <w:lang w:val="en-US" w:eastAsia="zh-CN"/>
              </w:rPr>
              <w:t>4</w:t>
            </w:r>
            <w:r>
              <w:rPr>
                <w:rFonts w:hint="eastAsia" w:ascii="Times New Roman" w:hAnsi="Times New Roman" w:eastAsia="宋体" w:cs="Times New Roman"/>
                <w:szCs w:val="24"/>
              </w:rPr>
              <w:t>0</w:t>
            </w:r>
            <w:r>
              <w:rPr>
                <w:rFonts w:ascii="Times New Roman" w:hAnsi="Times New Roman" w:eastAsia="宋体" w:cs="Times New Roman"/>
                <w:szCs w:val="24"/>
              </w:rPr>
              <w:t>%</w:t>
            </w:r>
          </w:p>
        </w:tc>
        <w:tc>
          <w:tcPr>
            <w:tcW w:w="2918" w:type="dxa"/>
            <w:vAlign w:val="center"/>
          </w:tcPr>
          <w:p>
            <w:pPr>
              <w:rPr>
                <w:rFonts w:ascii="Times New Roman" w:hAnsi="Times New Roman" w:eastAsia="宋体" w:cs="Times New Roman"/>
                <w:szCs w:val="21"/>
              </w:rPr>
            </w:pPr>
            <w:r>
              <w:rPr>
                <w:rFonts w:hint="eastAsia" w:ascii="Times New Roman" w:hAnsi="Times New Roman" w:eastAsia="宋体" w:cs="Times New Roman"/>
                <w:szCs w:val="21"/>
              </w:rPr>
              <w:t>重点考核：说明书质量（条理清楚、文字通顺、用语和书写格式规范化）以及设计的实用性与科学性。设计的结构、内容与完成质量，运用所学知识独立分析、处理，解决实际问题的能力，设计的整体水平与实际意义。</w:t>
            </w:r>
          </w:p>
        </w:tc>
        <w:tc>
          <w:tcPr>
            <w:tcW w:w="673" w:type="dxa"/>
            <w:shd w:val="clear" w:color="auto" w:fill="FFFFFF"/>
            <w:vAlign w:val="center"/>
          </w:tcPr>
          <w:p>
            <w:pPr>
              <w:jc w:val="center"/>
              <w:rPr>
                <w:rFonts w:ascii="Times New Roman" w:hAnsi="Times New Roman" w:eastAsia="宋体" w:cs="Times New Roman"/>
                <w:color w:val="000000"/>
                <w:szCs w:val="21"/>
              </w:rPr>
            </w:pPr>
            <w:r>
              <w:rPr>
                <w:rFonts w:hint="eastAsia" w:cs="Times New Roman"/>
                <w:color w:val="000000"/>
                <w:szCs w:val="21"/>
                <w:lang w:val="en-US" w:eastAsia="zh-CN"/>
              </w:rPr>
              <w:t>20</w:t>
            </w:r>
            <w:r>
              <w:rPr>
                <w:rFonts w:hint="eastAsia" w:ascii="Times New Roman" w:hAnsi="Times New Roman" w:eastAsia="宋体" w:cs="Times New Roman"/>
                <w:color w:val="000000"/>
                <w:szCs w:val="21"/>
              </w:rPr>
              <w:t>%</w:t>
            </w:r>
          </w:p>
        </w:tc>
        <w:tc>
          <w:tcPr>
            <w:tcW w:w="674" w:type="dxa"/>
            <w:shd w:val="clear" w:color="auto" w:fill="FFFFFF"/>
            <w:vAlign w:val="center"/>
          </w:tcPr>
          <w:p>
            <w:pPr>
              <w:jc w:val="center"/>
              <w:rPr>
                <w:rFonts w:ascii="Times New Roman" w:hAnsi="Times New Roman" w:eastAsia="宋体" w:cs="Times New Roman"/>
                <w:color w:val="000000"/>
                <w:szCs w:val="21"/>
              </w:rPr>
            </w:pPr>
            <w:r>
              <w:rPr>
                <w:rFonts w:hint="eastAsia" w:cs="Times New Roman"/>
                <w:color w:val="000000"/>
                <w:szCs w:val="21"/>
                <w:lang w:val="en-US" w:eastAsia="zh-CN"/>
              </w:rPr>
              <w:t>20</w:t>
            </w:r>
            <w:r>
              <w:rPr>
                <w:rFonts w:hint="eastAsia" w:ascii="Times New Roman" w:hAnsi="Times New Roman" w:eastAsia="宋体" w:cs="Times New Roman"/>
                <w:color w:val="000000"/>
                <w:szCs w:val="21"/>
              </w:rPr>
              <w:t>%</w:t>
            </w:r>
          </w:p>
        </w:tc>
        <w:tc>
          <w:tcPr>
            <w:tcW w:w="673" w:type="dxa"/>
            <w:shd w:val="clear" w:color="auto" w:fill="FFFFFF"/>
            <w:vAlign w:val="center"/>
          </w:tcPr>
          <w:p>
            <w:pPr>
              <w:jc w:val="center"/>
              <w:rPr>
                <w:rFonts w:ascii="Times New Roman" w:hAnsi="Times New Roman" w:eastAsia="宋体" w:cs="Times New Roman"/>
                <w:color w:val="000000"/>
                <w:szCs w:val="21"/>
              </w:rPr>
            </w:pPr>
          </w:p>
        </w:tc>
        <w:tc>
          <w:tcPr>
            <w:tcW w:w="673" w:type="dxa"/>
            <w:shd w:val="clear" w:color="auto" w:fill="FFFFFF"/>
            <w:vAlign w:val="center"/>
          </w:tcPr>
          <w:p>
            <w:pPr>
              <w:jc w:val="center"/>
              <w:rPr>
                <w:rFonts w:ascii="Times New Roman" w:hAnsi="Times New Roman" w:eastAsia="宋体" w:cs="Times New Roman"/>
                <w:color w:val="000000"/>
                <w:szCs w:val="21"/>
              </w:rPr>
            </w:pPr>
          </w:p>
        </w:tc>
        <w:tc>
          <w:tcPr>
            <w:tcW w:w="673" w:type="dxa"/>
            <w:shd w:val="clear" w:color="auto" w:fill="FFFFFF"/>
            <w:vAlign w:val="center"/>
          </w:tcPr>
          <w:p>
            <w:pPr>
              <w:jc w:val="center"/>
              <w:rPr>
                <w:rFonts w:ascii="Times New Roman" w:hAnsi="Times New Roman" w:eastAsia="宋体" w:cs="Times New Roman"/>
                <w:color w:val="000000"/>
                <w:szCs w:val="21"/>
              </w:rPr>
            </w:pPr>
          </w:p>
        </w:tc>
        <w:tc>
          <w:tcPr>
            <w:tcW w:w="675" w:type="dxa"/>
            <w:shd w:val="clear" w:color="auto" w:fill="FFFFFF"/>
            <w:vAlign w:val="center"/>
          </w:tcPr>
          <w:p>
            <w:pPr>
              <w:jc w:val="center"/>
              <w:rPr>
                <w:rFonts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2" w:hRule="atLeast"/>
        </w:trPr>
        <w:tc>
          <w:tcPr>
            <w:tcW w:w="1134" w:type="dxa"/>
            <w:tcMar>
              <w:left w:w="57" w:type="dxa"/>
              <w:right w:w="57" w:type="dxa"/>
            </w:tcMar>
            <w:vAlign w:val="center"/>
          </w:tcPr>
          <w:p>
            <w:pPr>
              <w:jc w:val="center"/>
              <w:rPr>
                <w:rFonts w:hint="eastAsia" w:ascii="Times New Roman" w:hAnsi="Times New Roman" w:eastAsia="宋体" w:cs="Times New Roman"/>
                <w:szCs w:val="24"/>
                <w:lang w:eastAsia="zh-CN"/>
              </w:rPr>
            </w:pPr>
            <w:r>
              <w:rPr>
                <w:rFonts w:hint="eastAsia" w:cs="Times New Roman"/>
                <w:szCs w:val="24"/>
                <w:lang w:eastAsia="zh-CN"/>
              </w:rPr>
              <w:t>图</w:t>
            </w:r>
            <w:r>
              <w:rPr>
                <w:rFonts w:hint="eastAsia" w:cs="Times New Roman"/>
                <w:szCs w:val="24"/>
                <w:lang w:val="en-US" w:eastAsia="zh-CN"/>
              </w:rPr>
              <w:t xml:space="preserve">     </w:t>
            </w:r>
            <w:r>
              <w:rPr>
                <w:rFonts w:hint="eastAsia" w:cs="Times New Roman"/>
                <w:szCs w:val="24"/>
                <w:lang w:eastAsia="zh-CN"/>
              </w:rPr>
              <w:t>纸</w:t>
            </w:r>
          </w:p>
        </w:tc>
        <w:tc>
          <w:tcPr>
            <w:tcW w:w="1276" w:type="dxa"/>
            <w:vAlign w:val="center"/>
          </w:tcPr>
          <w:p>
            <w:pPr>
              <w:jc w:val="center"/>
              <w:rPr>
                <w:rFonts w:ascii="Times New Roman" w:hAnsi="Times New Roman" w:eastAsia="宋体" w:cs="Times New Roman"/>
                <w:szCs w:val="24"/>
              </w:rPr>
            </w:pPr>
            <w:r>
              <w:rPr>
                <w:rFonts w:hint="eastAsia" w:cs="Times New Roman"/>
                <w:szCs w:val="24"/>
                <w:lang w:val="en-US" w:eastAsia="zh-CN"/>
              </w:rPr>
              <w:t>2</w:t>
            </w:r>
            <w:r>
              <w:rPr>
                <w:rFonts w:hint="eastAsia" w:ascii="Times New Roman" w:hAnsi="Times New Roman" w:eastAsia="宋体" w:cs="Times New Roman"/>
                <w:szCs w:val="24"/>
              </w:rPr>
              <w:t>0%</w:t>
            </w:r>
          </w:p>
        </w:tc>
        <w:tc>
          <w:tcPr>
            <w:tcW w:w="2918" w:type="dxa"/>
            <w:vAlign w:val="center"/>
          </w:tcPr>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重点考核：设计指标或功能，在设计方案中综合考虑社会、健康、安全、法律、文化以及环境等因素，实物的焊接与调试、功能演示；程序的编写质量，仿真结果与分析。</w:t>
            </w:r>
          </w:p>
        </w:tc>
        <w:tc>
          <w:tcPr>
            <w:tcW w:w="673" w:type="dxa"/>
            <w:shd w:val="clear" w:color="auto" w:fill="FFFFFF"/>
            <w:vAlign w:val="center"/>
          </w:tcPr>
          <w:p>
            <w:pPr>
              <w:jc w:val="center"/>
              <w:rPr>
                <w:rFonts w:ascii="Times New Roman" w:hAnsi="Times New Roman" w:eastAsia="宋体" w:cs="Times New Roman"/>
                <w:color w:val="000000"/>
                <w:szCs w:val="21"/>
              </w:rPr>
            </w:pPr>
            <w:r>
              <w:rPr>
                <w:rFonts w:hint="eastAsia" w:cs="Times New Roman"/>
                <w:color w:val="000000"/>
                <w:szCs w:val="21"/>
                <w:lang w:val="en-US" w:eastAsia="zh-CN"/>
              </w:rPr>
              <w:t>10</w:t>
            </w:r>
            <w:r>
              <w:rPr>
                <w:rFonts w:hint="eastAsia" w:ascii="Times New Roman" w:hAnsi="Times New Roman" w:eastAsia="宋体" w:cs="Times New Roman"/>
                <w:color w:val="000000"/>
                <w:szCs w:val="21"/>
              </w:rPr>
              <w:t>%</w:t>
            </w:r>
          </w:p>
        </w:tc>
        <w:tc>
          <w:tcPr>
            <w:tcW w:w="674" w:type="dxa"/>
            <w:shd w:val="clear" w:color="auto" w:fill="FFFFFF"/>
            <w:vAlign w:val="center"/>
          </w:tcPr>
          <w:p>
            <w:pPr>
              <w:jc w:val="center"/>
              <w:rPr>
                <w:rFonts w:ascii="Times New Roman" w:hAnsi="Times New Roman" w:eastAsia="宋体" w:cs="Times New Roman"/>
                <w:color w:val="000000"/>
                <w:szCs w:val="21"/>
              </w:rPr>
            </w:pPr>
            <w:r>
              <w:rPr>
                <w:rFonts w:hint="eastAsia" w:cs="Times New Roman"/>
                <w:color w:val="000000"/>
                <w:szCs w:val="21"/>
                <w:lang w:val="en-US" w:eastAsia="zh-CN"/>
              </w:rPr>
              <w:t>10</w:t>
            </w:r>
            <w:r>
              <w:rPr>
                <w:rFonts w:hint="eastAsia" w:ascii="Times New Roman" w:hAnsi="Times New Roman" w:eastAsia="宋体" w:cs="Times New Roman"/>
                <w:color w:val="000000"/>
                <w:szCs w:val="21"/>
              </w:rPr>
              <w:t>%</w:t>
            </w:r>
          </w:p>
        </w:tc>
        <w:tc>
          <w:tcPr>
            <w:tcW w:w="673" w:type="dxa"/>
            <w:shd w:val="clear" w:color="auto" w:fill="FFFFFF"/>
            <w:vAlign w:val="center"/>
          </w:tcPr>
          <w:p>
            <w:pPr>
              <w:jc w:val="center"/>
              <w:rPr>
                <w:rFonts w:ascii="Times New Roman" w:hAnsi="Times New Roman" w:eastAsia="宋体" w:cs="Times New Roman"/>
                <w:color w:val="000000"/>
                <w:szCs w:val="21"/>
              </w:rPr>
            </w:pPr>
          </w:p>
        </w:tc>
        <w:tc>
          <w:tcPr>
            <w:tcW w:w="673" w:type="dxa"/>
            <w:shd w:val="clear" w:color="auto" w:fill="FFFFFF"/>
            <w:vAlign w:val="center"/>
          </w:tcPr>
          <w:p>
            <w:pPr>
              <w:jc w:val="center"/>
              <w:rPr>
                <w:rFonts w:ascii="Times New Roman" w:hAnsi="Times New Roman" w:eastAsia="宋体" w:cs="Times New Roman"/>
                <w:color w:val="000000"/>
                <w:szCs w:val="21"/>
              </w:rPr>
            </w:pPr>
          </w:p>
        </w:tc>
        <w:tc>
          <w:tcPr>
            <w:tcW w:w="673" w:type="dxa"/>
            <w:shd w:val="clear" w:color="auto" w:fill="FFFFFF"/>
            <w:vAlign w:val="center"/>
          </w:tcPr>
          <w:p>
            <w:pPr>
              <w:jc w:val="center"/>
              <w:rPr>
                <w:rFonts w:ascii="Times New Roman" w:hAnsi="Times New Roman" w:eastAsia="宋体" w:cs="Times New Roman"/>
                <w:color w:val="000000"/>
                <w:szCs w:val="21"/>
              </w:rPr>
            </w:pPr>
          </w:p>
        </w:tc>
        <w:tc>
          <w:tcPr>
            <w:tcW w:w="675" w:type="dxa"/>
            <w:shd w:val="clear" w:color="auto" w:fill="FFFFFF"/>
            <w:vAlign w:val="center"/>
          </w:tcPr>
          <w:p>
            <w:pPr>
              <w:jc w:val="center"/>
              <w:rPr>
                <w:rFonts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4" w:hRule="atLeast"/>
        </w:trPr>
        <w:tc>
          <w:tcPr>
            <w:tcW w:w="1134" w:type="dxa"/>
            <w:tcMar>
              <w:left w:w="57" w:type="dxa"/>
              <w:right w:w="57" w:type="dxa"/>
            </w:tcMar>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答    辩</w:t>
            </w:r>
          </w:p>
        </w:tc>
        <w:tc>
          <w:tcPr>
            <w:tcW w:w="1276" w:type="dxa"/>
            <w:vAlign w:val="center"/>
          </w:tcPr>
          <w:p>
            <w:pPr>
              <w:jc w:val="center"/>
              <w:rPr>
                <w:rFonts w:ascii="Times New Roman" w:hAnsi="Times New Roman" w:eastAsia="宋体" w:cs="Times New Roman"/>
                <w:szCs w:val="24"/>
              </w:rPr>
            </w:pPr>
            <w:r>
              <w:rPr>
                <w:rFonts w:hint="eastAsia" w:cs="Times New Roman"/>
                <w:szCs w:val="24"/>
                <w:lang w:val="en-US" w:eastAsia="zh-CN"/>
              </w:rPr>
              <w:t>2</w:t>
            </w:r>
            <w:r>
              <w:rPr>
                <w:rFonts w:hint="eastAsia" w:ascii="Times New Roman" w:hAnsi="Times New Roman" w:eastAsia="宋体" w:cs="Times New Roman"/>
                <w:szCs w:val="24"/>
              </w:rPr>
              <w:t>0</w:t>
            </w:r>
            <w:r>
              <w:rPr>
                <w:rFonts w:ascii="Times New Roman" w:hAnsi="Times New Roman" w:eastAsia="宋体" w:cs="Times New Roman"/>
                <w:szCs w:val="24"/>
              </w:rPr>
              <w:t>%</w:t>
            </w:r>
            <w:r>
              <w:rPr>
                <w:rFonts w:hint="eastAsia" w:ascii="Times New Roman" w:hAnsi="Times New Roman" w:eastAsia="宋体" w:cs="Times New Roman"/>
                <w:szCs w:val="24"/>
              </w:rPr>
              <w:t xml:space="preserve"> </w:t>
            </w:r>
          </w:p>
        </w:tc>
        <w:tc>
          <w:tcPr>
            <w:tcW w:w="2918" w:type="dxa"/>
            <w:vAlign w:val="center"/>
          </w:tcPr>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重点考核：学生对设计思想的口头表达能力、进行有效陈述发言的能力以及回答问题的正确性。</w:t>
            </w:r>
          </w:p>
        </w:tc>
        <w:tc>
          <w:tcPr>
            <w:tcW w:w="673" w:type="dxa"/>
            <w:shd w:val="clear" w:color="auto" w:fill="FFFFFF"/>
            <w:vAlign w:val="center"/>
          </w:tcPr>
          <w:p>
            <w:pPr>
              <w:jc w:val="center"/>
              <w:rPr>
                <w:rFonts w:ascii="Times New Roman" w:hAnsi="Times New Roman" w:eastAsia="宋体" w:cs="Times New Roman"/>
                <w:color w:val="000000"/>
                <w:kern w:val="2"/>
                <w:sz w:val="21"/>
                <w:szCs w:val="21"/>
                <w:lang w:val="en-US" w:eastAsia="zh-CN" w:bidi="ar-SA"/>
              </w:rPr>
            </w:pPr>
            <w:r>
              <w:rPr>
                <w:rFonts w:hint="eastAsia" w:cs="Times New Roman"/>
                <w:color w:val="000000"/>
                <w:szCs w:val="21"/>
                <w:lang w:val="en-US" w:eastAsia="zh-CN"/>
              </w:rPr>
              <w:t>10</w:t>
            </w:r>
            <w:r>
              <w:rPr>
                <w:rFonts w:hint="eastAsia" w:ascii="Times New Roman" w:hAnsi="Times New Roman" w:eastAsia="宋体" w:cs="Times New Roman"/>
                <w:color w:val="000000"/>
                <w:szCs w:val="21"/>
              </w:rPr>
              <w:t>%</w:t>
            </w:r>
          </w:p>
        </w:tc>
        <w:tc>
          <w:tcPr>
            <w:tcW w:w="674" w:type="dxa"/>
            <w:shd w:val="clear" w:color="auto" w:fill="FFFFFF"/>
            <w:vAlign w:val="center"/>
          </w:tcPr>
          <w:p>
            <w:pPr>
              <w:jc w:val="center"/>
              <w:rPr>
                <w:rFonts w:ascii="Times New Roman" w:hAnsi="Times New Roman" w:eastAsia="宋体" w:cs="Times New Roman"/>
                <w:color w:val="000000"/>
                <w:kern w:val="2"/>
                <w:sz w:val="21"/>
                <w:szCs w:val="21"/>
                <w:lang w:val="en-US" w:eastAsia="zh-CN" w:bidi="ar-SA"/>
              </w:rPr>
            </w:pPr>
            <w:r>
              <w:rPr>
                <w:rFonts w:hint="eastAsia" w:cs="Times New Roman"/>
                <w:color w:val="000000"/>
                <w:szCs w:val="21"/>
                <w:lang w:val="en-US" w:eastAsia="zh-CN"/>
              </w:rPr>
              <w:t>10</w:t>
            </w:r>
            <w:r>
              <w:rPr>
                <w:rFonts w:hint="eastAsia" w:ascii="Times New Roman" w:hAnsi="Times New Roman" w:eastAsia="宋体" w:cs="Times New Roman"/>
                <w:color w:val="000000"/>
                <w:szCs w:val="21"/>
              </w:rPr>
              <w:t>%</w:t>
            </w:r>
          </w:p>
        </w:tc>
        <w:tc>
          <w:tcPr>
            <w:tcW w:w="673" w:type="dxa"/>
            <w:shd w:val="clear" w:color="auto" w:fill="FFFFFF"/>
            <w:vAlign w:val="center"/>
          </w:tcPr>
          <w:p>
            <w:pPr>
              <w:jc w:val="center"/>
              <w:rPr>
                <w:rFonts w:ascii="Times New Roman" w:hAnsi="Times New Roman" w:eastAsia="宋体" w:cs="Times New Roman"/>
                <w:color w:val="000000"/>
                <w:szCs w:val="21"/>
              </w:rPr>
            </w:pPr>
          </w:p>
        </w:tc>
        <w:tc>
          <w:tcPr>
            <w:tcW w:w="673" w:type="dxa"/>
            <w:shd w:val="clear" w:color="auto" w:fill="FFFFFF"/>
            <w:vAlign w:val="center"/>
          </w:tcPr>
          <w:p>
            <w:pPr>
              <w:jc w:val="center"/>
              <w:rPr>
                <w:rFonts w:ascii="Times New Roman" w:hAnsi="Times New Roman" w:eastAsia="宋体" w:cs="Times New Roman"/>
                <w:color w:val="000000"/>
                <w:szCs w:val="21"/>
              </w:rPr>
            </w:pPr>
          </w:p>
        </w:tc>
        <w:tc>
          <w:tcPr>
            <w:tcW w:w="673" w:type="dxa"/>
            <w:shd w:val="clear" w:color="auto" w:fill="FFFFFF"/>
            <w:vAlign w:val="center"/>
          </w:tcPr>
          <w:p>
            <w:pPr>
              <w:jc w:val="center"/>
              <w:rPr>
                <w:rFonts w:ascii="Times New Roman" w:hAnsi="Times New Roman" w:eastAsia="宋体" w:cs="Times New Roman"/>
                <w:color w:val="000000"/>
                <w:szCs w:val="21"/>
              </w:rPr>
            </w:pPr>
          </w:p>
        </w:tc>
        <w:tc>
          <w:tcPr>
            <w:tcW w:w="675" w:type="dxa"/>
            <w:shd w:val="clear" w:color="auto" w:fill="FFFFFF"/>
            <w:vAlign w:val="center"/>
          </w:tcPr>
          <w:p>
            <w:pPr>
              <w:jc w:val="center"/>
              <w:rPr>
                <w:rFonts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1134" w:type="dxa"/>
            <w:tcMar>
              <w:left w:w="57" w:type="dxa"/>
              <w:right w:w="57" w:type="dxa"/>
            </w:tcMar>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合    计</w:t>
            </w:r>
          </w:p>
        </w:tc>
        <w:tc>
          <w:tcPr>
            <w:tcW w:w="1276" w:type="dxa"/>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100%</w:t>
            </w:r>
          </w:p>
        </w:tc>
        <w:tc>
          <w:tcPr>
            <w:tcW w:w="2918" w:type="dxa"/>
            <w:vAlign w:val="center"/>
          </w:tcPr>
          <w:p>
            <w:pPr>
              <w:rPr>
                <w:rFonts w:ascii="Times New Roman" w:hAnsi="Times New Roman" w:eastAsia="宋体" w:cs="Times New Roman"/>
                <w:color w:val="000000"/>
                <w:szCs w:val="21"/>
              </w:rPr>
            </w:pPr>
          </w:p>
        </w:tc>
        <w:tc>
          <w:tcPr>
            <w:tcW w:w="673" w:type="dxa"/>
            <w:shd w:val="clear" w:color="auto" w:fill="FFFFFF"/>
            <w:vAlign w:val="center"/>
          </w:tcPr>
          <w:p>
            <w:pPr>
              <w:jc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5</w:t>
            </w:r>
            <w:r>
              <w:rPr>
                <w:rFonts w:hint="eastAsia" w:cs="Times New Roman"/>
                <w:color w:val="000000"/>
                <w:szCs w:val="21"/>
                <w:lang w:val="en-US" w:eastAsia="zh-CN"/>
              </w:rPr>
              <w:t>0</w:t>
            </w:r>
            <w:r>
              <w:rPr>
                <w:rFonts w:hint="eastAsia" w:ascii="Times New Roman" w:hAnsi="Times New Roman" w:eastAsia="宋体" w:cs="Times New Roman"/>
                <w:color w:val="000000"/>
                <w:szCs w:val="21"/>
              </w:rPr>
              <w:t>%</w:t>
            </w:r>
          </w:p>
        </w:tc>
        <w:tc>
          <w:tcPr>
            <w:tcW w:w="674" w:type="dxa"/>
            <w:shd w:val="clear" w:color="auto" w:fill="FFFFFF"/>
            <w:vAlign w:val="center"/>
          </w:tcPr>
          <w:p>
            <w:pPr>
              <w:jc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5</w:t>
            </w:r>
            <w:r>
              <w:rPr>
                <w:rFonts w:hint="eastAsia" w:cs="Times New Roman"/>
                <w:color w:val="000000"/>
                <w:szCs w:val="21"/>
                <w:lang w:val="en-US" w:eastAsia="zh-CN"/>
              </w:rPr>
              <w:t>0</w:t>
            </w:r>
            <w:r>
              <w:rPr>
                <w:rFonts w:hint="eastAsia" w:ascii="Times New Roman" w:hAnsi="Times New Roman" w:eastAsia="宋体" w:cs="Times New Roman"/>
                <w:color w:val="000000"/>
                <w:szCs w:val="21"/>
              </w:rPr>
              <w:t>%</w:t>
            </w:r>
          </w:p>
        </w:tc>
        <w:tc>
          <w:tcPr>
            <w:tcW w:w="673" w:type="dxa"/>
            <w:shd w:val="clear" w:color="auto" w:fill="FFFFFF"/>
            <w:vAlign w:val="center"/>
          </w:tcPr>
          <w:p>
            <w:pPr>
              <w:jc w:val="center"/>
              <w:rPr>
                <w:rFonts w:ascii="Times New Roman" w:hAnsi="Times New Roman" w:eastAsia="宋体" w:cs="Times New Roman"/>
                <w:color w:val="000000"/>
                <w:szCs w:val="21"/>
              </w:rPr>
            </w:pPr>
          </w:p>
        </w:tc>
        <w:tc>
          <w:tcPr>
            <w:tcW w:w="673" w:type="dxa"/>
            <w:shd w:val="clear" w:color="auto" w:fill="FFFFFF"/>
            <w:vAlign w:val="center"/>
          </w:tcPr>
          <w:p>
            <w:pPr>
              <w:jc w:val="center"/>
              <w:rPr>
                <w:rFonts w:ascii="Times New Roman" w:hAnsi="Times New Roman" w:eastAsia="宋体" w:cs="Times New Roman"/>
                <w:color w:val="000000"/>
                <w:szCs w:val="21"/>
              </w:rPr>
            </w:pPr>
          </w:p>
        </w:tc>
        <w:tc>
          <w:tcPr>
            <w:tcW w:w="673" w:type="dxa"/>
            <w:shd w:val="clear" w:color="auto" w:fill="FFFFFF"/>
            <w:vAlign w:val="center"/>
          </w:tcPr>
          <w:p>
            <w:pPr>
              <w:jc w:val="center"/>
              <w:rPr>
                <w:rFonts w:ascii="Times New Roman" w:hAnsi="Times New Roman" w:eastAsia="宋体" w:cs="Times New Roman"/>
                <w:color w:val="000000"/>
                <w:szCs w:val="21"/>
              </w:rPr>
            </w:pPr>
          </w:p>
        </w:tc>
        <w:tc>
          <w:tcPr>
            <w:tcW w:w="675" w:type="dxa"/>
            <w:shd w:val="clear" w:color="auto" w:fill="FFFFFF"/>
            <w:vAlign w:val="center"/>
          </w:tcPr>
          <w:p>
            <w:pPr>
              <w:jc w:val="center"/>
              <w:rPr>
                <w:rFonts w:ascii="Times New Roman" w:hAnsi="Times New Roman" w:eastAsia="宋体" w:cs="Times New Roman"/>
                <w:color w:val="000000"/>
                <w:szCs w:val="21"/>
              </w:rPr>
            </w:pPr>
          </w:p>
        </w:tc>
      </w:tr>
    </w:tbl>
    <w:p>
      <w:pPr>
        <w:spacing w:line="360" w:lineRule="auto"/>
        <w:rPr>
          <w:rFonts w:ascii="Times New Roman" w:hAnsi="Times New Roman"/>
          <w:color w:val="000000"/>
          <w:sz w:val="24"/>
        </w:rPr>
      </w:pPr>
      <w:r>
        <w:rPr>
          <w:rFonts w:ascii="Times New Roman" w:hAnsi="Times New Roman"/>
          <w:color w:val="000000"/>
          <w:sz w:val="24"/>
        </w:rPr>
        <w:t>课程目标达成度计算方法如下：</w:t>
      </w:r>
    </w:p>
    <w:p>
      <w:pPr>
        <w:spacing w:line="360" w:lineRule="auto"/>
        <w:rPr>
          <w:sz w:val="24"/>
        </w:rPr>
      </w:pPr>
      <w:r>
        <w:rPr>
          <w:rFonts w:ascii="Times New Roman" w:hAnsi="Times New Roman" w:eastAsia="宋体" w:cs="Times New Roman"/>
          <w:position w:val="-26"/>
          <w:sz w:val="24"/>
        </w:rPr>
        <w:object>
          <v:shape id="_x0000_i1035" o:spt="75" type="#_x0000_t75" style="height:33pt;width:336.75pt;" o:ole="t" filled="f" o:preferrelative="t" stroked="f" coordsize="21600,21600">
            <v:path/>
            <v:fill on="f" focussize="0,0"/>
            <v:stroke on="f" joinstyle="miter"/>
            <v:imagedata r:id="rId20" o:title=""/>
            <o:lock v:ext="edit" aspectratio="t"/>
            <w10:wrap type="none"/>
            <w10:anchorlock/>
          </v:shape>
          <o:OLEObject Type="Embed" ProgID="Equation.DSMT4" ShapeID="_x0000_i1035" DrawAspect="Content" ObjectID="_1468075743" r:id="rId43">
            <o:LockedField>false</o:LockedField>
          </o:OLEObject>
        </w:object>
      </w:r>
    </w:p>
    <w:p>
      <w:pPr>
        <w:spacing w:line="360" w:lineRule="auto"/>
        <w:ind w:firstLine="562" w:firstLineChars="200"/>
        <w:rPr>
          <w:b/>
          <w:sz w:val="28"/>
          <w:szCs w:val="28"/>
        </w:rPr>
      </w:pPr>
      <w:r>
        <w:rPr>
          <w:rFonts w:hint="eastAsia"/>
          <w:b/>
          <w:sz w:val="28"/>
          <w:szCs w:val="28"/>
        </w:rPr>
        <w:t>六</w:t>
      </w:r>
      <w:r>
        <w:rPr>
          <w:b/>
          <w:sz w:val="28"/>
          <w:szCs w:val="28"/>
        </w:rPr>
        <w:t>、</w:t>
      </w:r>
      <w:r>
        <w:rPr>
          <w:rFonts w:hint="eastAsia"/>
          <w:b/>
          <w:sz w:val="28"/>
          <w:szCs w:val="28"/>
        </w:rPr>
        <w:t>有关说明</w:t>
      </w:r>
    </w:p>
    <w:p>
      <w:pPr>
        <w:spacing w:line="360" w:lineRule="auto"/>
        <w:ind w:firstLine="482" w:firstLineChars="200"/>
        <w:rPr>
          <w:b/>
          <w:color w:val="000000"/>
          <w:sz w:val="24"/>
        </w:rPr>
      </w:pPr>
      <w:r>
        <w:rPr>
          <w:rFonts w:hint="eastAsia"/>
          <w:b/>
          <w:color w:val="000000"/>
          <w:sz w:val="24"/>
        </w:rPr>
        <w:t>（一）持续改进</w:t>
      </w:r>
    </w:p>
    <w:p>
      <w:pPr>
        <w:spacing w:line="360" w:lineRule="auto"/>
        <w:ind w:firstLine="480" w:firstLineChars="200"/>
        <w:rPr>
          <w:kern w:val="0"/>
          <w:sz w:val="24"/>
          <w:szCs w:val="21"/>
        </w:rPr>
      </w:pPr>
      <w:r>
        <w:rPr>
          <w:rFonts w:hint="eastAsia" w:ascii="Times New Roman" w:hAnsi="Times New Roman"/>
          <w:color w:val="000000"/>
          <w:sz w:val="24"/>
        </w:rPr>
        <w:t>本设计课程是多课程的综合，涉及内容广，学生因素复杂，需根据实际状况，因材施教施教，不断分析、总结实践环节中不足之处，适时调整考核标准中部分指标和达成度，完善指导书的具体内容等，并在下一轮实践中改进提高，</w:t>
      </w:r>
      <w:r>
        <w:rPr>
          <w:rFonts w:hint="eastAsia"/>
          <w:kern w:val="0"/>
          <w:sz w:val="24"/>
          <w:szCs w:val="21"/>
        </w:rPr>
        <w:t>确保课程内容与教学方式能有效实现课程目标，使得考核结果能够证明课程目标达成。</w:t>
      </w:r>
    </w:p>
    <w:p>
      <w:pPr>
        <w:spacing w:line="360" w:lineRule="auto"/>
        <w:ind w:firstLine="482" w:firstLineChars="200"/>
        <w:rPr>
          <w:b/>
          <w:color w:val="000000"/>
          <w:sz w:val="24"/>
        </w:rPr>
      </w:pPr>
      <w:r>
        <w:rPr>
          <w:rFonts w:hint="eastAsia"/>
          <w:b/>
          <w:color w:val="000000"/>
          <w:sz w:val="24"/>
        </w:rPr>
        <w:t>（二）</w:t>
      </w:r>
      <w:r>
        <w:rPr>
          <w:b/>
          <w:color w:val="000000"/>
          <w:sz w:val="24"/>
        </w:rPr>
        <w:t>参考书目及学习资料</w:t>
      </w:r>
    </w:p>
    <w:p>
      <w:pPr>
        <w:spacing w:line="400" w:lineRule="atLeast"/>
        <w:ind w:firstLine="840" w:firstLineChars="350"/>
        <w:rPr>
          <w:sz w:val="24"/>
        </w:rPr>
      </w:pPr>
      <w:r>
        <w:rPr>
          <w:sz w:val="24"/>
        </w:rPr>
        <w:t>（1） 汤金石      化工原理课程设计        北京：化学工业出版社</w:t>
      </w:r>
    </w:p>
    <w:p>
      <w:pPr>
        <w:spacing w:line="400" w:lineRule="atLeast"/>
        <w:ind w:firstLine="840" w:firstLineChars="350"/>
        <w:rPr>
          <w:sz w:val="24"/>
        </w:rPr>
      </w:pPr>
      <w:r>
        <w:rPr>
          <w:sz w:val="24"/>
        </w:rPr>
        <w:t>（2） 陈英南      常用化工单元设备的设计  上海：华东理工大学出版社</w:t>
      </w:r>
    </w:p>
    <w:p>
      <w:pPr>
        <w:spacing w:line="400" w:lineRule="atLeast"/>
        <w:ind w:left="210" w:leftChars="100" w:firstLine="600" w:firstLineChars="250"/>
        <w:rPr>
          <w:szCs w:val="21"/>
        </w:rPr>
      </w:pPr>
      <w:r>
        <w:rPr>
          <w:sz w:val="24"/>
        </w:rPr>
        <w:t>（3） 陈均志 李磊  化工原理实验及课程设计  北京：化学工业出版社</w:t>
      </w:r>
    </w:p>
    <w:p>
      <w:pPr>
        <w:snapToGrid w:val="0"/>
        <w:spacing w:line="360" w:lineRule="auto"/>
        <w:ind w:firstLine="890" w:firstLineChars="371"/>
        <w:rPr>
          <w:sz w:val="24"/>
        </w:rPr>
      </w:pPr>
      <w:r>
        <w:rPr>
          <w:rFonts w:hint="eastAsia"/>
          <w:sz w:val="24"/>
        </w:rPr>
        <w:t>(4)《化工原理》第二版陈敏恒 丛德滋 方图南编著，化学工业出版社 2002</w:t>
      </w:r>
    </w:p>
    <w:p>
      <w:pPr>
        <w:snapToGrid w:val="0"/>
        <w:spacing w:line="360" w:lineRule="auto"/>
        <w:ind w:firstLine="890" w:firstLineChars="371"/>
        <w:rPr>
          <w:rFonts w:hint="default" w:eastAsia="宋体"/>
          <w:sz w:val="24"/>
          <w:lang w:val="en-US" w:eastAsia="zh-CN"/>
        </w:rPr>
      </w:pPr>
      <w:r>
        <w:rPr>
          <w:rFonts w:hint="eastAsia"/>
          <w:sz w:val="24"/>
        </w:rPr>
        <w:t>(5)《化工原理》第二版 谭天恩 麦本熙  丁惠华 化学工业出版社  20</w:t>
      </w:r>
      <w:r>
        <w:rPr>
          <w:rFonts w:hint="eastAsia"/>
          <w:sz w:val="24"/>
          <w:lang w:val="en-US" w:eastAsia="zh-CN"/>
        </w:rPr>
        <w:t>18</w:t>
      </w:r>
    </w:p>
    <w:p>
      <w:pPr>
        <w:spacing w:line="300" w:lineRule="auto"/>
        <w:ind w:left="210" w:leftChars="100" w:firstLine="480" w:firstLineChars="200"/>
        <w:rPr>
          <w:sz w:val="24"/>
        </w:rPr>
      </w:pPr>
    </w:p>
    <w:p>
      <w:pPr>
        <w:spacing w:line="400" w:lineRule="exact"/>
        <w:ind w:right="240" w:firstLine="5964" w:firstLineChars="2485"/>
        <w:jc w:val="right"/>
        <w:rPr>
          <w:rFonts w:hint="eastAsia"/>
          <w:sz w:val="24"/>
          <w:lang w:eastAsia="zh-CN"/>
        </w:rPr>
      </w:pPr>
      <w:r>
        <w:rPr>
          <w:sz w:val="24"/>
        </w:rPr>
        <w:t>执笔人：</w:t>
      </w:r>
      <w:r>
        <w:rPr>
          <w:rFonts w:hint="eastAsia"/>
          <w:sz w:val="24"/>
          <w:lang w:eastAsia="zh-CN"/>
        </w:rPr>
        <w:t>刘宝亮</w:t>
      </w:r>
    </w:p>
    <w:p>
      <w:pPr>
        <w:spacing w:line="400" w:lineRule="exact"/>
        <w:ind w:right="240" w:firstLine="5964" w:firstLineChars="2485"/>
        <w:jc w:val="right"/>
        <w:rPr>
          <w:rFonts w:hint="eastAsia"/>
          <w:sz w:val="24"/>
          <w:lang w:eastAsia="zh-CN"/>
        </w:rPr>
      </w:pPr>
      <w:r>
        <w:rPr>
          <w:sz w:val="24"/>
        </w:rPr>
        <w:t>审定人：</w:t>
      </w:r>
      <w:r>
        <w:rPr>
          <w:rFonts w:hint="eastAsia"/>
          <w:sz w:val="24"/>
          <w:lang w:eastAsia="zh-CN"/>
        </w:rPr>
        <w:t>魏雪姣</w:t>
      </w:r>
    </w:p>
    <w:p>
      <w:pPr>
        <w:spacing w:line="400" w:lineRule="exact"/>
        <w:ind w:right="240" w:firstLine="5964" w:firstLineChars="2485"/>
        <w:jc w:val="right"/>
        <w:rPr>
          <w:rFonts w:hint="eastAsia"/>
          <w:sz w:val="24"/>
          <w:lang w:eastAsia="zh-CN"/>
        </w:rPr>
      </w:pPr>
      <w:r>
        <w:rPr>
          <w:sz w:val="24"/>
        </w:rPr>
        <w:t>批准人：</w:t>
      </w:r>
      <w:r>
        <w:rPr>
          <w:rFonts w:hint="eastAsia"/>
          <w:sz w:val="24"/>
          <w:lang w:eastAsia="zh-CN"/>
        </w:rPr>
        <w:t>吴泽颖</w:t>
      </w:r>
    </w:p>
    <w:p>
      <w:pPr>
        <w:spacing w:line="400" w:lineRule="exact"/>
        <w:ind w:right="240" w:firstLine="5040" w:firstLineChars="2100"/>
        <w:jc w:val="both"/>
        <w:rPr>
          <w:rFonts w:hint="eastAsia"/>
          <w:sz w:val="24"/>
          <w:lang w:val="en-US" w:eastAsia="zh-CN"/>
        </w:rPr>
      </w:pPr>
      <w:r>
        <w:rPr>
          <w:rFonts w:hint="eastAsia"/>
          <w:sz w:val="24"/>
          <w:lang w:eastAsia="zh-CN"/>
        </w:rPr>
        <w:t>批准日期：</w:t>
      </w:r>
      <w:r>
        <w:rPr>
          <w:rFonts w:hint="eastAsia"/>
          <w:sz w:val="24"/>
          <w:lang w:val="en-US" w:eastAsia="zh-CN"/>
        </w:rPr>
        <w:t xml:space="preserve">2021年9月1日 </w:t>
      </w:r>
    </w:p>
    <w:p>
      <w:pPr>
        <w:spacing w:line="400" w:lineRule="exact"/>
        <w:ind w:right="240" w:firstLine="5040" w:firstLineChars="2100"/>
        <w:jc w:val="both"/>
        <w:rPr>
          <w:rFonts w:hint="eastAsia"/>
          <w:sz w:val="24"/>
          <w:lang w:val="en-US" w:eastAsia="zh-CN"/>
        </w:rPr>
      </w:pPr>
    </w:p>
    <w:p>
      <w:pPr>
        <w:spacing w:line="400" w:lineRule="exact"/>
        <w:ind w:right="240" w:firstLine="5040" w:firstLineChars="2100"/>
        <w:jc w:val="both"/>
        <w:rPr>
          <w:rFonts w:hint="eastAsia"/>
          <w:sz w:val="24"/>
          <w:lang w:val="en-US" w:eastAsia="zh-CN"/>
        </w:rPr>
      </w:pPr>
    </w:p>
    <w:p>
      <w:pPr>
        <w:spacing w:line="400" w:lineRule="exact"/>
        <w:ind w:right="240" w:firstLine="5040" w:firstLineChars="2100"/>
        <w:jc w:val="both"/>
        <w:rPr>
          <w:rFonts w:hint="eastAsia"/>
          <w:sz w:val="24"/>
          <w:lang w:val="en-US" w:eastAsia="zh-CN"/>
        </w:rPr>
      </w:pPr>
    </w:p>
    <w:p>
      <w:pPr>
        <w:spacing w:line="400" w:lineRule="exact"/>
        <w:ind w:right="240" w:firstLine="5040" w:firstLineChars="2100"/>
        <w:jc w:val="both"/>
        <w:rPr>
          <w:rFonts w:hint="eastAsia"/>
          <w:sz w:val="24"/>
          <w:lang w:val="en-US" w:eastAsia="zh-CN"/>
        </w:rPr>
      </w:pPr>
    </w:p>
    <w:p>
      <w:pPr>
        <w:spacing w:line="400" w:lineRule="exact"/>
        <w:ind w:right="240" w:firstLine="5040" w:firstLineChars="2100"/>
        <w:jc w:val="both"/>
        <w:rPr>
          <w:rFonts w:hint="eastAsia"/>
          <w:sz w:val="24"/>
          <w:lang w:val="en-US" w:eastAsia="zh-CN"/>
        </w:rPr>
      </w:pPr>
    </w:p>
    <w:p>
      <w:pPr>
        <w:spacing w:line="400" w:lineRule="exact"/>
        <w:ind w:right="240" w:firstLine="5040" w:firstLineChars="2100"/>
        <w:jc w:val="both"/>
        <w:rPr>
          <w:rFonts w:hint="eastAsia"/>
          <w:sz w:val="24"/>
          <w:lang w:val="en-US" w:eastAsia="zh-CN"/>
        </w:rPr>
      </w:pPr>
    </w:p>
    <w:p>
      <w:pPr>
        <w:spacing w:line="400" w:lineRule="exact"/>
        <w:ind w:right="240" w:firstLine="5040" w:firstLineChars="2100"/>
        <w:jc w:val="both"/>
        <w:rPr>
          <w:rFonts w:hint="eastAsia"/>
          <w:sz w:val="24"/>
          <w:lang w:val="en-US" w:eastAsia="zh-CN"/>
        </w:rPr>
      </w:pPr>
    </w:p>
    <w:p>
      <w:pPr>
        <w:spacing w:line="400" w:lineRule="exact"/>
        <w:ind w:right="240" w:firstLine="5040" w:firstLineChars="2100"/>
        <w:jc w:val="both"/>
        <w:rPr>
          <w:rFonts w:hint="eastAsia"/>
          <w:sz w:val="24"/>
          <w:lang w:val="en-US" w:eastAsia="zh-CN"/>
        </w:rPr>
      </w:pPr>
    </w:p>
    <w:p>
      <w:pPr>
        <w:spacing w:line="400" w:lineRule="exact"/>
        <w:ind w:right="240" w:firstLine="5040" w:firstLineChars="2100"/>
        <w:jc w:val="both"/>
        <w:rPr>
          <w:rFonts w:hint="eastAsia"/>
          <w:sz w:val="24"/>
          <w:lang w:val="en-US" w:eastAsia="zh-CN"/>
        </w:rPr>
      </w:pPr>
    </w:p>
    <w:p>
      <w:pPr>
        <w:spacing w:line="400" w:lineRule="exact"/>
        <w:ind w:right="240" w:firstLine="5040" w:firstLineChars="2100"/>
        <w:jc w:val="both"/>
        <w:rPr>
          <w:rFonts w:hint="eastAsia"/>
          <w:sz w:val="24"/>
          <w:lang w:val="en-US" w:eastAsia="zh-CN"/>
        </w:rPr>
      </w:pPr>
    </w:p>
    <w:p>
      <w:pPr>
        <w:spacing w:line="400" w:lineRule="exact"/>
        <w:ind w:right="240" w:firstLine="5040" w:firstLineChars="2100"/>
        <w:jc w:val="both"/>
        <w:rPr>
          <w:rFonts w:hint="eastAsia"/>
          <w:sz w:val="24"/>
          <w:lang w:val="en-US" w:eastAsia="zh-CN"/>
        </w:rPr>
      </w:pPr>
    </w:p>
    <w:p>
      <w:pPr>
        <w:spacing w:line="400" w:lineRule="exact"/>
        <w:ind w:right="240" w:firstLine="5040" w:firstLineChars="2100"/>
        <w:jc w:val="both"/>
        <w:rPr>
          <w:rFonts w:hint="eastAsia"/>
          <w:sz w:val="24"/>
          <w:lang w:val="en-US" w:eastAsia="zh-CN"/>
        </w:rPr>
      </w:pPr>
    </w:p>
    <w:p>
      <w:pPr>
        <w:spacing w:line="400" w:lineRule="exact"/>
        <w:ind w:right="240" w:firstLine="5040" w:firstLineChars="2100"/>
        <w:jc w:val="both"/>
        <w:rPr>
          <w:rFonts w:hint="eastAsia"/>
          <w:sz w:val="24"/>
          <w:lang w:val="en-US" w:eastAsia="zh-CN"/>
        </w:rPr>
      </w:pPr>
    </w:p>
    <w:p>
      <w:pPr>
        <w:spacing w:line="400" w:lineRule="exact"/>
        <w:ind w:right="240" w:firstLine="5040" w:firstLineChars="2100"/>
        <w:jc w:val="both"/>
        <w:rPr>
          <w:rFonts w:hint="eastAsia"/>
          <w:sz w:val="24"/>
          <w:lang w:val="en-US" w:eastAsia="zh-CN"/>
        </w:rPr>
      </w:pPr>
    </w:p>
    <w:p>
      <w:pPr>
        <w:spacing w:line="400" w:lineRule="exact"/>
        <w:ind w:right="240" w:firstLine="5040" w:firstLineChars="2100"/>
        <w:jc w:val="both"/>
        <w:rPr>
          <w:rFonts w:hint="eastAsia"/>
          <w:sz w:val="24"/>
          <w:lang w:val="en-US" w:eastAsia="zh-CN"/>
        </w:rPr>
      </w:pPr>
    </w:p>
    <w:p>
      <w:pPr>
        <w:spacing w:line="400" w:lineRule="exact"/>
        <w:ind w:right="240" w:firstLine="5040" w:firstLineChars="2100"/>
        <w:jc w:val="both"/>
        <w:rPr>
          <w:rFonts w:hint="eastAsia"/>
          <w:sz w:val="24"/>
          <w:lang w:val="en-US" w:eastAsia="zh-CN"/>
        </w:rPr>
      </w:pPr>
    </w:p>
    <w:p>
      <w:pPr>
        <w:spacing w:line="400" w:lineRule="exact"/>
        <w:ind w:right="240" w:firstLine="5040" w:firstLineChars="2100"/>
        <w:jc w:val="both"/>
        <w:rPr>
          <w:rFonts w:hint="eastAsia"/>
          <w:sz w:val="24"/>
          <w:lang w:val="en-US" w:eastAsia="zh-CN"/>
        </w:rPr>
      </w:pPr>
    </w:p>
    <w:p>
      <w:pPr>
        <w:spacing w:line="400" w:lineRule="exact"/>
        <w:ind w:right="240" w:firstLine="5040" w:firstLineChars="2100"/>
        <w:jc w:val="both"/>
        <w:rPr>
          <w:rFonts w:hint="eastAsia"/>
          <w:sz w:val="24"/>
          <w:lang w:val="en-US" w:eastAsia="zh-CN"/>
        </w:rPr>
      </w:pPr>
    </w:p>
    <w:p>
      <w:pPr>
        <w:spacing w:line="400" w:lineRule="exact"/>
        <w:ind w:right="240" w:firstLine="5040" w:firstLineChars="2100"/>
        <w:jc w:val="both"/>
        <w:rPr>
          <w:rFonts w:hint="eastAsia"/>
          <w:sz w:val="24"/>
          <w:lang w:val="en-US" w:eastAsia="zh-CN"/>
        </w:rPr>
      </w:pPr>
    </w:p>
    <w:p>
      <w:pPr>
        <w:spacing w:line="400" w:lineRule="exact"/>
        <w:ind w:right="240" w:firstLine="5040" w:firstLineChars="2100"/>
        <w:jc w:val="both"/>
        <w:rPr>
          <w:rFonts w:hint="eastAsia"/>
          <w:sz w:val="24"/>
          <w:lang w:val="en-US" w:eastAsia="zh-CN"/>
        </w:rPr>
      </w:pPr>
    </w:p>
    <w:p>
      <w:pPr>
        <w:spacing w:line="400" w:lineRule="exact"/>
        <w:ind w:right="240" w:firstLine="5040" w:firstLineChars="2100"/>
        <w:jc w:val="both"/>
        <w:rPr>
          <w:rFonts w:hint="eastAsia"/>
          <w:sz w:val="24"/>
          <w:lang w:val="en-US" w:eastAsia="zh-CN"/>
        </w:rPr>
      </w:pPr>
    </w:p>
    <w:p>
      <w:pPr>
        <w:spacing w:line="400" w:lineRule="exact"/>
        <w:ind w:right="240" w:firstLine="5040" w:firstLineChars="2100"/>
        <w:jc w:val="both"/>
        <w:rPr>
          <w:rFonts w:hint="eastAsia"/>
          <w:sz w:val="24"/>
          <w:lang w:val="en-US" w:eastAsia="zh-CN"/>
        </w:rPr>
      </w:pPr>
    </w:p>
    <w:p>
      <w:pPr>
        <w:spacing w:line="400" w:lineRule="exact"/>
        <w:ind w:right="240" w:firstLine="5040" w:firstLineChars="2100"/>
        <w:jc w:val="both"/>
        <w:rPr>
          <w:rFonts w:hint="eastAsia"/>
          <w:sz w:val="24"/>
          <w:lang w:val="en-US" w:eastAsia="zh-CN"/>
        </w:rPr>
      </w:pPr>
    </w:p>
    <w:p>
      <w:pPr>
        <w:pStyle w:val="3"/>
        <w:bidi w:val="0"/>
        <w:jc w:val="center"/>
      </w:pPr>
      <w:bookmarkStart w:id="313" w:name="_Toc10640"/>
      <w:bookmarkStart w:id="314" w:name="_Toc57364665"/>
      <w:bookmarkStart w:id="315" w:name="_Toc25741"/>
      <w:bookmarkStart w:id="316" w:name="_Toc57621352"/>
      <w:bookmarkStart w:id="317" w:name="_Toc57384916"/>
      <w:bookmarkStart w:id="318" w:name="_Toc57387428"/>
      <w:bookmarkStart w:id="319" w:name="_Toc57385537"/>
      <w:bookmarkStart w:id="320" w:name="_Toc57384523"/>
      <w:bookmarkStart w:id="321" w:name="_Toc57386100"/>
      <w:bookmarkStart w:id="322" w:name="_Toc57387694"/>
      <w:r>
        <w:t>化工仿真与实训课程教学大纲</w:t>
      </w:r>
      <w:bookmarkEnd w:id="313"/>
      <w:bookmarkEnd w:id="314"/>
      <w:bookmarkEnd w:id="315"/>
      <w:bookmarkEnd w:id="316"/>
      <w:bookmarkEnd w:id="317"/>
      <w:bookmarkEnd w:id="318"/>
      <w:bookmarkEnd w:id="319"/>
      <w:bookmarkEnd w:id="320"/>
      <w:bookmarkEnd w:id="321"/>
      <w:bookmarkEnd w:id="322"/>
    </w:p>
    <w:p>
      <w:pPr>
        <w:spacing w:line="312" w:lineRule="auto"/>
        <w:jc w:val="center"/>
        <w:rPr>
          <w:b/>
          <w:bCs/>
          <w:sz w:val="30"/>
        </w:rPr>
      </w:pPr>
      <w:r>
        <w:rPr>
          <w:b/>
          <w:bCs/>
          <w:sz w:val="30"/>
        </w:rPr>
        <w:t>（</w:t>
      </w:r>
      <w:r>
        <w:rPr>
          <w:rFonts w:hint="eastAsia"/>
          <w:b/>
          <w:bCs/>
          <w:sz w:val="30"/>
          <w:szCs w:val="30"/>
        </w:rPr>
        <w:t>Chemical</w:t>
      </w:r>
      <w:r>
        <w:rPr>
          <w:b/>
          <w:bCs/>
          <w:sz w:val="30"/>
          <w:szCs w:val="30"/>
        </w:rPr>
        <w:t xml:space="preserve"> </w:t>
      </w:r>
      <w:r>
        <w:rPr>
          <w:rFonts w:hint="eastAsia"/>
          <w:b/>
          <w:bCs/>
          <w:sz w:val="30"/>
          <w:szCs w:val="30"/>
        </w:rPr>
        <w:t>Simulation</w:t>
      </w:r>
      <w:r>
        <w:rPr>
          <w:b/>
          <w:bCs/>
          <w:sz w:val="30"/>
          <w:szCs w:val="30"/>
        </w:rPr>
        <w:t xml:space="preserve"> </w:t>
      </w:r>
      <w:r>
        <w:rPr>
          <w:rFonts w:hint="eastAsia"/>
          <w:b/>
          <w:bCs/>
          <w:sz w:val="30"/>
          <w:szCs w:val="30"/>
        </w:rPr>
        <w:t>Training</w:t>
      </w:r>
      <w:r>
        <w:rPr>
          <w:b/>
          <w:bCs/>
          <w:sz w:val="30"/>
        </w:rPr>
        <w:t>）</w:t>
      </w:r>
    </w:p>
    <w:p>
      <w:pPr>
        <w:spacing w:line="360" w:lineRule="auto"/>
        <w:ind w:firstLine="551" w:firstLineChars="196"/>
        <w:rPr>
          <w:b/>
          <w:sz w:val="28"/>
          <w:szCs w:val="28"/>
        </w:rPr>
      </w:pPr>
      <w:r>
        <w:rPr>
          <w:b/>
          <w:sz w:val="28"/>
          <w:szCs w:val="28"/>
        </w:rPr>
        <w:t>一、课程概况</w:t>
      </w:r>
    </w:p>
    <w:p>
      <w:pPr>
        <w:spacing w:line="360" w:lineRule="auto"/>
        <w:ind w:firstLine="482" w:firstLineChars="200"/>
        <w:rPr>
          <w:b/>
          <w:sz w:val="28"/>
          <w:szCs w:val="28"/>
        </w:rPr>
      </w:pPr>
      <w:r>
        <w:rPr>
          <w:rFonts w:ascii="宋体" w:hAnsi="宋体"/>
          <w:b/>
          <w:bCs/>
          <w:kern w:val="0"/>
          <w:sz w:val="24"/>
        </w:rPr>
        <w:t>课程代码</w:t>
      </w:r>
      <w:r>
        <w:rPr>
          <w:rFonts w:ascii="宋体" w:hAnsi="宋体"/>
          <w:b/>
          <w:kern w:val="0"/>
          <w:sz w:val="24"/>
        </w:rPr>
        <w:t>：</w:t>
      </w:r>
      <w:r>
        <w:rPr>
          <w:rFonts w:hint="eastAsia"/>
          <w:sz w:val="24"/>
        </w:rPr>
        <w:t>2</w:t>
      </w:r>
      <w:r>
        <w:rPr>
          <w:sz w:val="24"/>
        </w:rPr>
        <w:t>501</w:t>
      </w:r>
      <w:r>
        <w:rPr>
          <w:rFonts w:hint="eastAsia"/>
          <w:sz w:val="24"/>
        </w:rPr>
        <w:t>805</w:t>
      </w:r>
    </w:p>
    <w:p>
      <w:pPr>
        <w:spacing w:line="360" w:lineRule="auto"/>
        <w:ind w:firstLine="482" w:firstLineChars="200"/>
        <w:rPr>
          <w:rFonts w:ascii="宋体" w:hAnsi="宋体"/>
          <w:b/>
          <w:kern w:val="0"/>
          <w:sz w:val="24"/>
        </w:rPr>
      </w:pPr>
      <w:r>
        <w:rPr>
          <w:rFonts w:ascii="宋体" w:hAnsi="宋体"/>
          <w:b/>
          <w:bCs/>
          <w:kern w:val="0"/>
          <w:sz w:val="24"/>
        </w:rPr>
        <w:t>学    分</w:t>
      </w:r>
      <w:r>
        <w:rPr>
          <w:rFonts w:ascii="宋体" w:hAnsi="宋体"/>
          <w:b/>
          <w:kern w:val="0"/>
          <w:sz w:val="24"/>
        </w:rPr>
        <w:t xml:space="preserve">： </w:t>
      </w:r>
      <w:r>
        <w:rPr>
          <w:rFonts w:hint="eastAsia"/>
          <w:color w:val="000000"/>
          <w:sz w:val="24"/>
        </w:rPr>
        <w:t>2</w:t>
      </w:r>
    </w:p>
    <w:p>
      <w:pPr>
        <w:spacing w:line="360" w:lineRule="auto"/>
        <w:ind w:firstLine="482" w:firstLineChars="200"/>
        <w:rPr>
          <w:rFonts w:ascii="宋体" w:hAnsi="宋体"/>
          <w:kern w:val="0"/>
          <w:sz w:val="24"/>
        </w:rPr>
      </w:pPr>
      <w:r>
        <w:rPr>
          <w:rFonts w:ascii="宋体" w:hAnsi="宋体"/>
          <w:b/>
          <w:bCs/>
          <w:kern w:val="0"/>
          <w:sz w:val="24"/>
        </w:rPr>
        <w:t>学    时</w:t>
      </w:r>
      <w:r>
        <w:rPr>
          <w:rFonts w:ascii="宋体" w:hAnsi="宋体"/>
          <w:b/>
          <w:kern w:val="0"/>
          <w:sz w:val="24"/>
        </w:rPr>
        <w:t>：</w:t>
      </w:r>
      <w:r>
        <w:rPr>
          <w:rFonts w:ascii="宋体" w:hAnsi="宋体"/>
          <w:kern w:val="0"/>
          <w:sz w:val="24"/>
        </w:rPr>
        <w:t xml:space="preserve"> （其中：讲授学时</w:t>
      </w:r>
      <w:r>
        <w:rPr>
          <w:rFonts w:hint="eastAsia" w:ascii="宋体" w:hAnsi="宋体"/>
          <w:kern w:val="0"/>
          <w:sz w:val="24"/>
        </w:rPr>
        <w:t>0  ，</w:t>
      </w:r>
      <w:r>
        <w:rPr>
          <w:rFonts w:ascii="宋体" w:hAnsi="宋体"/>
          <w:kern w:val="0"/>
          <w:sz w:val="24"/>
        </w:rPr>
        <w:t xml:space="preserve"> 实验学时</w:t>
      </w:r>
      <w:r>
        <w:rPr>
          <w:rFonts w:hint="eastAsia" w:ascii="宋体" w:hAnsi="宋体"/>
          <w:kern w:val="0"/>
          <w:sz w:val="24"/>
        </w:rPr>
        <w:t>0  ，</w:t>
      </w:r>
      <w:r>
        <w:rPr>
          <w:rFonts w:ascii="宋体" w:hAnsi="宋体"/>
          <w:kern w:val="0"/>
          <w:sz w:val="24"/>
        </w:rPr>
        <w:t>上机学时</w:t>
      </w:r>
      <w:r>
        <w:rPr>
          <w:rFonts w:hint="eastAsia" w:ascii="宋体" w:hAnsi="宋体"/>
          <w:kern w:val="0"/>
          <w:sz w:val="24"/>
        </w:rPr>
        <w:t xml:space="preserve">24  </w:t>
      </w:r>
      <w:r>
        <w:rPr>
          <w:rFonts w:ascii="宋体" w:hAnsi="宋体"/>
          <w:kern w:val="0"/>
          <w:sz w:val="24"/>
        </w:rPr>
        <w:t xml:space="preserve"> ）</w:t>
      </w:r>
    </w:p>
    <w:p>
      <w:pPr>
        <w:spacing w:line="360" w:lineRule="auto"/>
        <w:ind w:firstLine="482" w:firstLineChars="200"/>
        <w:rPr>
          <w:rFonts w:ascii="宋体" w:hAnsi="宋体"/>
          <w:b/>
          <w:bCs/>
          <w:kern w:val="0"/>
          <w:sz w:val="24"/>
        </w:rPr>
      </w:pPr>
      <w:r>
        <w:rPr>
          <w:rFonts w:ascii="宋体" w:hAnsi="宋体"/>
          <w:b/>
          <w:bCs/>
          <w:kern w:val="0"/>
          <w:sz w:val="24"/>
        </w:rPr>
        <w:t>先修课程</w:t>
      </w:r>
      <w:r>
        <w:rPr>
          <w:rFonts w:ascii="宋体" w:hAnsi="宋体"/>
          <w:b/>
          <w:kern w:val="0"/>
          <w:sz w:val="24"/>
        </w:rPr>
        <w:t>：</w:t>
      </w:r>
      <w:r>
        <w:rPr>
          <w:rFonts w:ascii="宋体" w:hAnsi="宋体"/>
          <w:kern w:val="0"/>
          <w:sz w:val="24"/>
        </w:rPr>
        <w:t>化工原理、化工原理实验、化工原理课程设计</w:t>
      </w:r>
    </w:p>
    <w:p>
      <w:pPr>
        <w:spacing w:line="360" w:lineRule="auto"/>
        <w:ind w:firstLine="482" w:firstLineChars="200"/>
        <w:rPr>
          <w:rFonts w:ascii="宋体" w:hAnsi="宋体"/>
          <w:kern w:val="0"/>
          <w:sz w:val="24"/>
        </w:rPr>
      </w:pPr>
      <w:r>
        <w:rPr>
          <w:rFonts w:ascii="宋体" w:hAnsi="宋体"/>
          <w:b/>
          <w:bCs/>
          <w:kern w:val="0"/>
          <w:sz w:val="24"/>
        </w:rPr>
        <w:t>适用专业</w:t>
      </w:r>
      <w:r>
        <w:rPr>
          <w:rFonts w:ascii="宋体" w:hAnsi="宋体"/>
          <w:b/>
          <w:kern w:val="0"/>
          <w:sz w:val="24"/>
        </w:rPr>
        <w:t>：</w:t>
      </w:r>
      <w:r>
        <w:rPr>
          <w:rFonts w:ascii="宋体" w:hAnsi="宋体"/>
          <w:kern w:val="0"/>
          <w:sz w:val="24"/>
        </w:rPr>
        <w:t xml:space="preserve">化学工程与工艺、应用化学                          </w:t>
      </w:r>
    </w:p>
    <w:p>
      <w:pPr>
        <w:spacing w:line="360" w:lineRule="auto"/>
        <w:ind w:firstLine="482" w:firstLineChars="200"/>
        <w:rPr>
          <w:rFonts w:ascii="宋体" w:hAnsi="宋体"/>
          <w:kern w:val="0"/>
          <w:sz w:val="24"/>
        </w:rPr>
      </w:pPr>
      <w:r>
        <w:rPr>
          <w:rFonts w:hint="eastAsia" w:ascii="宋体" w:hAnsi="宋体"/>
          <w:b/>
          <w:bCs/>
          <w:kern w:val="0"/>
          <w:sz w:val="24"/>
        </w:rPr>
        <w:t>建议</w:t>
      </w:r>
      <w:r>
        <w:rPr>
          <w:rFonts w:ascii="宋体" w:hAnsi="宋体"/>
          <w:b/>
          <w:bCs/>
          <w:kern w:val="0"/>
          <w:sz w:val="24"/>
        </w:rPr>
        <w:t>教材</w:t>
      </w:r>
      <w:r>
        <w:rPr>
          <w:rFonts w:ascii="宋体" w:hAnsi="宋体"/>
          <w:b/>
          <w:kern w:val="0"/>
          <w:sz w:val="24"/>
        </w:rPr>
        <w:t>：</w:t>
      </w:r>
      <w:r>
        <w:rPr>
          <w:rFonts w:ascii="宋体" w:hAnsi="宋体"/>
          <w:kern w:val="0"/>
          <w:sz w:val="24"/>
        </w:rPr>
        <w:t>《</w:t>
      </w:r>
      <w:r>
        <w:rPr>
          <w:rFonts w:hint="eastAsia" w:ascii="宋体" w:hAnsi="宋体"/>
          <w:bCs/>
          <w:kern w:val="0"/>
          <w:sz w:val="24"/>
        </w:rPr>
        <w:t>化工仿真实习指南</w:t>
      </w:r>
      <w:r>
        <w:rPr>
          <w:rFonts w:ascii="宋体" w:hAnsi="宋体"/>
          <w:kern w:val="0"/>
          <w:sz w:val="24"/>
        </w:rPr>
        <w:t>》</w:t>
      </w:r>
      <w:r>
        <w:rPr>
          <w:rFonts w:hint="eastAsia" w:ascii="宋体" w:hAnsi="宋体"/>
          <w:kern w:val="0"/>
          <w:sz w:val="24"/>
        </w:rPr>
        <w:t>（第三版）</w:t>
      </w:r>
      <w:r>
        <w:rPr>
          <w:kern w:val="0"/>
          <w:sz w:val="24"/>
        </w:rPr>
        <w:t>，</w:t>
      </w:r>
      <w:r>
        <w:rPr>
          <w:bCs/>
          <w:kern w:val="0"/>
          <w:sz w:val="24"/>
        </w:rPr>
        <w:t>编者</w:t>
      </w:r>
      <w:r>
        <w:rPr>
          <w:rFonts w:hint="eastAsia"/>
          <w:bCs/>
          <w:kern w:val="0"/>
          <w:sz w:val="24"/>
        </w:rPr>
        <w:t>：吴重光</w:t>
      </w:r>
      <w:r>
        <w:rPr>
          <w:kern w:val="0"/>
          <w:sz w:val="24"/>
        </w:rPr>
        <w:t>，</w:t>
      </w:r>
      <w:r>
        <w:rPr>
          <w:rFonts w:hint="eastAsia"/>
          <w:kern w:val="0"/>
          <w:sz w:val="24"/>
        </w:rPr>
        <w:t>化学工业出版社</w:t>
      </w:r>
      <w:r>
        <w:rPr>
          <w:kern w:val="0"/>
          <w:sz w:val="24"/>
        </w:rPr>
        <w:t>，出版时间</w:t>
      </w:r>
      <w:r>
        <w:rPr>
          <w:rFonts w:hint="eastAsia"/>
          <w:kern w:val="0"/>
          <w:sz w:val="24"/>
        </w:rPr>
        <w:t>20</w:t>
      </w:r>
      <w:r>
        <w:rPr>
          <w:kern w:val="0"/>
          <w:sz w:val="24"/>
        </w:rPr>
        <w:t>1</w:t>
      </w:r>
      <w:r>
        <w:rPr>
          <w:rFonts w:hint="eastAsia"/>
          <w:kern w:val="0"/>
          <w:sz w:val="24"/>
        </w:rPr>
        <w:t>9年</w:t>
      </w:r>
      <w:r>
        <w:rPr>
          <w:kern w:val="0"/>
          <w:sz w:val="24"/>
        </w:rPr>
        <w:t>1</w:t>
      </w:r>
      <w:r>
        <w:rPr>
          <w:rFonts w:hint="eastAsia"/>
          <w:kern w:val="0"/>
          <w:sz w:val="24"/>
        </w:rPr>
        <w:t>月</w:t>
      </w:r>
    </w:p>
    <w:p>
      <w:pPr>
        <w:spacing w:line="360" w:lineRule="auto"/>
        <w:ind w:firstLine="482" w:firstLineChars="200"/>
        <w:rPr>
          <w:kern w:val="0"/>
          <w:sz w:val="24"/>
        </w:rPr>
      </w:pPr>
      <w:r>
        <w:rPr>
          <w:b/>
          <w:bCs/>
          <w:kern w:val="0"/>
          <w:sz w:val="24"/>
        </w:rPr>
        <w:t>课程归口：</w:t>
      </w:r>
      <w:r>
        <w:rPr>
          <w:rFonts w:hint="eastAsia"/>
          <w:kern w:val="0"/>
          <w:sz w:val="24"/>
        </w:rPr>
        <w:t>化工与材料</w:t>
      </w:r>
      <w:r>
        <w:rPr>
          <w:kern w:val="0"/>
          <w:sz w:val="24"/>
        </w:rPr>
        <w:t>学院</w:t>
      </w:r>
    </w:p>
    <w:p>
      <w:pPr>
        <w:spacing w:line="360" w:lineRule="auto"/>
        <w:ind w:firstLine="482" w:firstLineChars="200"/>
        <w:rPr>
          <w:kern w:val="0"/>
          <w:sz w:val="24"/>
        </w:rPr>
      </w:pPr>
      <w:r>
        <w:rPr>
          <w:b/>
          <w:bCs/>
          <w:kern w:val="0"/>
          <w:sz w:val="24"/>
        </w:rPr>
        <w:t>课程团队：</w:t>
      </w:r>
      <w:r>
        <w:rPr>
          <w:rFonts w:hint="eastAsia"/>
          <w:kern w:val="0"/>
          <w:sz w:val="24"/>
        </w:rPr>
        <w:t>曹桂萍、苗雪佩、赵晓蕾、张微、吴泽颖、陈依漪、魏雪姣、蒋夫花、董爽、刘宝亮</w:t>
      </w:r>
    </w:p>
    <w:p>
      <w:pPr>
        <w:autoSpaceDE w:val="0"/>
        <w:autoSpaceDN w:val="0"/>
        <w:adjustRightInd w:val="0"/>
        <w:spacing w:line="360" w:lineRule="auto"/>
        <w:ind w:firstLine="482" w:firstLineChars="200"/>
        <w:jc w:val="left"/>
        <w:rPr>
          <w:sz w:val="24"/>
        </w:rPr>
      </w:pPr>
      <w:r>
        <w:rPr>
          <w:rFonts w:hint="eastAsia" w:ascii="宋体" w:hAnsi="宋体"/>
          <w:b/>
          <w:bCs/>
          <w:kern w:val="0"/>
          <w:sz w:val="24"/>
        </w:rPr>
        <w:t>课程的性质与任务：</w:t>
      </w:r>
      <w:r>
        <w:rPr>
          <w:rFonts w:hint="eastAsia"/>
          <w:kern w:val="0"/>
          <w:sz w:val="24"/>
        </w:rPr>
        <w:t>本课程</w:t>
      </w:r>
      <w:r>
        <w:rPr>
          <w:kern w:val="0"/>
          <w:sz w:val="24"/>
        </w:rPr>
        <w:t>是</w:t>
      </w:r>
      <w:r>
        <w:rPr>
          <w:rFonts w:hint="eastAsia" w:ascii="宋体" w:hAnsi="宋体"/>
          <w:bCs/>
          <w:kern w:val="0"/>
          <w:sz w:val="24"/>
        </w:rPr>
        <w:t>化学工程与工艺</w:t>
      </w:r>
      <w:r>
        <w:rPr>
          <w:kern w:val="0"/>
          <w:sz w:val="24"/>
        </w:rPr>
        <w:t>专业以及应用化学专业的一门重要实践课程</w:t>
      </w:r>
      <w:r>
        <w:rPr>
          <w:sz w:val="24"/>
        </w:rPr>
        <w:t>。</w:t>
      </w:r>
      <w:r>
        <w:rPr>
          <w:rFonts w:hint="eastAsia"/>
          <w:sz w:val="24"/>
        </w:rPr>
        <w:t>是在学生完成了基本理论、基本课程实验，具有一定的理论和实践技能的基础上，以场境模拟、计算机仿真的形式，完成具有一定综合性质的实训项目，形成一定的综合能力的课程。教学过程全部使用仿真实训软件，重点着眼于化工单元操作过程和常减压装置的训练。通过多媒体演示，形象地显示化工生产工艺流程，实现化工生产过程的控制。通过学习可以提高学的自主学习的能力、动手能力，使学生更全面、具体和深入地了解不同的生产装置，达到具有针性和侧重性地组织实训教学。在仿真模拟训练中总结生产操作的经验，吸取失败的教训，为毕业后走上生产岗位打下基础。</w:t>
      </w:r>
    </w:p>
    <w:p>
      <w:pPr>
        <w:spacing w:line="360" w:lineRule="auto"/>
        <w:rPr>
          <w:b/>
          <w:sz w:val="28"/>
          <w:szCs w:val="28"/>
        </w:rPr>
      </w:pPr>
      <w:r>
        <w:rPr>
          <w:b/>
          <w:sz w:val="28"/>
          <w:szCs w:val="28"/>
        </w:rPr>
        <w:t>二、课程目标及对毕业要求观测点的支撑</w:t>
      </w:r>
    </w:p>
    <w:tbl>
      <w:tblPr>
        <w:tblStyle w:val="1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118"/>
        <w:gridCol w:w="2292"/>
        <w:gridCol w:w="3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38" w:type="dxa"/>
            <w:shd w:val="clear" w:color="auto" w:fill="auto"/>
            <w:noWrap/>
            <w:vAlign w:val="center"/>
          </w:tcPr>
          <w:p>
            <w:pPr>
              <w:widowControl/>
              <w:jc w:val="center"/>
              <w:rPr>
                <w:b/>
                <w:bCs/>
                <w:kern w:val="0"/>
                <w:szCs w:val="21"/>
              </w:rPr>
            </w:pPr>
            <w:r>
              <w:rPr>
                <w:b/>
                <w:bCs/>
                <w:kern w:val="0"/>
                <w:szCs w:val="21"/>
              </w:rPr>
              <w:t>序号</w:t>
            </w:r>
          </w:p>
        </w:tc>
        <w:tc>
          <w:tcPr>
            <w:tcW w:w="3118" w:type="dxa"/>
            <w:shd w:val="clear" w:color="auto" w:fill="auto"/>
            <w:noWrap/>
            <w:vAlign w:val="center"/>
          </w:tcPr>
          <w:p>
            <w:pPr>
              <w:widowControl/>
              <w:jc w:val="center"/>
              <w:rPr>
                <w:b/>
                <w:bCs/>
                <w:kern w:val="0"/>
                <w:szCs w:val="21"/>
              </w:rPr>
            </w:pPr>
            <w:r>
              <w:rPr>
                <w:b/>
                <w:bCs/>
                <w:kern w:val="0"/>
                <w:szCs w:val="21"/>
              </w:rPr>
              <w:t>课程目标</w:t>
            </w:r>
          </w:p>
          <w:p>
            <w:pPr>
              <w:widowControl/>
              <w:jc w:val="center"/>
              <w:rPr>
                <w:b/>
                <w:bCs/>
                <w:kern w:val="0"/>
                <w:szCs w:val="21"/>
              </w:rPr>
            </w:pPr>
          </w:p>
        </w:tc>
        <w:tc>
          <w:tcPr>
            <w:tcW w:w="2292" w:type="dxa"/>
            <w:shd w:val="clear" w:color="auto" w:fill="auto"/>
            <w:noWrap/>
            <w:vAlign w:val="center"/>
          </w:tcPr>
          <w:p>
            <w:pPr>
              <w:widowControl/>
              <w:jc w:val="center"/>
              <w:rPr>
                <w:b/>
                <w:bCs/>
                <w:kern w:val="0"/>
                <w:szCs w:val="21"/>
              </w:rPr>
            </w:pPr>
            <w:r>
              <w:rPr>
                <w:b/>
                <w:bCs/>
                <w:kern w:val="0"/>
                <w:szCs w:val="21"/>
              </w:rPr>
              <w:t>支撑毕业要求观测点</w:t>
            </w:r>
          </w:p>
        </w:tc>
        <w:tc>
          <w:tcPr>
            <w:tcW w:w="3066" w:type="dxa"/>
            <w:shd w:val="clear" w:color="auto" w:fill="auto"/>
            <w:noWrap/>
            <w:vAlign w:val="center"/>
          </w:tcPr>
          <w:p>
            <w:pPr>
              <w:widowControl/>
              <w:jc w:val="center"/>
              <w:rPr>
                <w:b/>
                <w:bCs/>
                <w:kern w:val="0"/>
                <w:szCs w:val="21"/>
              </w:rPr>
            </w:pPr>
            <w:r>
              <w:rPr>
                <w:b/>
                <w:bCs/>
                <w:kern w:val="0"/>
                <w:szCs w:val="21"/>
              </w:rPr>
              <w:t>毕业要求</w:t>
            </w:r>
          </w:p>
          <w:p>
            <w:pPr>
              <w:widowControl/>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38" w:type="dxa"/>
            <w:shd w:val="clear" w:color="auto" w:fill="auto"/>
            <w:noWrap/>
            <w:vAlign w:val="center"/>
          </w:tcPr>
          <w:p>
            <w:pPr>
              <w:widowControl/>
              <w:jc w:val="center"/>
              <w:rPr>
                <w:kern w:val="0"/>
                <w:szCs w:val="21"/>
              </w:rPr>
            </w:pPr>
            <w:r>
              <w:rPr>
                <w:kern w:val="0"/>
                <w:szCs w:val="21"/>
              </w:rPr>
              <w:t>1</w:t>
            </w:r>
          </w:p>
        </w:tc>
        <w:tc>
          <w:tcPr>
            <w:tcW w:w="3118" w:type="dxa"/>
            <w:shd w:val="clear" w:color="auto" w:fill="auto"/>
            <w:noWrap/>
            <w:vAlign w:val="center"/>
          </w:tcPr>
          <w:p>
            <w:pPr>
              <w:rPr>
                <w:kern w:val="0"/>
                <w:szCs w:val="21"/>
              </w:rPr>
            </w:pPr>
            <w:r>
              <w:rPr>
                <w:b/>
                <w:kern w:val="0"/>
                <w:szCs w:val="21"/>
              </w:rPr>
              <w:t>目标1：</w:t>
            </w:r>
            <w:r>
              <w:rPr>
                <w:rFonts w:hint="eastAsia"/>
                <w:kern w:val="0"/>
                <w:szCs w:val="21"/>
              </w:rPr>
              <w:t>通过学生亲自动手进行反复操作，掌握实际生产中的应用各种工具解决问题等多项应用技能，提高学生动手能力。</w:t>
            </w:r>
          </w:p>
        </w:tc>
        <w:tc>
          <w:tcPr>
            <w:tcW w:w="2292" w:type="dxa"/>
            <w:shd w:val="clear" w:color="auto" w:fill="auto"/>
            <w:noWrap/>
            <w:vAlign w:val="center"/>
          </w:tcPr>
          <w:p>
            <w:pPr>
              <w:widowControl/>
              <w:rPr>
                <w:rFonts w:ascii="宋体" w:hAnsi="宋体" w:cs="宋体"/>
                <w:color w:val="000000"/>
                <w:kern w:val="0"/>
              </w:rPr>
            </w:pPr>
            <w:r>
              <w:rPr>
                <w:b/>
                <w:szCs w:val="21"/>
              </w:rPr>
              <w:t>观测点5-2</w:t>
            </w:r>
            <w:r>
              <w:rPr>
                <w:szCs w:val="21"/>
              </w:rPr>
              <w:t>：</w:t>
            </w:r>
            <w:r>
              <w:rPr>
                <w:rFonts w:hint="eastAsia" w:ascii="宋体" w:hAnsi="宋体" w:cs="宋体"/>
                <w:color w:val="000000"/>
                <w:kern w:val="0"/>
              </w:rPr>
              <w:t>能够针对化工产品开发、化工单元设计、化工过程设计等复 杂化工问题，选用合适的现代仪器、信息技术工具、工程工具和模拟软件，进行分析、计算与设计。</w:t>
            </w:r>
          </w:p>
        </w:tc>
        <w:tc>
          <w:tcPr>
            <w:tcW w:w="3066" w:type="dxa"/>
            <w:shd w:val="clear" w:color="auto" w:fill="auto"/>
            <w:noWrap/>
            <w:vAlign w:val="center"/>
          </w:tcPr>
          <w:p>
            <w:pPr>
              <w:widowControl/>
              <w:rPr>
                <w:kern w:val="0"/>
                <w:szCs w:val="21"/>
              </w:rPr>
            </w:pPr>
            <w:r>
              <w:rPr>
                <w:b/>
                <w:szCs w:val="21"/>
              </w:rPr>
              <w:t>毕业要求1</w:t>
            </w:r>
            <w:r>
              <w:rPr>
                <w:rFonts w:hint="eastAsia"/>
                <w:b/>
                <w:szCs w:val="21"/>
              </w:rPr>
              <w:t xml:space="preserve"> </w:t>
            </w:r>
            <w:r>
              <w:rPr>
                <w:rFonts w:hint="eastAsia"/>
                <w:szCs w:val="21"/>
              </w:rPr>
              <w:t>工程知识：能够将</w:t>
            </w:r>
            <w:r>
              <w:rPr>
                <w:rFonts w:hint="eastAsia" w:ascii="宋体" w:hAnsi="宋体" w:cs="宋体"/>
                <w:color w:val="000000"/>
                <w:kern w:val="0"/>
              </w:rPr>
              <w:t>合适的现代仪器、信息技术工具、工程工具和模拟软件</w:t>
            </w:r>
            <w:r>
              <w:rPr>
                <w:rFonts w:hint="eastAsia"/>
                <w:szCs w:val="21"/>
              </w:rPr>
              <w:t>和专业知识用于解决化学化工领域复杂工程问题。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38" w:type="dxa"/>
            <w:shd w:val="clear" w:color="auto" w:fill="auto"/>
            <w:noWrap/>
            <w:vAlign w:val="center"/>
          </w:tcPr>
          <w:p>
            <w:pPr>
              <w:widowControl/>
              <w:jc w:val="center"/>
              <w:rPr>
                <w:kern w:val="0"/>
                <w:szCs w:val="21"/>
              </w:rPr>
            </w:pPr>
            <w:r>
              <w:rPr>
                <w:rFonts w:hint="eastAsia"/>
                <w:kern w:val="0"/>
                <w:szCs w:val="21"/>
              </w:rPr>
              <w:t>2</w:t>
            </w:r>
          </w:p>
        </w:tc>
        <w:tc>
          <w:tcPr>
            <w:tcW w:w="3118" w:type="dxa"/>
            <w:shd w:val="clear" w:color="auto" w:fill="auto"/>
            <w:noWrap/>
            <w:vAlign w:val="center"/>
          </w:tcPr>
          <w:p>
            <w:pPr>
              <w:jc w:val="left"/>
              <w:rPr>
                <w:sz w:val="24"/>
              </w:rPr>
            </w:pPr>
            <w:r>
              <w:rPr>
                <w:b/>
                <w:kern w:val="0"/>
                <w:szCs w:val="21"/>
              </w:rPr>
              <w:t>目标2：</w:t>
            </w:r>
            <w:r>
              <w:rPr>
                <w:rFonts w:hint="eastAsia"/>
                <w:kern w:val="0"/>
                <w:szCs w:val="21"/>
              </w:rPr>
              <w:t>让学生了解和掌握化工专业知识在实际生产中的应用方法，将所学专业知识与生产实践相结合。</w:t>
            </w:r>
          </w:p>
          <w:p>
            <w:pPr>
              <w:rPr>
                <w:b/>
                <w:kern w:val="0"/>
                <w:szCs w:val="21"/>
              </w:rPr>
            </w:pPr>
          </w:p>
        </w:tc>
        <w:tc>
          <w:tcPr>
            <w:tcW w:w="2292" w:type="dxa"/>
            <w:shd w:val="clear" w:color="auto" w:fill="auto"/>
            <w:noWrap/>
            <w:vAlign w:val="center"/>
          </w:tcPr>
          <w:p>
            <w:pPr>
              <w:widowControl/>
              <w:rPr>
                <w:kern w:val="0"/>
                <w:szCs w:val="21"/>
              </w:rPr>
            </w:pPr>
            <w:r>
              <w:rPr>
                <w:b/>
                <w:szCs w:val="21"/>
              </w:rPr>
              <w:t>观测点6-1</w:t>
            </w:r>
            <w:r>
              <w:rPr>
                <w:szCs w:val="21"/>
              </w:rPr>
              <w:t>：</w:t>
            </w:r>
            <w:r>
              <w:rPr>
                <w:rFonts w:hint="eastAsia"/>
                <w:color w:val="000000"/>
                <w:kern w:val="0"/>
              </w:rPr>
              <w:t>具有工程实习和社会实践经历。</w:t>
            </w:r>
          </w:p>
        </w:tc>
        <w:tc>
          <w:tcPr>
            <w:tcW w:w="3066" w:type="dxa"/>
            <w:shd w:val="clear" w:color="auto" w:fill="auto"/>
            <w:noWrap/>
            <w:vAlign w:val="center"/>
          </w:tcPr>
          <w:p>
            <w:pPr>
              <w:widowControl/>
              <w:rPr>
                <w:b/>
                <w:szCs w:val="21"/>
              </w:rPr>
            </w:pPr>
            <w:r>
              <w:rPr>
                <w:b/>
                <w:szCs w:val="21"/>
              </w:rPr>
              <w:t>毕业要求2</w:t>
            </w:r>
            <w:r>
              <w:rPr>
                <w:rFonts w:hint="eastAsia"/>
                <w:b/>
                <w:szCs w:val="21"/>
              </w:rPr>
              <w:t xml:space="preserve"> </w:t>
            </w:r>
            <w:r>
              <w:rPr>
                <w:rFonts w:hint="eastAsia"/>
                <w:szCs w:val="21"/>
              </w:rPr>
              <w:t>工程知识：</w:t>
            </w:r>
            <w:r>
              <w:rPr>
                <w:rFonts w:hint="eastAsia"/>
                <w:kern w:val="0"/>
                <w:szCs w:val="21"/>
              </w:rPr>
              <w:t>了解和掌握化工专业知识</w:t>
            </w:r>
            <w:r>
              <w:rPr>
                <w:rFonts w:hint="eastAsia"/>
                <w:szCs w:val="21"/>
              </w:rPr>
              <w:t>用于解决化学化工领域工程的实际问题。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38" w:type="dxa"/>
            <w:shd w:val="clear" w:color="auto" w:fill="auto"/>
            <w:noWrap/>
            <w:vAlign w:val="center"/>
          </w:tcPr>
          <w:p>
            <w:pPr>
              <w:widowControl/>
              <w:jc w:val="center"/>
              <w:rPr>
                <w:kern w:val="0"/>
                <w:szCs w:val="21"/>
              </w:rPr>
            </w:pPr>
            <w:r>
              <w:rPr>
                <w:rFonts w:hint="eastAsia"/>
                <w:kern w:val="0"/>
                <w:szCs w:val="21"/>
              </w:rPr>
              <w:t>3</w:t>
            </w:r>
          </w:p>
        </w:tc>
        <w:tc>
          <w:tcPr>
            <w:tcW w:w="3118" w:type="dxa"/>
            <w:shd w:val="clear" w:color="auto" w:fill="auto"/>
            <w:noWrap/>
            <w:vAlign w:val="center"/>
          </w:tcPr>
          <w:p>
            <w:pPr>
              <w:jc w:val="left"/>
              <w:rPr>
                <w:kern w:val="0"/>
                <w:szCs w:val="21"/>
              </w:rPr>
            </w:pPr>
            <w:r>
              <w:rPr>
                <w:rFonts w:hint="eastAsia"/>
                <w:b/>
                <w:kern w:val="0"/>
                <w:szCs w:val="21"/>
              </w:rPr>
              <w:t>目标</w:t>
            </w:r>
            <w:r>
              <w:rPr>
                <w:b/>
                <w:kern w:val="0"/>
                <w:szCs w:val="21"/>
              </w:rPr>
              <w:t>3</w:t>
            </w:r>
            <w:r>
              <w:rPr>
                <w:rFonts w:hint="eastAsia"/>
                <w:b/>
                <w:kern w:val="0"/>
                <w:szCs w:val="21"/>
              </w:rPr>
              <w:t>：</w:t>
            </w:r>
            <w:r>
              <w:rPr>
                <w:kern w:val="0"/>
                <w:szCs w:val="21"/>
              </w:rPr>
              <w:t xml:space="preserve"> </w:t>
            </w:r>
            <w:r>
              <w:rPr>
                <w:rFonts w:hint="eastAsia"/>
                <w:kern w:val="0"/>
                <w:szCs w:val="21"/>
              </w:rPr>
              <w:t>仿真系统的智能教学功能，对学生的操作过程可进行实时跟踪测评，并指出其操作过程的对、错，提高学生自主学习和评价分析能力。</w:t>
            </w:r>
          </w:p>
          <w:p>
            <w:pPr>
              <w:rPr>
                <w:b/>
                <w:kern w:val="0"/>
                <w:szCs w:val="21"/>
              </w:rPr>
            </w:pPr>
          </w:p>
        </w:tc>
        <w:tc>
          <w:tcPr>
            <w:tcW w:w="2292" w:type="dxa"/>
            <w:shd w:val="clear" w:color="auto" w:fill="auto"/>
            <w:noWrap/>
            <w:vAlign w:val="center"/>
          </w:tcPr>
          <w:p>
            <w:pPr>
              <w:widowControl/>
              <w:rPr>
                <w:b/>
                <w:szCs w:val="21"/>
              </w:rPr>
            </w:pPr>
            <w:r>
              <w:rPr>
                <w:b/>
                <w:szCs w:val="21"/>
              </w:rPr>
              <w:t>观测点</w:t>
            </w:r>
            <w:r>
              <w:rPr>
                <w:rFonts w:hint="eastAsia"/>
                <w:b/>
                <w:color w:val="000000"/>
                <w:kern w:val="0"/>
              </w:rPr>
              <w:t>7-3</w:t>
            </w:r>
            <w:r>
              <w:rPr>
                <w:rFonts w:hint="eastAsia"/>
                <w:color w:val="000000"/>
                <w:kern w:val="0"/>
              </w:rPr>
              <w:t>：能够针对实际化工项目，评价其资源利用效率、污染物处置方案和安全防范措施，判断产品周期中可能对人类和环境造成损害的隐患</w:t>
            </w:r>
          </w:p>
        </w:tc>
        <w:tc>
          <w:tcPr>
            <w:tcW w:w="3066" w:type="dxa"/>
            <w:shd w:val="clear" w:color="auto" w:fill="auto"/>
            <w:noWrap/>
            <w:vAlign w:val="center"/>
          </w:tcPr>
          <w:p>
            <w:pPr>
              <w:widowControl/>
              <w:rPr>
                <w:b/>
                <w:szCs w:val="21"/>
              </w:rPr>
            </w:pPr>
            <w:r>
              <w:rPr>
                <w:b/>
                <w:color w:val="000000"/>
                <w:kern w:val="0"/>
                <w:szCs w:val="21"/>
              </w:rPr>
              <w:t>毕业要求3</w:t>
            </w:r>
            <w:r>
              <w:rPr>
                <w:rFonts w:hint="eastAsia"/>
                <w:b/>
                <w:color w:val="000000"/>
                <w:kern w:val="0"/>
                <w:szCs w:val="21"/>
              </w:rPr>
              <w:t xml:space="preserve"> </w:t>
            </w:r>
            <w:r>
              <w:rPr>
                <w:rFonts w:hint="eastAsia" w:ascii="宋体" w:hAnsi="宋体" w:cs="宋体"/>
                <w:color w:val="000000"/>
                <w:kern w:val="0"/>
              </w:rPr>
              <w:t>问题分析：能够应用科学的实验跟踪系统评价和分析复杂工程问题，以获得有效结论。</w:t>
            </w:r>
          </w:p>
        </w:tc>
      </w:tr>
    </w:tbl>
    <w:p>
      <w:pPr>
        <w:spacing w:line="360" w:lineRule="auto"/>
        <w:rPr>
          <w:b/>
          <w:sz w:val="28"/>
          <w:szCs w:val="28"/>
        </w:rPr>
      </w:pPr>
      <w:r>
        <w:rPr>
          <w:b/>
          <w:sz w:val="28"/>
          <w:szCs w:val="28"/>
        </w:rPr>
        <w:t>三、</w:t>
      </w:r>
      <w:r>
        <w:rPr>
          <w:rFonts w:hint="eastAsia"/>
          <w:b/>
          <w:sz w:val="28"/>
          <w:szCs w:val="28"/>
        </w:rPr>
        <w:t>教学</w:t>
      </w:r>
      <w:r>
        <w:rPr>
          <w:b/>
          <w:sz w:val="28"/>
          <w:szCs w:val="28"/>
        </w:rPr>
        <w:t>内容及要求</w:t>
      </w:r>
    </w:p>
    <w:tbl>
      <w:tblPr>
        <w:tblStyle w:val="10"/>
        <w:tblW w:w="9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2632"/>
        <w:gridCol w:w="1134"/>
        <w:gridCol w:w="2028"/>
        <w:gridCol w:w="699"/>
        <w:gridCol w:w="975"/>
        <w:gridCol w:w="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vAlign w:val="center"/>
          </w:tcPr>
          <w:p>
            <w:pPr>
              <w:jc w:val="center"/>
              <w:rPr>
                <w:b/>
                <w:bCs/>
                <w:szCs w:val="21"/>
              </w:rPr>
            </w:pPr>
            <w:r>
              <w:rPr>
                <w:b/>
                <w:bCs/>
                <w:szCs w:val="21"/>
              </w:rPr>
              <w:t>序号</w:t>
            </w:r>
          </w:p>
        </w:tc>
        <w:tc>
          <w:tcPr>
            <w:tcW w:w="2632" w:type="dxa"/>
            <w:shd w:val="clear" w:color="auto" w:fill="auto"/>
            <w:vAlign w:val="center"/>
          </w:tcPr>
          <w:p>
            <w:pPr>
              <w:jc w:val="center"/>
              <w:rPr>
                <w:b/>
                <w:bCs/>
                <w:szCs w:val="21"/>
              </w:rPr>
            </w:pPr>
            <w:r>
              <w:rPr>
                <w:b/>
                <w:bCs/>
                <w:szCs w:val="21"/>
              </w:rPr>
              <w:t>教学内容</w:t>
            </w:r>
          </w:p>
        </w:tc>
        <w:tc>
          <w:tcPr>
            <w:tcW w:w="1134" w:type="dxa"/>
            <w:shd w:val="clear" w:color="auto" w:fill="auto"/>
            <w:vAlign w:val="center"/>
          </w:tcPr>
          <w:p>
            <w:pPr>
              <w:jc w:val="center"/>
              <w:rPr>
                <w:b/>
                <w:bCs/>
                <w:szCs w:val="21"/>
              </w:rPr>
            </w:pPr>
            <w:r>
              <w:rPr>
                <w:b/>
                <w:bCs/>
                <w:szCs w:val="21"/>
              </w:rPr>
              <w:t>思政元素</w:t>
            </w:r>
          </w:p>
        </w:tc>
        <w:tc>
          <w:tcPr>
            <w:tcW w:w="2028" w:type="dxa"/>
            <w:shd w:val="clear" w:color="auto" w:fill="auto"/>
            <w:vAlign w:val="center"/>
          </w:tcPr>
          <w:p>
            <w:pPr>
              <w:jc w:val="center"/>
              <w:rPr>
                <w:b/>
                <w:bCs/>
                <w:szCs w:val="21"/>
              </w:rPr>
            </w:pPr>
            <w:r>
              <w:rPr>
                <w:b/>
                <w:bCs/>
                <w:szCs w:val="21"/>
              </w:rPr>
              <w:t>预期学习成果</w:t>
            </w:r>
          </w:p>
          <w:p>
            <w:pPr>
              <w:jc w:val="center"/>
              <w:rPr>
                <w:b/>
                <w:bCs/>
                <w:szCs w:val="21"/>
              </w:rPr>
            </w:pPr>
          </w:p>
        </w:tc>
        <w:tc>
          <w:tcPr>
            <w:tcW w:w="699" w:type="dxa"/>
            <w:shd w:val="clear" w:color="auto" w:fill="auto"/>
            <w:vAlign w:val="center"/>
          </w:tcPr>
          <w:p>
            <w:pPr>
              <w:jc w:val="center"/>
              <w:rPr>
                <w:b/>
                <w:bCs/>
                <w:szCs w:val="21"/>
              </w:rPr>
            </w:pPr>
            <w:r>
              <w:rPr>
                <w:b/>
                <w:bCs/>
                <w:szCs w:val="21"/>
              </w:rPr>
              <w:t>教学学时</w:t>
            </w:r>
          </w:p>
        </w:tc>
        <w:tc>
          <w:tcPr>
            <w:tcW w:w="975" w:type="dxa"/>
            <w:shd w:val="clear" w:color="auto" w:fill="auto"/>
            <w:vAlign w:val="center"/>
          </w:tcPr>
          <w:p>
            <w:pPr>
              <w:jc w:val="center"/>
              <w:rPr>
                <w:b/>
                <w:bCs/>
                <w:szCs w:val="21"/>
              </w:rPr>
            </w:pPr>
            <w:r>
              <w:rPr>
                <w:b/>
                <w:bCs/>
                <w:szCs w:val="21"/>
              </w:rPr>
              <w:t>教学方式</w:t>
            </w:r>
          </w:p>
        </w:tc>
        <w:tc>
          <w:tcPr>
            <w:tcW w:w="925" w:type="dxa"/>
            <w:shd w:val="clear" w:color="auto" w:fill="auto"/>
            <w:vAlign w:val="center"/>
          </w:tcPr>
          <w:p>
            <w:pPr>
              <w:jc w:val="center"/>
              <w:rPr>
                <w:b/>
                <w:bCs/>
                <w:szCs w:val="21"/>
              </w:rPr>
            </w:pPr>
            <w:r>
              <w:rPr>
                <w:b/>
                <w:bCs/>
                <w:szCs w:val="21"/>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vAlign w:val="center"/>
          </w:tcPr>
          <w:p>
            <w:pPr>
              <w:jc w:val="center"/>
              <w:rPr>
                <w:szCs w:val="21"/>
              </w:rPr>
            </w:pPr>
            <w:r>
              <w:rPr>
                <w:szCs w:val="21"/>
              </w:rPr>
              <w:t>1</w:t>
            </w:r>
          </w:p>
        </w:tc>
        <w:tc>
          <w:tcPr>
            <w:tcW w:w="2632" w:type="dxa"/>
            <w:shd w:val="clear" w:color="auto" w:fill="auto"/>
            <w:vAlign w:val="center"/>
          </w:tcPr>
          <w:p>
            <w:pPr>
              <w:rPr>
                <w:b/>
                <w:kern w:val="0"/>
                <w:szCs w:val="21"/>
              </w:rPr>
            </w:pPr>
            <w:r>
              <w:rPr>
                <w:rFonts w:hint="eastAsia"/>
                <w:b/>
                <w:kern w:val="0"/>
                <w:szCs w:val="21"/>
              </w:rPr>
              <w:t xml:space="preserve">（一）化工单元操作（智能控制模式IPC）仿真模拟 </w:t>
            </w:r>
          </w:p>
          <w:p>
            <w:pPr>
              <w:rPr>
                <w:kern w:val="0"/>
                <w:szCs w:val="21"/>
              </w:rPr>
            </w:pPr>
            <w:r>
              <w:rPr>
                <w:rFonts w:hint="eastAsia"/>
                <w:kern w:val="0"/>
                <w:szCs w:val="21"/>
              </w:rPr>
              <w:t>（</w:t>
            </w:r>
            <w:r>
              <w:rPr>
                <w:kern w:val="0"/>
                <w:szCs w:val="21"/>
              </w:rPr>
              <w:t>1</w:t>
            </w:r>
            <w:r>
              <w:rPr>
                <w:rFonts w:hint="eastAsia"/>
                <w:kern w:val="0"/>
                <w:szCs w:val="21"/>
              </w:rPr>
              <w:t>）离心泵及液位，</w:t>
            </w:r>
            <w:r>
              <w:rPr>
                <w:kern w:val="0"/>
                <w:szCs w:val="21"/>
              </w:rPr>
              <w:t> </w:t>
            </w:r>
            <w:r>
              <w:rPr>
                <w:rFonts w:hint="eastAsia"/>
                <w:kern w:val="0"/>
                <w:szCs w:val="21"/>
              </w:rPr>
              <w:t>离心泵的工艺说明，冷态开车，正常停车，事故处理，离心泵特性曲线的测取。</w:t>
            </w:r>
          </w:p>
          <w:p>
            <w:pPr>
              <w:rPr>
                <w:kern w:val="0"/>
                <w:szCs w:val="21"/>
              </w:rPr>
            </w:pPr>
            <w:r>
              <w:rPr>
                <w:rFonts w:hint="eastAsia"/>
                <w:kern w:val="0"/>
                <w:szCs w:val="21"/>
              </w:rPr>
              <w:t>（2）热交换器，热交换器的工艺及控制，冷态开车及正常停车操作，事故处理。</w:t>
            </w:r>
          </w:p>
          <w:p>
            <w:pPr>
              <w:rPr>
                <w:kern w:val="0"/>
                <w:szCs w:val="21"/>
              </w:rPr>
            </w:pPr>
            <w:r>
              <w:rPr>
                <w:rFonts w:hint="eastAsia"/>
                <w:kern w:val="0"/>
                <w:szCs w:val="21"/>
              </w:rPr>
              <w:t>（3）透平与往复压缩，透平与往复压缩的工艺流程简介及流程图说明，冷态开车，正常停车及紧急停车操作，事故处理。</w:t>
            </w:r>
          </w:p>
          <w:p>
            <w:pPr>
              <w:rPr>
                <w:kern w:val="0"/>
                <w:szCs w:val="21"/>
              </w:rPr>
            </w:pPr>
            <w:r>
              <w:rPr>
                <w:rFonts w:hint="eastAsia"/>
                <w:kern w:val="0"/>
                <w:szCs w:val="21"/>
              </w:rPr>
              <w:t>（4）间歇反应，间歇反应工艺流程简介及流程图说明，间歇反应冷态开车操作及事故处理。</w:t>
            </w:r>
          </w:p>
          <w:p>
            <w:pPr>
              <w:rPr>
                <w:kern w:val="0"/>
                <w:szCs w:val="21"/>
              </w:rPr>
            </w:pPr>
            <w:r>
              <w:rPr>
                <w:rFonts w:hint="eastAsia"/>
                <w:kern w:val="0"/>
                <w:szCs w:val="21"/>
              </w:rPr>
              <w:t>（5）连续反应，连续反应工艺流程及控制系统简介，流程图说明，冷态开车及正常停车操作，事故处理。</w:t>
            </w:r>
          </w:p>
          <w:p>
            <w:pPr>
              <w:rPr>
                <w:kern w:val="0"/>
                <w:szCs w:val="21"/>
              </w:rPr>
            </w:pPr>
            <w:r>
              <w:rPr>
                <w:rFonts w:hint="eastAsia"/>
                <w:kern w:val="0"/>
                <w:szCs w:val="21"/>
              </w:rPr>
              <w:t>（6）二元精馏，二元精馏工艺流程及控制系统简介，流程图及仪表说明，冷态开车、正常停车及紧急停车步骤，事故处理。</w:t>
            </w:r>
          </w:p>
          <w:p>
            <w:pPr>
              <w:rPr>
                <w:kern w:val="0"/>
                <w:szCs w:val="21"/>
              </w:rPr>
            </w:pPr>
            <w:r>
              <w:rPr>
                <w:rFonts w:hint="eastAsia"/>
                <w:kern w:val="0"/>
                <w:szCs w:val="21"/>
              </w:rPr>
              <w:t>（7）吸收系统，吸收系统工艺流程及控制系统简介，吸收系统流程图说明，冷态开车、正常停车及紧急停车步骤，事故处理。</w:t>
            </w:r>
          </w:p>
          <w:p>
            <w:pPr>
              <w:rPr>
                <w:kern w:val="0"/>
                <w:szCs w:val="21"/>
              </w:rPr>
            </w:pPr>
            <w:r>
              <w:rPr>
                <w:rFonts w:hint="eastAsia"/>
                <w:kern w:val="0"/>
                <w:szCs w:val="21"/>
              </w:rPr>
              <w:t>（8）加热炉，加热炉工艺流程简介，流程图说明，冷态开车，正常停车及紧急停车操作步骤，事故处理。</w:t>
            </w:r>
          </w:p>
          <w:p>
            <w:pPr>
              <w:rPr>
                <w:kern w:val="0"/>
                <w:szCs w:val="21"/>
              </w:rPr>
            </w:pPr>
            <w:r>
              <w:rPr>
                <w:b/>
                <w:kern w:val="0"/>
                <w:szCs w:val="21"/>
              </w:rPr>
              <w:t>重点和难点：</w:t>
            </w:r>
            <w:r>
              <w:rPr>
                <w:rFonts w:hint="eastAsia"/>
                <w:kern w:val="0"/>
                <w:szCs w:val="21"/>
              </w:rPr>
              <w:t>系统综合与系统优化</w:t>
            </w:r>
          </w:p>
        </w:tc>
        <w:tc>
          <w:tcPr>
            <w:tcW w:w="1134" w:type="dxa"/>
            <w:shd w:val="clear" w:color="auto" w:fill="auto"/>
            <w:vAlign w:val="center"/>
          </w:tcPr>
          <w:p>
            <w:pPr>
              <w:autoSpaceDE w:val="0"/>
              <w:autoSpaceDN w:val="0"/>
              <w:adjustRightInd w:val="0"/>
              <w:rPr>
                <w:kern w:val="0"/>
                <w:szCs w:val="21"/>
              </w:rPr>
            </w:pPr>
            <w:r>
              <w:rPr>
                <w:rFonts w:hint="eastAsia"/>
                <w:kern w:val="0"/>
                <w:szCs w:val="21"/>
              </w:rPr>
              <w:t>通过理论和实践相结合，培养学生立足于现有科技水平和基础条件来开创新局面。形成全局观念和理清核心问题等思维方式和价值观。</w:t>
            </w:r>
          </w:p>
        </w:tc>
        <w:tc>
          <w:tcPr>
            <w:tcW w:w="2028" w:type="dxa"/>
            <w:shd w:val="clear" w:color="auto" w:fill="auto"/>
            <w:vAlign w:val="center"/>
          </w:tcPr>
          <w:p>
            <w:pPr>
              <w:autoSpaceDE w:val="0"/>
              <w:autoSpaceDN w:val="0"/>
              <w:adjustRightInd w:val="0"/>
              <w:rPr>
                <w:kern w:val="0"/>
                <w:szCs w:val="21"/>
              </w:rPr>
            </w:pPr>
            <w:r>
              <w:rPr>
                <w:rFonts w:hint="eastAsia"/>
                <w:kern w:val="0"/>
                <w:szCs w:val="21"/>
              </w:rPr>
              <w:t>（1）掌握离心泵的冷态开车操作和离心泵的事故处理。</w:t>
            </w:r>
          </w:p>
          <w:p>
            <w:pPr>
              <w:autoSpaceDE w:val="0"/>
              <w:autoSpaceDN w:val="0"/>
              <w:adjustRightInd w:val="0"/>
              <w:rPr>
                <w:kern w:val="0"/>
                <w:szCs w:val="21"/>
              </w:rPr>
            </w:pPr>
            <w:r>
              <w:rPr>
                <w:rFonts w:hint="eastAsia"/>
                <w:kern w:val="0"/>
                <w:szCs w:val="21"/>
              </w:rPr>
              <w:t>（2）热交换器的冷态开车操作以及热交换器的正常停车操作。</w:t>
            </w:r>
          </w:p>
          <w:p>
            <w:pPr>
              <w:autoSpaceDE w:val="0"/>
              <w:autoSpaceDN w:val="0"/>
              <w:adjustRightInd w:val="0"/>
              <w:rPr>
                <w:kern w:val="0"/>
                <w:szCs w:val="21"/>
              </w:rPr>
            </w:pPr>
            <w:r>
              <w:rPr>
                <w:rFonts w:hint="eastAsia"/>
                <w:kern w:val="0"/>
                <w:szCs w:val="21"/>
              </w:rPr>
              <w:t>（3）掌握透平与往复压缩的冷态开车操作和透平与往复压缩的紧急停车操作。</w:t>
            </w:r>
          </w:p>
          <w:p>
            <w:pPr>
              <w:autoSpaceDE w:val="0"/>
              <w:autoSpaceDN w:val="0"/>
              <w:adjustRightInd w:val="0"/>
              <w:rPr>
                <w:kern w:val="0"/>
                <w:szCs w:val="21"/>
              </w:rPr>
            </w:pPr>
            <w:r>
              <w:rPr>
                <w:rFonts w:hint="eastAsia"/>
                <w:kern w:val="0"/>
                <w:szCs w:val="21"/>
              </w:rPr>
              <w:t>（4）掌握间歇反应的冷态开车操作和间歇反应冷态开车缩合反应操作。</w:t>
            </w:r>
          </w:p>
          <w:p>
            <w:pPr>
              <w:autoSpaceDE w:val="0"/>
              <w:autoSpaceDN w:val="0"/>
              <w:adjustRightInd w:val="0"/>
              <w:rPr>
                <w:kern w:val="0"/>
                <w:szCs w:val="21"/>
              </w:rPr>
            </w:pPr>
            <w:r>
              <w:rPr>
                <w:rFonts w:hint="eastAsia"/>
                <w:kern w:val="0"/>
                <w:szCs w:val="21"/>
              </w:rPr>
              <w:t>（5）掌握连续反应冷态开车操作和连续反应冷态开车操作。</w:t>
            </w:r>
          </w:p>
          <w:p>
            <w:pPr>
              <w:autoSpaceDE w:val="0"/>
              <w:autoSpaceDN w:val="0"/>
              <w:adjustRightInd w:val="0"/>
              <w:rPr>
                <w:kern w:val="0"/>
                <w:szCs w:val="21"/>
              </w:rPr>
            </w:pPr>
            <w:r>
              <w:rPr>
                <w:rFonts w:hint="eastAsia"/>
                <w:kern w:val="0"/>
                <w:szCs w:val="21"/>
              </w:rPr>
              <w:t>（6）掌握二元精馏冷态开车操作和二元精馏冷态开车操作。</w:t>
            </w:r>
          </w:p>
          <w:p>
            <w:pPr>
              <w:autoSpaceDE w:val="0"/>
              <w:autoSpaceDN w:val="0"/>
              <w:adjustRightInd w:val="0"/>
              <w:rPr>
                <w:kern w:val="0"/>
                <w:szCs w:val="21"/>
              </w:rPr>
            </w:pPr>
            <w:r>
              <w:rPr>
                <w:rFonts w:hint="eastAsia"/>
                <w:kern w:val="0"/>
                <w:szCs w:val="21"/>
              </w:rPr>
              <w:t>（7）了解吸收系统冷态开车操作和吸收系统冷态开车操作。</w:t>
            </w:r>
          </w:p>
          <w:p>
            <w:pPr>
              <w:autoSpaceDE w:val="0"/>
              <w:autoSpaceDN w:val="0"/>
              <w:adjustRightInd w:val="0"/>
              <w:rPr>
                <w:kern w:val="0"/>
                <w:szCs w:val="21"/>
              </w:rPr>
            </w:pPr>
            <w:r>
              <w:rPr>
                <w:rFonts w:hint="eastAsia"/>
                <w:kern w:val="0"/>
                <w:szCs w:val="21"/>
              </w:rPr>
              <w:t>（8）了解加热炉冷态开车操作和加热炉紧急停车操作。</w:t>
            </w:r>
          </w:p>
        </w:tc>
        <w:tc>
          <w:tcPr>
            <w:tcW w:w="699" w:type="dxa"/>
            <w:shd w:val="clear" w:color="auto" w:fill="auto"/>
            <w:vAlign w:val="center"/>
          </w:tcPr>
          <w:p>
            <w:pPr>
              <w:jc w:val="center"/>
              <w:rPr>
                <w:szCs w:val="21"/>
              </w:rPr>
            </w:pPr>
            <w:r>
              <w:rPr>
                <w:szCs w:val="21"/>
              </w:rPr>
              <w:t>12</w:t>
            </w:r>
          </w:p>
        </w:tc>
        <w:tc>
          <w:tcPr>
            <w:tcW w:w="975" w:type="dxa"/>
            <w:shd w:val="clear" w:color="auto" w:fill="auto"/>
            <w:vAlign w:val="center"/>
          </w:tcPr>
          <w:p>
            <w:pPr>
              <w:rPr>
                <w:szCs w:val="21"/>
              </w:rPr>
            </w:pPr>
            <w:r>
              <w:rPr>
                <w:szCs w:val="21"/>
              </w:rPr>
              <w:t>讲授/讨论/</w:t>
            </w:r>
            <w:r>
              <w:rPr>
                <w:rFonts w:hint="eastAsia"/>
                <w:szCs w:val="21"/>
              </w:rPr>
              <w:t>上机</w:t>
            </w:r>
            <w:r>
              <w:rPr>
                <w:szCs w:val="21"/>
              </w:rPr>
              <w:t>操作等</w:t>
            </w:r>
          </w:p>
        </w:tc>
        <w:tc>
          <w:tcPr>
            <w:tcW w:w="925" w:type="dxa"/>
            <w:shd w:val="clear" w:color="auto" w:fill="auto"/>
            <w:vAlign w:val="center"/>
          </w:tcPr>
          <w:p>
            <w:pPr>
              <w:jc w:val="center"/>
              <w:rPr>
                <w:b/>
                <w:kern w:val="0"/>
                <w:szCs w:val="21"/>
              </w:rPr>
            </w:pPr>
            <w:r>
              <w:rPr>
                <w:b/>
                <w:kern w:val="0"/>
                <w:szCs w:val="21"/>
              </w:rPr>
              <w:t>目标1</w:t>
            </w:r>
          </w:p>
          <w:p>
            <w:pPr>
              <w:jc w:val="center"/>
              <w:rPr>
                <w:b/>
                <w:kern w:val="0"/>
                <w:szCs w:val="21"/>
              </w:rPr>
            </w:pPr>
            <w:r>
              <w:rPr>
                <w:b/>
                <w:kern w:val="0"/>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shd w:val="clear" w:color="auto" w:fill="auto"/>
            <w:vAlign w:val="center"/>
          </w:tcPr>
          <w:p>
            <w:pPr>
              <w:jc w:val="center"/>
              <w:rPr>
                <w:szCs w:val="21"/>
              </w:rPr>
            </w:pPr>
            <w:r>
              <w:rPr>
                <w:szCs w:val="21"/>
              </w:rPr>
              <w:t>2</w:t>
            </w:r>
          </w:p>
        </w:tc>
        <w:tc>
          <w:tcPr>
            <w:tcW w:w="2632" w:type="dxa"/>
            <w:shd w:val="clear" w:color="auto" w:fill="auto"/>
            <w:vAlign w:val="center"/>
          </w:tcPr>
          <w:p>
            <w:pPr>
              <w:rPr>
                <w:b/>
                <w:kern w:val="0"/>
                <w:szCs w:val="21"/>
              </w:rPr>
            </w:pPr>
            <w:r>
              <w:rPr>
                <w:rFonts w:hint="eastAsia"/>
                <w:b/>
                <w:kern w:val="0"/>
                <w:szCs w:val="21"/>
              </w:rPr>
              <w:t>生产装置工艺过程（集散控制DCS模式）仿真模拟</w:t>
            </w:r>
          </w:p>
          <w:p>
            <w:pPr>
              <w:rPr>
                <w:kern w:val="0"/>
                <w:szCs w:val="21"/>
              </w:rPr>
            </w:pPr>
            <w:r>
              <w:rPr>
                <w:kern w:val="0"/>
                <w:szCs w:val="21"/>
              </w:rPr>
              <w:t>（1）</w:t>
            </w:r>
            <w:r>
              <w:rPr>
                <w:rFonts w:hint="eastAsia"/>
                <w:kern w:val="0"/>
                <w:szCs w:val="21"/>
              </w:rPr>
              <w:t>250万吨/年常减压装置：原油换热流程、电脱盐流程、注水流程、注破乳剂流程、沉渣冲洗流程、蒸发系统流程、常压系统流程和减压系统流程的生产过程，主要操作参数，装置的冷态开车过程，正常停车过程，常见事故处理。</w:t>
            </w:r>
          </w:p>
          <w:p>
            <w:pPr>
              <w:rPr>
                <w:kern w:val="0"/>
                <w:szCs w:val="21"/>
              </w:rPr>
            </w:pPr>
            <w:r>
              <w:rPr>
                <w:kern w:val="0"/>
                <w:szCs w:val="21"/>
              </w:rPr>
              <w:t>（2）</w:t>
            </w:r>
            <w:r>
              <w:rPr>
                <w:rFonts w:hint="eastAsia"/>
                <w:kern w:val="0"/>
                <w:szCs w:val="21"/>
              </w:rPr>
              <w:t>乙烯装置：裂解工段、丙烯压缩制冷工段、热区分离工段。 每个工段包括工艺流程简介，主要操作参数，复杂控制系统说明，装置的冷态开工过程，装置正常停工过程，常见事故处理。</w:t>
            </w:r>
          </w:p>
          <w:p>
            <w:pPr>
              <w:rPr>
                <w:kern w:val="0"/>
                <w:szCs w:val="21"/>
              </w:rPr>
            </w:pPr>
            <w:r>
              <w:rPr>
                <w:b/>
                <w:kern w:val="0"/>
                <w:szCs w:val="21"/>
              </w:rPr>
              <w:t>重点和难点：</w:t>
            </w:r>
            <w:r>
              <w:rPr>
                <w:rFonts w:hint="eastAsia"/>
                <w:kern w:val="0"/>
                <w:szCs w:val="21"/>
              </w:rPr>
              <w:t>系统综合与系统优化</w:t>
            </w:r>
          </w:p>
          <w:p>
            <w:pPr>
              <w:rPr>
                <w:kern w:val="0"/>
                <w:szCs w:val="21"/>
              </w:rPr>
            </w:pPr>
          </w:p>
        </w:tc>
        <w:tc>
          <w:tcPr>
            <w:tcW w:w="1134" w:type="dxa"/>
            <w:shd w:val="clear" w:color="auto" w:fill="auto"/>
            <w:vAlign w:val="center"/>
          </w:tcPr>
          <w:p>
            <w:pPr>
              <w:rPr>
                <w:szCs w:val="21"/>
              </w:rPr>
            </w:pPr>
            <w:r>
              <w:rPr>
                <w:rFonts w:hint="eastAsia"/>
                <w:szCs w:val="21"/>
              </w:rPr>
              <w:t>创新是改革和发展的驱动力，坚持创新和不断发展的基本原则。通过学生的自我思考和评价培养学生用客观的创新的思维来认识中国、认识中国的工业和经济、认识中国特色社会主义道路。</w:t>
            </w:r>
          </w:p>
        </w:tc>
        <w:tc>
          <w:tcPr>
            <w:tcW w:w="2028" w:type="dxa"/>
            <w:shd w:val="clear" w:color="auto" w:fill="auto"/>
            <w:vAlign w:val="center"/>
          </w:tcPr>
          <w:p>
            <w:pPr>
              <w:rPr>
                <w:kern w:val="0"/>
                <w:szCs w:val="21"/>
              </w:rPr>
            </w:pPr>
            <w:r>
              <w:rPr>
                <w:kern w:val="0"/>
                <w:szCs w:val="21"/>
              </w:rPr>
              <w:t>（1）</w:t>
            </w:r>
            <w:r>
              <w:rPr>
                <w:rFonts w:hint="eastAsia"/>
                <w:kern w:val="0"/>
                <w:szCs w:val="21"/>
              </w:rPr>
              <w:t>掌握装置的冷态开车过程和装置的冷态开车过程。</w:t>
            </w:r>
            <w:r>
              <w:rPr>
                <w:kern w:val="0"/>
                <w:szCs w:val="21"/>
              </w:rPr>
              <w:t>（2）</w:t>
            </w:r>
            <w:r>
              <w:rPr>
                <w:rFonts w:hint="eastAsia"/>
                <w:kern w:val="0"/>
                <w:szCs w:val="21"/>
              </w:rPr>
              <w:t>掌握裂解工段冷态开车操作和丙烯压缩制冷工段冷态开车操作。</w:t>
            </w:r>
          </w:p>
          <w:p>
            <w:pPr>
              <w:rPr>
                <w:szCs w:val="21"/>
              </w:rPr>
            </w:pPr>
          </w:p>
        </w:tc>
        <w:tc>
          <w:tcPr>
            <w:tcW w:w="699" w:type="dxa"/>
            <w:shd w:val="clear" w:color="auto" w:fill="auto"/>
            <w:vAlign w:val="center"/>
          </w:tcPr>
          <w:p>
            <w:pPr>
              <w:jc w:val="center"/>
              <w:rPr>
                <w:szCs w:val="21"/>
              </w:rPr>
            </w:pPr>
            <w:r>
              <w:rPr>
                <w:rFonts w:hint="eastAsia"/>
                <w:szCs w:val="21"/>
              </w:rPr>
              <w:t>12</w:t>
            </w:r>
          </w:p>
        </w:tc>
        <w:tc>
          <w:tcPr>
            <w:tcW w:w="975" w:type="dxa"/>
            <w:shd w:val="clear" w:color="auto" w:fill="auto"/>
            <w:vAlign w:val="center"/>
          </w:tcPr>
          <w:p>
            <w:pPr>
              <w:rPr>
                <w:szCs w:val="21"/>
              </w:rPr>
            </w:pPr>
            <w:r>
              <w:rPr>
                <w:szCs w:val="21"/>
              </w:rPr>
              <w:t>讲授/</w:t>
            </w:r>
            <w:r>
              <w:rPr>
                <w:rFonts w:hint="eastAsia"/>
                <w:szCs w:val="21"/>
              </w:rPr>
              <w:t>上机</w:t>
            </w:r>
            <w:r>
              <w:rPr>
                <w:szCs w:val="21"/>
              </w:rPr>
              <w:t>操作等</w:t>
            </w:r>
          </w:p>
        </w:tc>
        <w:tc>
          <w:tcPr>
            <w:tcW w:w="925" w:type="dxa"/>
            <w:shd w:val="clear" w:color="auto" w:fill="auto"/>
            <w:vAlign w:val="center"/>
          </w:tcPr>
          <w:p>
            <w:pPr>
              <w:jc w:val="center"/>
              <w:rPr>
                <w:kern w:val="0"/>
                <w:szCs w:val="21"/>
              </w:rPr>
            </w:pPr>
            <w:r>
              <w:rPr>
                <w:b/>
                <w:kern w:val="0"/>
                <w:szCs w:val="21"/>
              </w:rPr>
              <w:t>目标3</w:t>
            </w:r>
          </w:p>
          <w:p>
            <w:pPr>
              <w:jc w:val="center"/>
              <w:rPr>
                <w:szCs w:val="21"/>
              </w:rPr>
            </w:pPr>
          </w:p>
        </w:tc>
      </w:tr>
    </w:tbl>
    <w:p>
      <w:pPr>
        <w:spacing w:line="360" w:lineRule="auto"/>
        <w:ind w:firstLine="480" w:firstLineChars="200"/>
        <w:rPr>
          <w:color w:val="000000"/>
          <w:sz w:val="24"/>
        </w:rPr>
      </w:pPr>
    </w:p>
    <w:p>
      <w:pPr>
        <w:spacing w:line="360" w:lineRule="auto"/>
        <w:ind w:firstLine="562" w:firstLineChars="200"/>
        <w:rPr>
          <w:b/>
          <w:sz w:val="28"/>
          <w:szCs w:val="28"/>
        </w:rPr>
      </w:pPr>
      <w:r>
        <w:rPr>
          <w:rFonts w:hint="eastAsia"/>
          <w:b/>
          <w:sz w:val="28"/>
          <w:szCs w:val="28"/>
        </w:rPr>
        <w:t>四、课程实施</w:t>
      </w:r>
    </w:p>
    <w:p>
      <w:pPr>
        <w:spacing w:line="360" w:lineRule="auto"/>
        <w:ind w:firstLine="482" w:firstLineChars="200"/>
        <w:rPr>
          <w:b/>
          <w:sz w:val="24"/>
        </w:rPr>
      </w:pPr>
      <w:r>
        <w:rPr>
          <w:rFonts w:hint="eastAsia"/>
          <w:b/>
          <w:sz w:val="24"/>
        </w:rPr>
        <w:t>（一）教学方法与教学手段</w:t>
      </w:r>
    </w:p>
    <w:p>
      <w:pPr>
        <w:spacing w:line="360" w:lineRule="auto"/>
        <w:ind w:left="480"/>
        <w:rPr>
          <w:sz w:val="24"/>
        </w:rPr>
      </w:pPr>
      <w:r>
        <w:rPr>
          <w:rFonts w:hint="eastAsia"/>
          <w:sz w:val="24"/>
        </w:rPr>
        <w:t>1、</w:t>
      </w:r>
      <w:r>
        <w:rPr>
          <w:sz w:val="24"/>
        </w:rPr>
        <w:t>根据课程内容特点实时采取灵活的教学形式。讲授和学生</w:t>
      </w:r>
      <w:r>
        <w:rPr>
          <w:rFonts w:hint="eastAsia"/>
          <w:sz w:val="24"/>
        </w:rPr>
        <w:t>操作实践相结合</w:t>
      </w:r>
      <w:r>
        <w:rPr>
          <w:sz w:val="24"/>
        </w:rPr>
        <w:t>，融入现代的研究性教学和翻转课堂等教学模式，以提高课程的课堂授课效率。</w:t>
      </w:r>
    </w:p>
    <w:p>
      <w:pPr>
        <w:spacing w:line="360" w:lineRule="auto"/>
        <w:ind w:firstLine="480" w:firstLineChars="200"/>
        <w:rPr>
          <w:sz w:val="24"/>
        </w:rPr>
      </w:pPr>
      <w:r>
        <w:rPr>
          <w:rFonts w:hint="eastAsia"/>
          <w:sz w:val="24"/>
        </w:rPr>
        <w:t>2、</w:t>
      </w:r>
      <w:r>
        <w:rPr>
          <w:sz w:val="24"/>
        </w:rPr>
        <w:t>课程的教学质量与学生的课前预习和课后的复习、练习息息相关。采用课前基本内容抽查并计分于平时成绩，而课后的多渠道答疑和随堂测试则有利于提高和促进学生的学习知识的深度理解和掌握。</w:t>
      </w:r>
    </w:p>
    <w:p>
      <w:pPr>
        <w:spacing w:line="360" w:lineRule="auto"/>
        <w:ind w:firstLine="480" w:firstLineChars="200"/>
        <w:rPr>
          <w:sz w:val="24"/>
        </w:rPr>
      </w:pPr>
      <w:r>
        <w:rPr>
          <w:rFonts w:hint="eastAsia"/>
          <w:sz w:val="24"/>
        </w:rPr>
        <w:t>3、</w:t>
      </w:r>
      <w:r>
        <w:rPr>
          <w:sz w:val="24"/>
        </w:rPr>
        <w:t>随时了解学生的及时学习状态有助于授课的针对性和学习过程中问题的解决。平时多增加与学生课外接触的机会，了解学生的学习心理和学习难处，及时排除学生的学习难处和学习的心理障碍有助于学生的及时调整学习方法和过程。</w:t>
      </w:r>
    </w:p>
    <w:p>
      <w:pPr>
        <w:spacing w:line="360" w:lineRule="auto"/>
        <w:ind w:firstLine="480" w:firstLineChars="200"/>
        <w:rPr>
          <w:sz w:val="24"/>
        </w:rPr>
      </w:pPr>
      <w:r>
        <w:rPr>
          <w:rFonts w:hint="eastAsia"/>
          <w:sz w:val="24"/>
        </w:rPr>
        <w:t>4、</w:t>
      </w:r>
      <w:r>
        <w:rPr>
          <w:sz w:val="24"/>
        </w:rPr>
        <w:t>不折不扣加强课程中间各环节的考核和所占成绩比重，引导学生平时重视学习，过程系统学习常态化。</w:t>
      </w:r>
    </w:p>
    <w:p>
      <w:pPr>
        <w:spacing w:line="360" w:lineRule="auto"/>
        <w:ind w:firstLine="482" w:firstLineChars="200"/>
        <w:rPr>
          <w:b/>
          <w:sz w:val="24"/>
        </w:rPr>
      </w:pPr>
      <w:r>
        <w:rPr>
          <w:rFonts w:hint="eastAsia"/>
          <w:b/>
          <w:sz w:val="24"/>
        </w:rPr>
        <w:t>（二）课程实施与保障</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5"/>
        <w:gridCol w:w="1590"/>
        <w:gridCol w:w="6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5" w:type="dxa"/>
            <w:gridSpan w:val="2"/>
            <w:tcBorders>
              <w:top w:val="single" w:color="auto" w:sz="8" w:space="0"/>
              <w:left w:val="single" w:color="auto" w:sz="8" w:space="0"/>
              <w:right w:val="single" w:color="auto" w:sz="8" w:space="0"/>
            </w:tcBorders>
            <w:tcMar>
              <w:left w:w="28" w:type="dxa"/>
              <w:right w:w="28" w:type="dxa"/>
            </w:tcMar>
            <w:vAlign w:val="center"/>
          </w:tcPr>
          <w:p>
            <w:pPr>
              <w:jc w:val="center"/>
              <w:rPr>
                <w:szCs w:val="21"/>
              </w:rPr>
            </w:pPr>
            <w:r>
              <w:rPr>
                <w:bCs/>
                <w:szCs w:val="21"/>
              </w:rPr>
              <w:t>主要教学环节</w:t>
            </w:r>
          </w:p>
        </w:tc>
        <w:tc>
          <w:tcPr>
            <w:tcW w:w="6965" w:type="dxa"/>
            <w:tcBorders>
              <w:top w:val="single" w:color="auto" w:sz="8" w:space="0"/>
              <w:left w:val="single" w:color="auto" w:sz="8" w:space="0"/>
              <w:right w:val="single" w:color="auto" w:sz="8" w:space="0"/>
            </w:tcBorders>
            <w:vAlign w:val="center"/>
          </w:tcPr>
          <w:p>
            <w:pPr>
              <w:jc w:val="center"/>
              <w:rPr>
                <w:szCs w:val="21"/>
              </w:rPr>
            </w:pPr>
            <w:r>
              <w:rPr>
                <w:bCs/>
                <w:szCs w:val="21"/>
              </w:rPr>
              <w:t>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tcBorders>
              <w:left w:val="single" w:color="auto" w:sz="8" w:space="0"/>
            </w:tcBorders>
            <w:vAlign w:val="center"/>
          </w:tcPr>
          <w:p>
            <w:pPr>
              <w:jc w:val="center"/>
              <w:rPr>
                <w:szCs w:val="21"/>
              </w:rPr>
            </w:pPr>
            <w:r>
              <w:rPr>
                <w:szCs w:val="21"/>
              </w:rPr>
              <w:t>1</w:t>
            </w:r>
          </w:p>
        </w:tc>
        <w:tc>
          <w:tcPr>
            <w:tcW w:w="1590" w:type="dxa"/>
            <w:tcMar>
              <w:left w:w="28" w:type="dxa"/>
              <w:right w:w="28" w:type="dxa"/>
            </w:tcMar>
            <w:vAlign w:val="center"/>
          </w:tcPr>
          <w:p>
            <w:pPr>
              <w:jc w:val="center"/>
              <w:rPr>
                <w:szCs w:val="21"/>
              </w:rPr>
            </w:pPr>
            <w:r>
              <w:rPr>
                <w:szCs w:val="21"/>
              </w:rPr>
              <w:t>备课</w:t>
            </w:r>
          </w:p>
        </w:tc>
        <w:tc>
          <w:tcPr>
            <w:tcW w:w="6965" w:type="dxa"/>
            <w:tcBorders>
              <w:right w:val="single" w:color="auto" w:sz="8" w:space="0"/>
            </w:tcBorders>
            <w:vAlign w:val="center"/>
          </w:tcPr>
          <w:p>
            <w:pPr>
              <w:rPr>
                <w:szCs w:val="21"/>
              </w:rPr>
            </w:pPr>
            <w:r>
              <w:rPr>
                <w:szCs w:val="21"/>
              </w:rPr>
              <w:t>（1）知识的系统性。</w:t>
            </w:r>
          </w:p>
          <w:p>
            <w:pPr>
              <w:rPr>
                <w:szCs w:val="21"/>
              </w:rPr>
            </w:pPr>
            <w:r>
              <w:rPr>
                <w:szCs w:val="21"/>
              </w:rPr>
              <w:t>（2）系统知识的难点、重点处 。</w:t>
            </w:r>
          </w:p>
          <w:p>
            <w:pPr>
              <w:rPr>
                <w:szCs w:val="21"/>
              </w:rPr>
            </w:pPr>
            <w:r>
              <w:rPr>
                <w:szCs w:val="21"/>
              </w:rPr>
              <w:t>（3）知识点的</w:t>
            </w:r>
            <w:r>
              <w:rPr>
                <w:rFonts w:hint="eastAsia"/>
                <w:szCs w:val="21"/>
              </w:rPr>
              <w:t>实际</w:t>
            </w:r>
            <w:r>
              <w:rPr>
                <w:szCs w:val="21"/>
              </w:rPr>
              <w:t>应用介绍。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tcBorders>
              <w:left w:val="single" w:color="auto" w:sz="8" w:space="0"/>
            </w:tcBorders>
            <w:vAlign w:val="center"/>
          </w:tcPr>
          <w:p>
            <w:pPr>
              <w:jc w:val="center"/>
              <w:rPr>
                <w:szCs w:val="21"/>
              </w:rPr>
            </w:pPr>
            <w:r>
              <w:rPr>
                <w:szCs w:val="21"/>
              </w:rPr>
              <w:t>2</w:t>
            </w:r>
          </w:p>
        </w:tc>
        <w:tc>
          <w:tcPr>
            <w:tcW w:w="1590" w:type="dxa"/>
            <w:tcMar>
              <w:left w:w="28" w:type="dxa"/>
              <w:right w:w="28" w:type="dxa"/>
            </w:tcMar>
            <w:vAlign w:val="center"/>
          </w:tcPr>
          <w:p>
            <w:pPr>
              <w:jc w:val="center"/>
              <w:rPr>
                <w:szCs w:val="21"/>
              </w:rPr>
            </w:pPr>
            <w:r>
              <w:rPr>
                <w:szCs w:val="21"/>
              </w:rPr>
              <w:t>知识点讲授</w:t>
            </w:r>
          </w:p>
        </w:tc>
        <w:tc>
          <w:tcPr>
            <w:tcW w:w="6965" w:type="dxa"/>
            <w:tcBorders>
              <w:right w:val="single" w:color="auto" w:sz="8" w:space="0"/>
            </w:tcBorders>
            <w:vAlign w:val="center"/>
          </w:tcPr>
          <w:p>
            <w:pPr>
              <w:rPr>
                <w:szCs w:val="21"/>
              </w:rPr>
            </w:pPr>
            <w:r>
              <w:rPr>
                <w:szCs w:val="21"/>
              </w:rPr>
              <w:t>（1）</w:t>
            </w:r>
            <w:r>
              <w:rPr>
                <w:rFonts w:hint="eastAsia"/>
                <w:szCs w:val="21"/>
              </w:rPr>
              <w:t>根据</w:t>
            </w:r>
            <w:r>
              <w:rPr>
                <w:szCs w:val="21"/>
              </w:rPr>
              <w:t>授课知识点在上机过程中讲授。</w:t>
            </w:r>
          </w:p>
          <w:p>
            <w:pPr>
              <w:rPr>
                <w:szCs w:val="21"/>
              </w:rPr>
            </w:pPr>
            <w:r>
              <w:rPr>
                <w:szCs w:val="21"/>
              </w:rPr>
              <w:t>（2）授课过程中中注重互动环节及其效果。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tcBorders>
              <w:left w:val="single" w:color="auto" w:sz="8" w:space="0"/>
            </w:tcBorders>
            <w:vAlign w:val="center"/>
          </w:tcPr>
          <w:p>
            <w:pPr>
              <w:jc w:val="center"/>
              <w:rPr>
                <w:szCs w:val="21"/>
              </w:rPr>
            </w:pPr>
            <w:r>
              <w:rPr>
                <w:szCs w:val="21"/>
              </w:rPr>
              <w:t>3</w:t>
            </w:r>
          </w:p>
        </w:tc>
        <w:tc>
          <w:tcPr>
            <w:tcW w:w="1590" w:type="dxa"/>
            <w:tcMar>
              <w:left w:w="28" w:type="dxa"/>
              <w:right w:w="28" w:type="dxa"/>
            </w:tcMar>
            <w:vAlign w:val="center"/>
          </w:tcPr>
          <w:p>
            <w:pPr>
              <w:jc w:val="center"/>
              <w:rPr>
                <w:szCs w:val="21"/>
              </w:rPr>
            </w:pPr>
            <w:r>
              <w:rPr>
                <w:szCs w:val="21"/>
              </w:rPr>
              <w:t>作业布置与批改</w:t>
            </w:r>
          </w:p>
        </w:tc>
        <w:tc>
          <w:tcPr>
            <w:tcW w:w="6965" w:type="dxa"/>
            <w:tcBorders>
              <w:right w:val="single" w:color="auto" w:sz="8" w:space="0"/>
            </w:tcBorders>
            <w:vAlign w:val="center"/>
          </w:tcPr>
          <w:p>
            <w:pPr>
              <w:rPr>
                <w:szCs w:val="21"/>
              </w:rPr>
            </w:pPr>
            <w:r>
              <w:rPr>
                <w:szCs w:val="21"/>
              </w:rPr>
              <w:t>每章结束布置下一章作业及其本章测试</w:t>
            </w:r>
            <w:r>
              <w:rPr>
                <w:rFonts w:hint="eastAsia"/>
                <w:szCs w:val="21"/>
              </w:rPr>
              <w:t>，</w:t>
            </w:r>
            <w:r>
              <w:rPr>
                <w:szCs w:val="21"/>
              </w:rPr>
              <w:t>根据作业的反馈情况及时调整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tcBorders>
              <w:left w:val="single" w:color="auto" w:sz="8" w:space="0"/>
            </w:tcBorders>
            <w:vAlign w:val="center"/>
          </w:tcPr>
          <w:p>
            <w:pPr>
              <w:jc w:val="center"/>
              <w:rPr>
                <w:szCs w:val="21"/>
              </w:rPr>
            </w:pPr>
            <w:r>
              <w:rPr>
                <w:szCs w:val="21"/>
              </w:rPr>
              <w:t>4</w:t>
            </w:r>
          </w:p>
        </w:tc>
        <w:tc>
          <w:tcPr>
            <w:tcW w:w="1590" w:type="dxa"/>
            <w:tcMar>
              <w:left w:w="28" w:type="dxa"/>
              <w:right w:w="28" w:type="dxa"/>
            </w:tcMar>
            <w:vAlign w:val="center"/>
          </w:tcPr>
          <w:p>
            <w:pPr>
              <w:jc w:val="center"/>
              <w:rPr>
                <w:szCs w:val="21"/>
              </w:rPr>
            </w:pPr>
            <w:r>
              <w:rPr>
                <w:szCs w:val="21"/>
              </w:rPr>
              <w:t>课外答疑</w:t>
            </w:r>
          </w:p>
        </w:tc>
        <w:tc>
          <w:tcPr>
            <w:tcW w:w="6965" w:type="dxa"/>
            <w:tcBorders>
              <w:right w:val="single" w:color="auto" w:sz="8" w:space="0"/>
            </w:tcBorders>
            <w:vAlign w:val="center"/>
          </w:tcPr>
          <w:p>
            <w:pPr>
              <w:rPr>
                <w:szCs w:val="21"/>
              </w:rPr>
            </w:pPr>
            <w:r>
              <w:rPr>
                <w:szCs w:val="21"/>
              </w:rPr>
              <w:t>通过QQ, 微信和电子邮件等多渠道课外答疑。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tcBorders>
              <w:left w:val="single" w:color="auto" w:sz="8" w:space="0"/>
            </w:tcBorders>
            <w:vAlign w:val="center"/>
          </w:tcPr>
          <w:p>
            <w:pPr>
              <w:jc w:val="center"/>
              <w:rPr>
                <w:szCs w:val="21"/>
              </w:rPr>
            </w:pPr>
            <w:r>
              <w:rPr>
                <w:szCs w:val="21"/>
              </w:rPr>
              <w:t>5</w:t>
            </w:r>
          </w:p>
        </w:tc>
        <w:tc>
          <w:tcPr>
            <w:tcW w:w="1590" w:type="dxa"/>
            <w:tcMar>
              <w:left w:w="28" w:type="dxa"/>
              <w:right w:w="28" w:type="dxa"/>
            </w:tcMar>
            <w:vAlign w:val="center"/>
          </w:tcPr>
          <w:p>
            <w:pPr>
              <w:jc w:val="center"/>
              <w:rPr>
                <w:szCs w:val="21"/>
              </w:rPr>
            </w:pPr>
            <w:r>
              <w:rPr>
                <w:szCs w:val="21"/>
              </w:rPr>
              <w:t>成绩考核</w:t>
            </w:r>
          </w:p>
        </w:tc>
        <w:tc>
          <w:tcPr>
            <w:tcW w:w="6965" w:type="dxa"/>
            <w:tcBorders>
              <w:right w:val="single" w:color="auto" w:sz="8" w:space="0"/>
            </w:tcBorders>
            <w:vAlign w:val="center"/>
          </w:tcPr>
          <w:p>
            <w:pPr>
              <w:rPr>
                <w:szCs w:val="21"/>
              </w:rPr>
            </w:pPr>
            <w:r>
              <w:rPr>
                <w:szCs w:val="21"/>
              </w:rPr>
              <w:t>课堂成绩考核包括随堂测试和期末考核。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tcBorders>
              <w:left w:val="single" w:color="auto" w:sz="8" w:space="0"/>
            </w:tcBorders>
            <w:vAlign w:val="center"/>
          </w:tcPr>
          <w:p>
            <w:pPr>
              <w:jc w:val="center"/>
              <w:rPr>
                <w:szCs w:val="21"/>
              </w:rPr>
            </w:pPr>
            <w:r>
              <w:rPr>
                <w:szCs w:val="21"/>
              </w:rPr>
              <w:t>6</w:t>
            </w:r>
          </w:p>
        </w:tc>
        <w:tc>
          <w:tcPr>
            <w:tcW w:w="1590" w:type="dxa"/>
            <w:tcMar>
              <w:left w:w="28" w:type="dxa"/>
              <w:right w:w="28" w:type="dxa"/>
            </w:tcMar>
            <w:vAlign w:val="center"/>
          </w:tcPr>
          <w:p>
            <w:pPr>
              <w:jc w:val="center"/>
              <w:rPr>
                <w:szCs w:val="21"/>
              </w:rPr>
            </w:pPr>
            <w:r>
              <w:rPr>
                <w:szCs w:val="21"/>
              </w:rPr>
              <w:t>第二课堂活动</w:t>
            </w:r>
          </w:p>
        </w:tc>
        <w:tc>
          <w:tcPr>
            <w:tcW w:w="6965" w:type="dxa"/>
            <w:tcBorders>
              <w:right w:val="single" w:color="auto" w:sz="8" w:space="0"/>
            </w:tcBorders>
            <w:vAlign w:val="center"/>
          </w:tcPr>
          <w:p>
            <w:pPr>
              <w:rPr>
                <w:szCs w:val="21"/>
              </w:rPr>
            </w:pPr>
            <w:r>
              <w:rPr>
                <w:szCs w:val="21"/>
              </w:rPr>
              <w:t>鼓励学生参加该课程的相关的第二课堂活动，如创新创业和科研等。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tcBorders>
              <w:left w:val="single" w:color="auto" w:sz="8" w:space="0"/>
            </w:tcBorders>
            <w:vAlign w:val="center"/>
          </w:tcPr>
          <w:p>
            <w:pPr>
              <w:jc w:val="center"/>
              <w:rPr>
                <w:szCs w:val="21"/>
              </w:rPr>
            </w:pPr>
            <w:r>
              <w:rPr>
                <w:szCs w:val="21"/>
              </w:rPr>
              <w:t>7</w:t>
            </w:r>
          </w:p>
        </w:tc>
        <w:tc>
          <w:tcPr>
            <w:tcW w:w="1590" w:type="dxa"/>
            <w:tcMar>
              <w:left w:w="28" w:type="dxa"/>
              <w:right w:w="28" w:type="dxa"/>
            </w:tcMar>
            <w:vAlign w:val="center"/>
          </w:tcPr>
          <w:p>
            <w:pPr>
              <w:jc w:val="center"/>
              <w:rPr>
                <w:szCs w:val="21"/>
              </w:rPr>
            </w:pPr>
            <w:r>
              <w:rPr>
                <w:szCs w:val="21"/>
              </w:rPr>
              <w:t>课外提升</w:t>
            </w:r>
          </w:p>
        </w:tc>
        <w:tc>
          <w:tcPr>
            <w:tcW w:w="6965" w:type="dxa"/>
            <w:tcBorders>
              <w:right w:val="single" w:color="auto" w:sz="8" w:space="0"/>
            </w:tcBorders>
            <w:vAlign w:val="center"/>
          </w:tcPr>
          <w:p>
            <w:pPr>
              <w:rPr>
                <w:szCs w:val="21"/>
              </w:rPr>
            </w:pPr>
            <w:r>
              <w:rPr>
                <w:szCs w:val="21"/>
              </w:rPr>
              <w:t>引导学生</w:t>
            </w:r>
            <w:r>
              <w:rPr>
                <w:rFonts w:hint="eastAsia"/>
                <w:szCs w:val="21"/>
              </w:rPr>
              <w:t>自己</w:t>
            </w:r>
            <w:r>
              <w:rPr>
                <w:szCs w:val="21"/>
              </w:rPr>
              <w:t>查阅相关资料</w:t>
            </w:r>
            <w:r>
              <w:rPr>
                <w:rFonts w:hint="eastAsia"/>
                <w:szCs w:val="21"/>
              </w:rPr>
              <w:t>，</w:t>
            </w:r>
            <w:r>
              <w:rPr>
                <w:szCs w:val="21"/>
              </w:rPr>
              <w:t>联系生产应用实际等。</w:t>
            </w:r>
          </w:p>
        </w:tc>
      </w:tr>
    </w:tbl>
    <w:p>
      <w:pPr>
        <w:spacing w:line="360" w:lineRule="auto"/>
        <w:ind w:firstLine="562" w:firstLineChars="200"/>
        <w:rPr>
          <w:b/>
          <w:sz w:val="28"/>
          <w:szCs w:val="28"/>
        </w:rPr>
      </w:pPr>
      <w:r>
        <w:rPr>
          <w:rFonts w:hint="eastAsia"/>
          <w:b/>
          <w:sz w:val="28"/>
          <w:szCs w:val="28"/>
        </w:rPr>
        <w:t>五、课程</w:t>
      </w:r>
      <w:r>
        <w:rPr>
          <w:b/>
          <w:sz w:val="28"/>
          <w:szCs w:val="28"/>
        </w:rPr>
        <w:t>考核</w:t>
      </w:r>
    </w:p>
    <w:p>
      <w:pPr>
        <w:spacing w:line="360" w:lineRule="auto"/>
        <w:ind w:firstLine="480" w:firstLineChars="200"/>
        <w:rPr>
          <w:b/>
          <w:sz w:val="24"/>
        </w:rPr>
      </w:pPr>
      <w:r>
        <w:rPr>
          <w:rFonts w:hint="eastAsia"/>
          <w:sz w:val="24"/>
        </w:rPr>
        <w:t>（填写说明：详细介绍课程考核方式以及总评成绩的计算办法等。卓越工程师教育培养计划试点专业、参加各类专业认证（评估）的专业必须制定课程目标达成度计算办法，建议其他专业也要制定相应的计算办法。</w:t>
      </w:r>
    </w:p>
    <w:p>
      <w:pPr>
        <w:spacing w:line="360" w:lineRule="auto"/>
        <w:ind w:firstLine="480" w:firstLineChars="200"/>
        <w:rPr>
          <w:sz w:val="24"/>
        </w:rPr>
      </w:pPr>
      <w:r>
        <w:rPr>
          <w:rFonts w:hint="eastAsia"/>
          <w:sz w:val="24"/>
        </w:rPr>
        <w:t>（一）</w:t>
      </w:r>
      <w:r>
        <w:rPr>
          <w:sz w:val="24"/>
        </w:rPr>
        <w:t>课程考核包括期末考试、平时及作业考核和实验</w:t>
      </w:r>
      <w:r>
        <w:rPr>
          <w:rFonts w:hint="eastAsia"/>
          <w:sz w:val="24"/>
        </w:rPr>
        <w:t>（实践）</w:t>
      </w:r>
      <w:r>
        <w:rPr>
          <w:sz w:val="24"/>
        </w:rPr>
        <w:t>考核</w:t>
      </w:r>
      <w:r>
        <w:rPr>
          <w:rFonts w:hint="eastAsia"/>
          <w:sz w:val="24"/>
        </w:rPr>
        <w:t>等</w:t>
      </w:r>
      <w:r>
        <w:rPr>
          <w:sz w:val="24"/>
        </w:rPr>
        <w:t>，期</w:t>
      </w:r>
      <w:r>
        <w:rPr>
          <w:rFonts w:hint="eastAsia"/>
          <w:sz w:val="24"/>
        </w:rPr>
        <w:t>末</w:t>
      </w:r>
      <w:r>
        <w:rPr>
          <w:sz w:val="24"/>
        </w:rPr>
        <w:t>考试采用</w:t>
      </w:r>
      <w:r>
        <w:rPr>
          <w:rFonts w:hint="eastAsia"/>
          <w:sz w:val="24"/>
        </w:rPr>
        <w:t>仿真操作测试的考查方式</w:t>
      </w:r>
      <w:r>
        <w:rPr>
          <w:sz w:val="24"/>
        </w:rPr>
        <w:t>。</w:t>
      </w:r>
    </w:p>
    <w:p>
      <w:pPr>
        <w:spacing w:line="360" w:lineRule="auto"/>
        <w:ind w:firstLine="480" w:firstLineChars="200"/>
        <w:rPr>
          <w:sz w:val="24"/>
        </w:rPr>
      </w:pPr>
      <w:r>
        <w:rPr>
          <w:rFonts w:hint="eastAsia"/>
          <w:sz w:val="24"/>
        </w:rPr>
        <w:t>（二）</w:t>
      </w:r>
      <w:r>
        <w:rPr>
          <w:sz w:val="24"/>
        </w:rPr>
        <w:t>课程</w:t>
      </w:r>
      <w:r>
        <w:rPr>
          <w:rFonts w:hint="eastAsia"/>
          <w:sz w:val="24"/>
        </w:rPr>
        <w:t>总评</w:t>
      </w:r>
      <w:r>
        <w:rPr>
          <w:sz w:val="24"/>
        </w:rPr>
        <w:t>成绩=平时成绩×</w:t>
      </w:r>
      <w:r>
        <w:rPr>
          <w:rFonts w:hint="eastAsia"/>
          <w:sz w:val="24"/>
        </w:rPr>
        <w:t xml:space="preserve"> </w:t>
      </w:r>
      <w:r>
        <w:rPr>
          <w:sz w:val="24"/>
        </w:rPr>
        <w:t>30% +实验</w:t>
      </w:r>
      <w:r>
        <w:rPr>
          <w:rFonts w:hint="eastAsia"/>
          <w:sz w:val="24"/>
        </w:rPr>
        <w:t>（实践）</w:t>
      </w:r>
      <w:r>
        <w:rPr>
          <w:sz w:val="24"/>
        </w:rPr>
        <w:t>成绩×</w:t>
      </w:r>
      <w:r>
        <w:rPr>
          <w:rFonts w:hint="eastAsia"/>
          <w:sz w:val="24"/>
        </w:rPr>
        <w:t xml:space="preserve"> </w:t>
      </w:r>
      <w:r>
        <w:rPr>
          <w:sz w:val="24"/>
        </w:rPr>
        <w:t>30%+期末考试成绩× 40%。具体内容和比例</w:t>
      </w:r>
      <w:r>
        <w:rPr>
          <w:rFonts w:hint="eastAsia"/>
          <w:sz w:val="24"/>
        </w:rPr>
        <w:t>如表所示。</w:t>
      </w:r>
    </w:p>
    <w:tbl>
      <w:tblPr>
        <w:tblStyle w:val="10"/>
        <w:tblW w:w="92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1565"/>
        <w:gridCol w:w="808"/>
        <w:gridCol w:w="4410"/>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FFFFFF"/>
            <w:tcMar>
              <w:left w:w="57" w:type="dxa"/>
              <w:right w:w="57" w:type="dxa"/>
            </w:tcMar>
            <w:vAlign w:val="center"/>
          </w:tcPr>
          <w:p>
            <w:pPr>
              <w:pStyle w:val="14"/>
              <w:jc w:val="center"/>
              <w:rPr>
                <w:rFonts w:eastAsia="宋体"/>
              </w:rPr>
            </w:pPr>
            <w:r>
              <w:rPr>
                <w:rFonts w:eastAsia="宋体"/>
              </w:rPr>
              <w:t>成绩组成</w:t>
            </w:r>
          </w:p>
        </w:tc>
        <w:tc>
          <w:tcPr>
            <w:tcW w:w="1565" w:type="dxa"/>
            <w:shd w:val="clear" w:color="auto" w:fill="FFFFFF"/>
            <w:vAlign w:val="center"/>
          </w:tcPr>
          <w:p>
            <w:pPr>
              <w:pStyle w:val="14"/>
              <w:jc w:val="center"/>
              <w:rPr>
                <w:rFonts w:eastAsia="宋体"/>
              </w:rPr>
            </w:pPr>
            <w:r>
              <w:rPr>
                <w:rFonts w:eastAsia="宋体"/>
              </w:rPr>
              <w:t>考核/评价环节</w:t>
            </w:r>
          </w:p>
        </w:tc>
        <w:tc>
          <w:tcPr>
            <w:tcW w:w="808" w:type="dxa"/>
            <w:shd w:val="clear" w:color="auto" w:fill="FFFFFF"/>
            <w:vAlign w:val="center"/>
          </w:tcPr>
          <w:p>
            <w:pPr>
              <w:pStyle w:val="14"/>
              <w:jc w:val="center"/>
              <w:rPr>
                <w:rFonts w:eastAsia="宋体"/>
              </w:rPr>
            </w:pPr>
            <w:r>
              <w:rPr>
                <w:rFonts w:hint="eastAsia" w:eastAsia="宋体"/>
              </w:rPr>
              <w:t>权重</w:t>
            </w:r>
          </w:p>
        </w:tc>
        <w:tc>
          <w:tcPr>
            <w:tcW w:w="4410" w:type="dxa"/>
            <w:shd w:val="clear" w:color="auto" w:fill="FFFFFF"/>
            <w:vAlign w:val="center"/>
          </w:tcPr>
          <w:p>
            <w:pPr>
              <w:pStyle w:val="14"/>
              <w:jc w:val="center"/>
              <w:rPr>
                <w:rFonts w:eastAsia="宋体"/>
              </w:rPr>
            </w:pPr>
            <w:r>
              <w:rPr>
                <w:rFonts w:eastAsia="宋体"/>
              </w:rPr>
              <w:t>考核/评价细则</w:t>
            </w:r>
          </w:p>
        </w:tc>
        <w:tc>
          <w:tcPr>
            <w:tcW w:w="1470" w:type="dxa"/>
            <w:shd w:val="clear" w:color="auto" w:fill="FFFFFF"/>
            <w:vAlign w:val="center"/>
          </w:tcPr>
          <w:p>
            <w:pPr>
              <w:pStyle w:val="14"/>
              <w:jc w:val="center"/>
              <w:rPr>
                <w:rFonts w:eastAsia="宋体"/>
              </w:rPr>
            </w:pPr>
            <w:r>
              <w:rPr>
                <w:rFonts w:hint="eastAsia" w:eastAsia="宋体"/>
              </w:rPr>
              <w:t>支撑目标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044" w:type="dxa"/>
            <w:tcMar>
              <w:left w:w="57" w:type="dxa"/>
              <w:right w:w="57" w:type="dxa"/>
            </w:tcMar>
            <w:vAlign w:val="center"/>
          </w:tcPr>
          <w:p>
            <w:pPr>
              <w:pStyle w:val="14"/>
              <w:jc w:val="center"/>
              <w:rPr>
                <w:rFonts w:eastAsia="宋体"/>
              </w:rPr>
            </w:pPr>
            <w:r>
              <w:rPr>
                <w:rFonts w:eastAsia="宋体"/>
              </w:rPr>
              <w:t>平时成绩</w:t>
            </w:r>
          </w:p>
        </w:tc>
        <w:tc>
          <w:tcPr>
            <w:tcW w:w="1565" w:type="dxa"/>
            <w:vAlign w:val="center"/>
          </w:tcPr>
          <w:p>
            <w:pPr>
              <w:pStyle w:val="14"/>
              <w:rPr>
                <w:rFonts w:eastAsia="宋体"/>
              </w:rPr>
            </w:pPr>
            <w:r>
              <w:rPr>
                <w:rFonts w:eastAsia="宋体"/>
              </w:rPr>
              <w:t>考勤，作业和课堂表现等。</w:t>
            </w:r>
          </w:p>
        </w:tc>
        <w:tc>
          <w:tcPr>
            <w:tcW w:w="808" w:type="dxa"/>
            <w:vAlign w:val="center"/>
          </w:tcPr>
          <w:p>
            <w:pPr>
              <w:pStyle w:val="14"/>
              <w:jc w:val="center"/>
              <w:rPr>
                <w:rFonts w:eastAsia="宋体"/>
              </w:rPr>
            </w:pPr>
            <w:r>
              <w:rPr>
                <w:rFonts w:eastAsia="宋体"/>
              </w:rPr>
              <w:t>30%</w:t>
            </w:r>
          </w:p>
        </w:tc>
        <w:tc>
          <w:tcPr>
            <w:tcW w:w="4410" w:type="dxa"/>
            <w:vAlign w:val="center"/>
          </w:tcPr>
          <w:p>
            <w:pPr>
              <w:pStyle w:val="14"/>
              <w:rPr>
                <w:rFonts w:eastAsia="宋体"/>
                <w:szCs w:val="21"/>
              </w:rPr>
            </w:pPr>
            <w:r>
              <w:rPr>
                <w:rFonts w:eastAsia="宋体"/>
                <w:color w:val="000000"/>
                <w:szCs w:val="21"/>
              </w:rPr>
              <w:t>考勤占该部分的10%，缺勤一次扣5分，三次缺勤考勤成绩为0；作业按照次数取平均成绩，占该部分的90%；课堂表现以赋分的方式给予问题分值，所得分累积带入这部分成绩，但最高分为30分。</w:t>
            </w:r>
          </w:p>
        </w:tc>
        <w:tc>
          <w:tcPr>
            <w:tcW w:w="1470" w:type="dxa"/>
            <w:vAlign w:val="center"/>
          </w:tcPr>
          <w:p>
            <w:pPr>
              <w:pStyle w:val="14"/>
              <w:jc w:val="center"/>
              <w:rPr>
                <w:rFonts w:eastAsia="宋体"/>
              </w:rPr>
            </w:pPr>
            <w:r>
              <w:rPr>
                <w:rFonts w:eastAsia="宋体"/>
              </w:rPr>
              <w:t>目标</w:t>
            </w:r>
            <w:r>
              <w:rPr>
                <w:rFonts w:hint="eastAsia" w:eastAsia="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tcMar>
              <w:left w:w="57" w:type="dxa"/>
              <w:right w:w="57" w:type="dxa"/>
            </w:tcMar>
            <w:vAlign w:val="center"/>
          </w:tcPr>
          <w:p>
            <w:pPr>
              <w:pStyle w:val="14"/>
              <w:jc w:val="center"/>
              <w:rPr>
                <w:rFonts w:eastAsia="宋体"/>
              </w:rPr>
            </w:pPr>
            <w:r>
              <w:rPr>
                <w:rFonts w:eastAsia="宋体"/>
              </w:rPr>
              <w:t>实验</w:t>
            </w:r>
            <w:r>
              <w:rPr>
                <w:rFonts w:hint="eastAsia" w:eastAsia="宋体"/>
              </w:rPr>
              <w:t>（实践）</w:t>
            </w:r>
            <w:r>
              <w:rPr>
                <w:rFonts w:eastAsia="宋体"/>
              </w:rPr>
              <w:t>成绩</w:t>
            </w:r>
          </w:p>
        </w:tc>
        <w:tc>
          <w:tcPr>
            <w:tcW w:w="1565" w:type="dxa"/>
            <w:vAlign w:val="center"/>
          </w:tcPr>
          <w:p>
            <w:pPr>
              <w:pStyle w:val="14"/>
              <w:rPr>
                <w:rFonts w:eastAsia="宋体"/>
              </w:rPr>
            </w:pPr>
            <w:r>
              <w:rPr>
                <w:rFonts w:eastAsia="宋体"/>
              </w:rPr>
              <w:t>每章或关联几章内容教学结束后的测试。</w:t>
            </w:r>
          </w:p>
        </w:tc>
        <w:tc>
          <w:tcPr>
            <w:tcW w:w="808" w:type="dxa"/>
            <w:vAlign w:val="center"/>
          </w:tcPr>
          <w:p>
            <w:pPr>
              <w:pStyle w:val="14"/>
              <w:jc w:val="center"/>
              <w:rPr>
                <w:rFonts w:eastAsia="宋体"/>
              </w:rPr>
            </w:pPr>
            <w:r>
              <w:rPr>
                <w:rFonts w:eastAsia="宋体"/>
              </w:rPr>
              <w:t>30</w:t>
            </w:r>
            <w:r>
              <w:rPr>
                <w:rFonts w:hint="eastAsia" w:eastAsia="宋体"/>
              </w:rPr>
              <w:t xml:space="preserve"> </w:t>
            </w:r>
            <w:r>
              <w:rPr>
                <w:rFonts w:eastAsia="宋体"/>
              </w:rPr>
              <w:t>%</w:t>
            </w:r>
            <w:r>
              <w:rPr>
                <w:rFonts w:hint="eastAsia" w:eastAsia="宋体"/>
              </w:rPr>
              <w:t xml:space="preserve"> </w:t>
            </w:r>
          </w:p>
        </w:tc>
        <w:tc>
          <w:tcPr>
            <w:tcW w:w="4410" w:type="dxa"/>
            <w:vAlign w:val="center"/>
          </w:tcPr>
          <w:p>
            <w:pPr>
              <w:pStyle w:val="14"/>
              <w:rPr>
                <w:rFonts w:eastAsia="宋体"/>
                <w:color w:val="000000"/>
                <w:szCs w:val="21"/>
              </w:rPr>
            </w:pPr>
            <w:r>
              <w:rPr>
                <w:rFonts w:eastAsia="宋体"/>
                <w:color w:val="000000"/>
                <w:szCs w:val="21"/>
              </w:rPr>
              <w:t>每次测试进行计分，所有课程内容结束后</w:t>
            </w:r>
            <w:r>
              <w:rPr>
                <w:rFonts w:hint="eastAsia" w:eastAsia="宋体"/>
                <w:color w:val="000000"/>
                <w:szCs w:val="21"/>
              </w:rPr>
              <w:t>，根据</w:t>
            </w:r>
            <w:r>
              <w:rPr>
                <w:rFonts w:eastAsia="宋体"/>
                <w:color w:val="000000"/>
                <w:szCs w:val="21"/>
              </w:rPr>
              <w:t>测试成绩或者报告成绩带入该部分的终成绩。</w:t>
            </w:r>
          </w:p>
        </w:tc>
        <w:tc>
          <w:tcPr>
            <w:tcW w:w="1470" w:type="dxa"/>
            <w:vAlign w:val="center"/>
          </w:tcPr>
          <w:p>
            <w:pPr>
              <w:pStyle w:val="14"/>
              <w:jc w:val="center"/>
              <w:rPr>
                <w:rFonts w:eastAsia="宋体"/>
                <w:color w:val="000000"/>
                <w:szCs w:val="21"/>
              </w:rPr>
            </w:pPr>
            <w:r>
              <w:rPr>
                <w:rFonts w:eastAsia="宋体"/>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1044" w:type="dxa"/>
            <w:tcMar>
              <w:left w:w="57" w:type="dxa"/>
              <w:right w:w="57" w:type="dxa"/>
            </w:tcMar>
            <w:vAlign w:val="center"/>
          </w:tcPr>
          <w:p>
            <w:pPr>
              <w:pStyle w:val="14"/>
              <w:jc w:val="center"/>
              <w:rPr>
                <w:rFonts w:eastAsia="宋体"/>
                <w:color w:val="FF0000"/>
              </w:rPr>
            </w:pPr>
            <w:r>
              <w:rPr>
                <w:rFonts w:hint="eastAsia" w:eastAsia="宋体"/>
              </w:rPr>
              <w:t>期末考核</w:t>
            </w:r>
          </w:p>
        </w:tc>
        <w:tc>
          <w:tcPr>
            <w:tcW w:w="1565" w:type="dxa"/>
            <w:vAlign w:val="center"/>
          </w:tcPr>
          <w:p>
            <w:pPr>
              <w:pStyle w:val="14"/>
              <w:rPr>
                <w:rFonts w:eastAsia="宋体"/>
              </w:rPr>
            </w:pPr>
            <w:r>
              <w:rPr>
                <w:rFonts w:hint="eastAsia" w:eastAsia="宋体"/>
              </w:rPr>
              <w:t>授课知识点随机抽取，进行考核</w:t>
            </w:r>
          </w:p>
        </w:tc>
        <w:tc>
          <w:tcPr>
            <w:tcW w:w="808" w:type="dxa"/>
            <w:vAlign w:val="center"/>
          </w:tcPr>
          <w:p>
            <w:pPr>
              <w:pStyle w:val="14"/>
              <w:jc w:val="center"/>
              <w:rPr>
                <w:rFonts w:eastAsia="宋体"/>
              </w:rPr>
            </w:pPr>
            <w:r>
              <w:rPr>
                <w:rFonts w:eastAsia="宋体"/>
              </w:rPr>
              <w:t>40</w:t>
            </w:r>
            <w:r>
              <w:rPr>
                <w:rFonts w:hint="eastAsia" w:eastAsia="宋体"/>
              </w:rPr>
              <w:t xml:space="preserve"> </w:t>
            </w:r>
            <w:r>
              <w:rPr>
                <w:rFonts w:eastAsia="宋体"/>
              </w:rPr>
              <w:t>%</w:t>
            </w:r>
            <w:r>
              <w:rPr>
                <w:rFonts w:hint="eastAsia" w:eastAsia="宋体"/>
              </w:rPr>
              <w:t xml:space="preserve"> </w:t>
            </w:r>
          </w:p>
        </w:tc>
        <w:tc>
          <w:tcPr>
            <w:tcW w:w="4410" w:type="dxa"/>
            <w:vAlign w:val="center"/>
          </w:tcPr>
          <w:p>
            <w:pPr>
              <w:pStyle w:val="14"/>
              <w:rPr>
                <w:rFonts w:eastAsia="宋体"/>
                <w:color w:val="000000"/>
                <w:szCs w:val="21"/>
              </w:rPr>
            </w:pPr>
            <w:r>
              <w:rPr>
                <w:rFonts w:eastAsia="宋体"/>
                <w:color w:val="000000"/>
                <w:szCs w:val="21"/>
              </w:rPr>
              <w:t>按照实验随机选取进行答辩考核</w:t>
            </w:r>
            <w:r>
              <w:rPr>
                <w:rFonts w:hint="eastAsia" w:eastAsia="宋体"/>
                <w:color w:val="000000"/>
                <w:szCs w:val="21"/>
              </w:rPr>
              <w:t>，</w:t>
            </w:r>
            <w:r>
              <w:rPr>
                <w:rFonts w:eastAsia="宋体"/>
                <w:color w:val="000000"/>
                <w:szCs w:val="21"/>
              </w:rPr>
              <w:t>按标准进行分数统计和计分。</w:t>
            </w:r>
          </w:p>
        </w:tc>
        <w:tc>
          <w:tcPr>
            <w:tcW w:w="1470" w:type="dxa"/>
            <w:vAlign w:val="center"/>
          </w:tcPr>
          <w:p>
            <w:pPr>
              <w:pStyle w:val="14"/>
              <w:jc w:val="center"/>
              <w:rPr>
                <w:rFonts w:eastAsia="宋体"/>
              </w:rPr>
            </w:pPr>
            <w:r>
              <w:rPr>
                <w:rFonts w:eastAsia="宋体"/>
              </w:rPr>
              <w:t>目标3</w:t>
            </w:r>
          </w:p>
        </w:tc>
      </w:tr>
    </w:tbl>
    <w:p>
      <w:pPr>
        <w:spacing w:line="360" w:lineRule="auto"/>
        <w:ind w:firstLine="562" w:firstLineChars="200"/>
        <w:rPr>
          <w:b/>
          <w:sz w:val="28"/>
          <w:szCs w:val="28"/>
        </w:rPr>
      </w:pPr>
      <w:r>
        <w:rPr>
          <w:rFonts w:hint="eastAsia"/>
          <w:b/>
          <w:sz w:val="28"/>
          <w:szCs w:val="28"/>
        </w:rPr>
        <w:t>六</w:t>
      </w:r>
      <w:r>
        <w:rPr>
          <w:b/>
          <w:sz w:val="28"/>
          <w:szCs w:val="28"/>
        </w:rPr>
        <w:t>、</w:t>
      </w:r>
      <w:r>
        <w:rPr>
          <w:rFonts w:hint="eastAsia"/>
          <w:b/>
          <w:sz w:val="28"/>
          <w:szCs w:val="28"/>
        </w:rPr>
        <w:t>有关说明</w:t>
      </w:r>
    </w:p>
    <w:p>
      <w:pPr>
        <w:spacing w:line="360" w:lineRule="auto"/>
        <w:ind w:firstLine="482" w:firstLineChars="200"/>
        <w:rPr>
          <w:b/>
          <w:color w:val="000000"/>
          <w:sz w:val="24"/>
        </w:rPr>
      </w:pPr>
      <w:r>
        <w:rPr>
          <w:rFonts w:hint="eastAsia"/>
          <w:b/>
          <w:color w:val="000000"/>
          <w:sz w:val="24"/>
        </w:rPr>
        <w:t>（一）持续改进</w:t>
      </w:r>
    </w:p>
    <w:p>
      <w:pPr>
        <w:spacing w:line="360" w:lineRule="auto"/>
        <w:ind w:firstLine="480" w:firstLineChars="200"/>
        <w:rPr>
          <w:color w:val="000000"/>
          <w:sz w:val="24"/>
        </w:rPr>
      </w:pPr>
      <w:r>
        <w:rPr>
          <w:rFonts w:hint="eastAsia"/>
          <w:color w:val="000000"/>
          <w:sz w:val="24"/>
        </w:rPr>
        <w:t>本课程教学环节根据学生在课程教学的平时表现、考核情况和课后交流等反映进行问题分析及原因，围绕教学目标进行问题解决方案的提出并运行下一轮教学中，尤其课堂教与学的过程评价及改进意见，抓住问题的关键点，确保进一步教学实践得到相应毕业指标点的要求。</w:t>
      </w:r>
    </w:p>
    <w:p>
      <w:pPr>
        <w:spacing w:line="360" w:lineRule="auto"/>
        <w:ind w:firstLine="480" w:firstLineChars="200"/>
        <w:rPr>
          <w:color w:val="000000"/>
          <w:sz w:val="24"/>
        </w:rPr>
      </w:pPr>
      <w:r>
        <w:rPr>
          <w:rFonts w:hint="eastAsia"/>
          <w:color w:val="000000"/>
          <w:sz w:val="24"/>
        </w:rPr>
        <w:t>（二）</w:t>
      </w:r>
      <w:r>
        <w:rPr>
          <w:color w:val="000000"/>
          <w:sz w:val="24"/>
        </w:rPr>
        <w:t>参考书目及学习资料</w:t>
      </w:r>
    </w:p>
    <w:p>
      <w:pPr>
        <w:autoSpaceDE w:val="0"/>
        <w:autoSpaceDN w:val="0"/>
        <w:adjustRightInd w:val="0"/>
        <w:spacing w:line="360" w:lineRule="auto"/>
        <w:ind w:firstLine="480" w:firstLineChars="200"/>
        <w:jc w:val="left"/>
        <w:rPr>
          <w:kern w:val="0"/>
          <w:sz w:val="24"/>
          <w:szCs w:val="21"/>
        </w:rPr>
      </w:pPr>
      <w:r>
        <w:rPr>
          <w:rFonts w:hint="eastAsia"/>
          <w:kern w:val="0"/>
          <w:sz w:val="24"/>
          <w:szCs w:val="21"/>
        </w:rPr>
        <w:t>列出课程教学所需的参考书目及学习资料，包括编者、书名、出版社、出版时间及版次等有关信息。</w:t>
      </w:r>
    </w:p>
    <w:p>
      <w:pPr>
        <w:widowControl/>
        <w:spacing w:line="500" w:lineRule="atLeast"/>
        <w:jc w:val="left"/>
        <w:rPr>
          <w:color w:val="000000"/>
          <w:sz w:val="24"/>
          <w:szCs w:val="22"/>
        </w:rPr>
      </w:pPr>
      <w:r>
        <w:rPr>
          <w:color w:val="000000"/>
          <w:sz w:val="24"/>
          <w:szCs w:val="22"/>
        </w:rPr>
        <w:t>参考书：</w:t>
      </w:r>
    </w:p>
    <w:p>
      <w:pPr>
        <w:widowControl/>
        <w:spacing w:line="500" w:lineRule="atLeast"/>
        <w:jc w:val="left"/>
        <w:rPr>
          <w:color w:val="000000"/>
          <w:sz w:val="24"/>
          <w:szCs w:val="22"/>
        </w:rPr>
      </w:pPr>
      <w:r>
        <w:rPr>
          <w:color w:val="000000"/>
          <w:sz w:val="24"/>
          <w:szCs w:val="22"/>
        </w:rPr>
        <w:t>1.《化工仿真实训与指导》，杨百梅，化学工业出版社，2010年5月</w:t>
      </w:r>
    </w:p>
    <w:p>
      <w:pPr>
        <w:widowControl/>
        <w:spacing w:line="500" w:lineRule="atLeast"/>
        <w:jc w:val="left"/>
        <w:rPr>
          <w:color w:val="000000"/>
          <w:sz w:val="24"/>
          <w:szCs w:val="22"/>
        </w:rPr>
      </w:pPr>
      <w:r>
        <w:rPr>
          <w:color w:val="000000"/>
          <w:sz w:val="24"/>
          <w:szCs w:val="22"/>
        </w:rPr>
        <w:t>2.《化工仿真实训教程》，侯影飞，中国石化出版社，2015年8月</w:t>
      </w:r>
    </w:p>
    <w:p>
      <w:pPr>
        <w:widowControl/>
        <w:spacing w:line="500" w:lineRule="atLeast"/>
        <w:jc w:val="left"/>
        <w:rPr>
          <w:color w:val="000000"/>
          <w:sz w:val="24"/>
          <w:szCs w:val="22"/>
        </w:rPr>
      </w:pPr>
      <w:r>
        <w:rPr>
          <w:color w:val="000000"/>
          <w:sz w:val="24"/>
          <w:szCs w:val="22"/>
        </w:rPr>
        <w:t>3.《化工仿真实习指南》</w:t>
      </w:r>
      <w:r>
        <w:rPr>
          <w:rFonts w:hint="eastAsia" w:ascii="宋体" w:hAnsi="宋体"/>
          <w:kern w:val="0"/>
          <w:sz w:val="24"/>
        </w:rPr>
        <w:t>（第三版）</w:t>
      </w:r>
      <w:r>
        <w:rPr>
          <w:color w:val="000000"/>
          <w:sz w:val="24"/>
          <w:szCs w:val="22"/>
        </w:rPr>
        <w:t>，吴重光，化学工业出版社，2019年1月</w:t>
      </w:r>
    </w:p>
    <w:p>
      <w:pPr>
        <w:autoSpaceDE w:val="0"/>
        <w:autoSpaceDN w:val="0"/>
        <w:adjustRightInd w:val="0"/>
        <w:spacing w:line="360" w:lineRule="auto"/>
        <w:ind w:firstLine="480" w:firstLineChars="200"/>
        <w:jc w:val="left"/>
        <w:rPr>
          <w:kern w:val="0"/>
          <w:sz w:val="24"/>
          <w:szCs w:val="21"/>
        </w:rPr>
      </w:pPr>
    </w:p>
    <w:p>
      <w:pPr>
        <w:autoSpaceDE w:val="0"/>
        <w:autoSpaceDN w:val="0"/>
        <w:adjustRightInd w:val="0"/>
        <w:spacing w:line="360" w:lineRule="auto"/>
        <w:ind w:firstLine="480" w:firstLineChars="200"/>
        <w:jc w:val="left"/>
        <w:rPr>
          <w:kern w:val="0"/>
          <w:sz w:val="24"/>
          <w:szCs w:val="21"/>
        </w:rPr>
      </w:pPr>
      <w:r>
        <w:rPr>
          <w:rFonts w:hint="eastAsia"/>
          <w:sz w:val="24"/>
        </w:rPr>
        <w:t xml:space="preserve">                                                  </w:t>
      </w:r>
      <w:r>
        <w:rPr>
          <w:kern w:val="0"/>
          <w:sz w:val="24"/>
          <w:szCs w:val="21"/>
        </w:rPr>
        <w:t>执笔人：</w:t>
      </w:r>
      <w:r>
        <w:rPr>
          <w:rFonts w:hint="eastAsia"/>
          <w:kern w:val="0"/>
          <w:sz w:val="24"/>
          <w:szCs w:val="21"/>
        </w:rPr>
        <w:t xml:space="preserve"> </w:t>
      </w:r>
      <w:r>
        <w:rPr>
          <w:kern w:val="0"/>
          <w:sz w:val="24"/>
          <w:szCs w:val="21"/>
        </w:rPr>
        <w:t xml:space="preserve">柏寄荣 </w:t>
      </w:r>
    </w:p>
    <w:p>
      <w:pPr>
        <w:autoSpaceDE w:val="0"/>
        <w:autoSpaceDN w:val="0"/>
        <w:adjustRightInd w:val="0"/>
        <w:spacing w:line="360" w:lineRule="auto"/>
        <w:ind w:firstLine="6480" w:firstLineChars="2700"/>
        <w:rPr>
          <w:kern w:val="0"/>
          <w:sz w:val="24"/>
        </w:rPr>
      </w:pPr>
      <w:r>
        <w:rPr>
          <w:rFonts w:hint="eastAsia" w:cs="宋体"/>
          <w:kern w:val="0"/>
          <w:sz w:val="24"/>
        </w:rPr>
        <w:t>审定人：</w:t>
      </w:r>
      <w:r>
        <w:rPr>
          <w:kern w:val="0"/>
          <w:sz w:val="24"/>
        </w:rPr>
        <w:t xml:space="preserve"> </w:t>
      </w:r>
      <w:r>
        <w:rPr>
          <w:rFonts w:hint="eastAsia"/>
          <w:kern w:val="0"/>
          <w:sz w:val="24"/>
        </w:rPr>
        <w:t>魏雪娇</w:t>
      </w:r>
    </w:p>
    <w:p>
      <w:pPr>
        <w:autoSpaceDE w:val="0"/>
        <w:autoSpaceDN w:val="0"/>
        <w:adjustRightInd w:val="0"/>
        <w:spacing w:line="360" w:lineRule="auto"/>
        <w:ind w:firstLine="6480" w:firstLineChars="2700"/>
        <w:rPr>
          <w:kern w:val="0"/>
          <w:sz w:val="24"/>
        </w:rPr>
      </w:pPr>
      <w:r>
        <w:rPr>
          <w:rFonts w:hint="eastAsia" w:cs="宋体"/>
          <w:kern w:val="0"/>
          <w:sz w:val="24"/>
        </w:rPr>
        <w:t>审批人：</w:t>
      </w:r>
      <w:r>
        <w:rPr>
          <w:kern w:val="0"/>
          <w:sz w:val="24"/>
        </w:rPr>
        <w:t xml:space="preserve"> </w:t>
      </w:r>
      <w:r>
        <w:rPr>
          <w:rFonts w:hint="eastAsia"/>
          <w:kern w:val="0"/>
          <w:sz w:val="24"/>
        </w:rPr>
        <w:t>吴泽颖</w:t>
      </w:r>
    </w:p>
    <w:p>
      <w:pPr>
        <w:autoSpaceDE w:val="0"/>
        <w:autoSpaceDN w:val="0"/>
        <w:adjustRightInd w:val="0"/>
        <w:spacing w:line="360" w:lineRule="auto"/>
        <w:ind w:firstLine="6360" w:firstLineChars="2650"/>
        <w:rPr>
          <w:kern w:val="0"/>
          <w:sz w:val="24"/>
          <w:szCs w:val="21"/>
        </w:rPr>
      </w:pPr>
      <w:r>
        <w:rPr>
          <w:rFonts w:hint="eastAsia" w:cs="宋体"/>
          <w:kern w:val="0"/>
          <w:sz w:val="24"/>
        </w:rPr>
        <w:t>批准时间：2</w:t>
      </w:r>
      <w:r>
        <w:rPr>
          <w:rFonts w:cs="宋体"/>
          <w:kern w:val="0"/>
          <w:sz w:val="24"/>
        </w:rPr>
        <w:t>021</w:t>
      </w:r>
      <w:r>
        <w:rPr>
          <w:rFonts w:hint="eastAsia" w:cs="宋体"/>
          <w:kern w:val="0"/>
          <w:sz w:val="24"/>
        </w:rPr>
        <w:t>.9.</w:t>
      </w:r>
      <w:r>
        <w:rPr>
          <w:rFonts w:cs="宋体"/>
          <w:kern w:val="0"/>
          <w:sz w:val="24"/>
        </w:rPr>
        <w:t>8</w:t>
      </w:r>
    </w:p>
    <w:p/>
    <w:p>
      <w:pPr>
        <w:spacing w:line="400" w:lineRule="exact"/>
        <w:ind w:right="240" w:firstLine="5040" w:firstLineChars="2100"/>
        <w:jc w:val="both"/>
        <w:rPr>
          <w:rFonts w:hint="default"/>
          <w:sz w:val="24"/>
          <w:lang w:val="en-US" w:eastAsia="zh-CN"/>
        </w:rPr>
      </w:pPr>
    </w:p>
    <w:p>
      <w:pPr>
        <w:spacing w:line="400" w:lineRule="exact"/>
        <w:ind w:right="240" w:firstLine="5040" w:firstLineChars="2100"/>
        <w:jc w:val="both"/>
        <w:rPr>
          <w:rFonts w:hint="default"/>
          <w:sz w:val="24"/>
          <w:lang w:val="en-US" w:eastAsia="zh-CN"/>
        </w:rPr>
      </w:pPr>
    </w:p>
    <w:p>
      <w:pPr>
        <w:spacing w:line="400" w:lineRule="exact"/>
        <w:ind w:right="240" w:firstLine="5040" w:firstLineChars="2100"/>
        <w:jc w:val="both"/>
        <w:rPr>
          <w:rFonts w:hint="default"/>
          <w:sz w:val="24"/>
          <w:lang w:val="en-US" w:eastAsia="zh-CN"/>
        </w:rPr>
      </w:pPr>
    </w:p>
    <w:p>
      <w:pPr>
        <w:pStyle w:val="3"/>
        <w:bidi w:val="0"/>
        <w:jc w:val="center"/>
        <w:rPr>
          <w:rFonts w:hint="eastAsia"/>
        </w:rPr>
      </w:pPr>
      <w:bookmarkStart w:id="323" w:name="_Toc5961"/>
      <w:bookmarkStart w:id="324" w:name="_Toc530680513"/>
    </w:p>
    <w:p>
      <w:pPr>
        <w:pStyle w:val="3"/>
        <w:bidi w:val="0"/>
        <w:jc w:val="center"/>
      </w:pPr>
      <w:bookmarkStart w:id="325" w:name="_Toc14600"/>
      <w:r>
        <w:rPr>
          <w:rFonts w:hint="eastAsia"/>
        </w:rPr>
        <w:t>化工综合实验课程</w:t>
      </w:r>
      <w:r>
        <w:t>教学大纲</w:t>
      </w:r>
      <w:bookmarkEnd w:id="323"/>
      <w:bookmarkEnd w:id="324"/>
      <w:bookmarkEnd w:id="325"/>
    </w:p>
    <w:p>
      <w:pPr>
        <w:jc w:val="center"/>
        <w:rPr>
          <w:rFonts w:ascii="Times New Roman" w:hAnsi="Times New Roman" w:cs="Calibri"/>
          <w:sz w:val="30"/>
          <w:szCs w:val="30"/>
        </w:rPr>
      </w:pPr>
      <w:r>
        <w:rPr>
          <w:rFonts w:ascii="Times New Roman" w:hAnsi="Times New Roman" w:cs="Calibri"/>
          <w:sz w:val="30"/>
          <w:szCs w:val="30"/>
        </w:rPr>
        <w:t>（Integrated Chemical Engineering Experiment）</w:t>
      </w:r>
    </w:p>
    <w:p>
      <w:pPr>
        <w:spacing w:line="360" w:lineRule="auto"/>
        <w:ind w:firstLine="551" w:firstLineChars="196"/>
        <w:rPr>
          <w:rFonts w:ascii="Times New Roman" w:hAnsi="Times New Roman"/>
          <w:b/>
          <w:sz w:val="28"/>
          <w:szCs w:val="28"/>
        </w:rPr>
      </w:pPr>
      <w:r>
        <w:rPr>
          <w:rFonts w:ascii="Times New Roman" w:hAnsi="Times New Roman"/>
          <w:b/>
          <w:sz w:val="28"/>
          <w:szCs w:val="28"/>
        </w:rPr>
        <w:t>一、课程概况</w:t>
      </w:r>
    </w:p>
    <w:p>
      <w:pPr>
        <w:spacing w:line="360" w:lineRule="auto"/>
        <w:ind w:firstLine="482" w:firstLineChars="200"/>
        <w:rPr>
          <w:rFonts w:ascii="Times New Roman" w:hAnsi="Times New Roman"/>
          <w:b/>
          <w:sz w:val="28"/>
          <w:szCs w:val="28"/>
        </w:rPr>
      </w:pPr>
      <w:r>
        <w:rPr>
          <w:rFonts w:ascii="Times New Roman" w:hAnsi="Times New Roman"/>
          <w:b/>
          <w:bCs/>
          <w:kern w:val="0"/>
          <w:sz w:val="24"/>
        </w:rPr>
        <w:t>课程代码</w:t>
      </w:r>
      <w:r>
        <w:rPr>
          <w:rFonts w:ascii="Times New Roman" w:hAnsi="Times New Roman"/>
          <w:b/>
          <w:kern w:val="0"/>
          <w:sz w:val="24"/>
        </w:rPr>
        <w:t>：</w:t>
      </w:r>
      <w:r>
        <w:rPr>
          <w:rFonts w:ascii="Times New Roman" w:hAnsi="Times New Roman"/>
          <w:sz w:val="24"/>
        </w:rPr>
        <w:t>2501816</w:t>
      </w:r>
    </w:p>
    <w:p>
      <w:pPr>
        <w:spacing w:line="360" w:lineRule="auto"/>
        <w:ind w:firstLine="482" w:firstLineChars="200"/>
        <w:rPr>
          <w:rFonts w:ascii="Times New Roman" w:hAnsi="Times New Roman"/>
          <w:kern w:val="0"/>
          <w:sz w:val="24"/>
        </w:rPr>
      </w:pPr>
      <w:r>
        <w:rPr>
          <w:rFonts w:ascii="Times New Roman" w:hAnsi="Times New Roman"/>
          <w:b/>
          <w:bCs/>
          <w:kern w:val="0"/>
          <w:sz w:val="24"/>
        </w:rPr>
        <w:t>学    分：</w:t>
      </w:r>
      <w:r>
        <w:rPr>
          <w:rFonts w:hint="eastAsia" w:ascii="Times New Roman" w:hAnsi="Times New Roman"/>
          <w:kern w:val="0"/>
          <w:sz w:val="24"/>
        </w:rPr>
        <w:t>1</w:t>
      </w:r>
      <w:r>
        <w:rPr>
          <w:rFonts w:ascii="Times New Roman" w:hAnsi="Times New Roman"/>
          <w:kern w:val="0"/>
          <w:sz w:val="24"/>
        </w:rPr>
        <w:t xml:space="preserve"> </w:t>
      </w:r>
    </w:p>
    <w:p>
      <w:pPr>
        <w:spacing w:line="360" w:lineRule="auto"/>
        <w:ind w:firstLine="482" w:firstLineChars="200"/>
        <w:rPr>
          <w:rFonts w:ascii="Times New Roman" w:hAnsi="Times New Roman"/>
          <w:kern w:val="0"/>
          <w:sz w:val="24"/>
        </w:rPr>
      </w:pPr>
      <w:r>
        <w:rPr>
          <w:rFonts w:ascii="Times New Roman" w:hAnsi="Times New Roman"/>
          <w:b/>
          <w:bCs/>
          <w:kern w:val="0"/>
          <w:sz w:val="24"/>
        </w:rPr>
        <w:t>学    时：</w:t>
      </w:r>
      <w:r>
        <w:rPr>
          <w:rFonts w:hint="eastAsia" w:ascii="Times New Roman" w:hAnsi="Times New Roman"/>
          <w:bCs/>
          <w:kern w:val="0"/>
          <w:sz w:val="24"/>
        </w:rPr>
        <w:t>1</w:t>
      </w:r>
      <w:r>
        <w:rPr>
          <w:rFonts w:ascii="Times New Roman" w:hAnsi="Times New Roman"/>
          <w:bCs/>
          <w:kern w:val="0"/>
          <w:sz w:val="24"/>
        </w:rPr>
        <w:t>周</w:t>
      </w:r>
    </w:p>
    <w:p>
      <w:pPr>
        <w:spacing w:line="360" w:lineRule="auto"/>
        <w:ind w:firstLine="482" w:firstLineChars="200"/>
        <w:rPr>
          <w:rFonts w:ascii="Times New Roman" w:hAnsi="Times New Roman"/>
          <w:bCs/>
          <w:kern w:val="0"/>
          <w:sz w:val="24"/>
        </w:rPr>
      </w:pPr>
      <w:r>
        <w:rPr>
          <w:rFonts w:ascii="Times New Roman" w:hAnsi="Times New Roman"/>
          <w:b/>
          <w:bCs/>
          <w:kern w:val="0"/>
          <w:sz w:val="24"/>
        </w:rPr>
        <w:t>先修课程：</w:t>
      </w:r>
      <w:r>
        <w:rPr>
          <w:rFonts w:hint="eastAsia" w:ascii="Times New Roman" w:hAnsi="Times New Roman"/>
          <w:bCs/>
          <w:kern w:val="0"/>
          <w:sz w:val="24"/>
        </w:rPr>
        <w:t>有机化学，有机化学实验，无机化学，无机化学实验，物理化学，物理化学实验，分析化学，分析化学实验，仪器分析与实验，计算机在化学化工中的应用等</w:t>
      </w:r>
    </w:p>
    <w:p>
      <w:pPr>
        <w:spacing w:line="360" w:lineRule="auto"/>
        <w:ind w:firstLine="482" w:firstLineChars="200"/>
        <w:rPr>
          <w:rFonts w:ascii="Times New Roman" w:hAnsi="Times New Roman"/>
          <w:kern w:val="0"/>
          <w:sz w:val="24"/>
        </w:rPr>
      </w:pPr>
      <w:r>
        <w:rPr>
          <w:rFonts w:ascii="Times New Roman" w:hAnsi="Times New Roman"/>
          <w:b/>
          <w:bCs/>
          <w:kern w:val="0"/>
          <w:sz w:val="24"/>
        </w:rPr>
        <w:t>适用专业：</w:t>
      </w:r>
      <w:r>
        <w:rPr>
          <w:rFonts w:hint="eastAsia" w:ascii="Times New Roman" w:hAnsi="Times New Roman"/>
          <w:sz w:val="24"/>
        </w:rPr>
        <w:t>化学工程与工艺</w:t>
      </w:r>
    </w:p>
    <w:p>
      <w:pPr>
        <w:spacing w:line="360" w:lineRule="auto"/>
        <w:ind w:firstLine="482" w:firstLineChars="200"/>
        <w:rPr>
          <w:rFonts w:ascii="Times New Roman" w:hAnsi="Times New Roman"/>
          <w:kern w:val="0"/>
          <w:sz w:val="24"/>
        </w:rPr>
      </w:pPr>
      <w:r>
        <w:rPr>
          <w:rFonts w:ascii="Times New Roman" w:hAnsi="Times New Roman"/>
          <w:b/>
          <w:bCs/>
          <w:kern w:val="0"/>
          <w:sz w:val="24"/>
        </w:rPr>
        <w:t>教    材：</w:t>
      </w:r>
      <w:r>
        <w:rPr>
          <w:rFonts w:hint="eastAsia" w:ascii="Times New Roman" w:hAnsi="Times New Roman"/>
          <w:kern w:val="0"/>
          <w:sz w:val="24"/>
        </w:rPr>
        <w:t>叶明德主编，综合化学实验，浙江大学出版社，2011年12月</w:t>
      </w:r>
    </w:p>
    <w:p>
      <w:pPr>
        <w:spacing w:line="360" w:lineRule="auto"/>
        <w:ind w:firstLine="482" w:firstLineChars="200"/>
        <w:rPr>
          <w:rFonts w:ascii="Times New Roman" w:hAnsi="Times New Roman"/>
          <w:kern w:val="0"/>
          <w:sz w:val="24"/>
        </w:rPr>
      </w:pPr>
      <w:r>
        <w:rPr>
          <w:rFonts w:ascii="Times New Roman" w:hAnsi="Times New Roman"/>
          <w:b/>
          <w:bCs/>
          <w:kern w:val="0"/>
          <w:sz w:val="24"/>
        </w:rPr>
        <w:t>课程归口：</w:t>
      </w:r>
      <w:r>
        <w:rPr>
          <w:rFonts w:hint="eastAsia" w:ascii="Times New Roman" w:hAnsi="Times New Roman"/>
          <w:bCs/>
          <w:kern w:val="0"/>
          <w:sz w:val="24"/>
        </w:rPr>
        <w:t>化工与材料</w:t>
      </w:r>
      <w:r>
        <w:rPr>
          <w:rFonts w:ascii="Times New Roman" w:hAnsi="Times New Roman"/>
          <w:kern w:val="0"/>
          <w:sz w:val="24"/>
        </w:rPr>
        <w:t>学院</w:t>
      </w:r>
    </w:p>
    <w:p>
      <w:pPr>
        <w:spacing w:line="360" w:lineRule="auto"/>
        <w:ind w:firstLine="482" w:firstLineChars="200"/>
        <w:rPr>
          <w:rFonts w:ascii="Times New Roman" w:hAnsi="Times New Roman"/>
          <w:bCs/>
          <w:kern w:val="0"/>
          <w:sz w:val="24"/>
        </w:rPr>
      </w:pPr>
      <w:r>
        <w:rPr>
          <w:rFonts w:hint="eastAsia" w:ascii="Times New Roman" w:hAnsi="Times New Roman"/>
          <w:b/>
          <w:bCs/>
          <w:kern w:val="0"/>
          <w:sz w:val="24"/>
        </w:rPr>
        <w:t>课程团队：</w:t>
      </w:r>
      <w:r>
        <w:rPr>
          <w:rFonts w:hint="eastAsia" w:ascii="Times New Roman" w:hAnsi="Times New Roman"/>
          <w:bCs/>
          <w:kern w:val="0"/>
          <w:sz w:val="24"/>
        </w:rPr>
        <w:t>许鹏、孙潇楠、刘天宇、陈建欣、张金涛等</w:t>
      </w:r>
    </w:p>
    <w:p>
      <w:pPr>
        <w:spacing w:line="360" w:lineRule="auto"/>
        <w:ind w:firstLine="482" w:firstLineChars="200"/>
        <w:rPr>
          <w:rFonts w:ascii="Times New Roman" w:hAnsi="Times New Roman"/>
          <w:b/>
          <w:bCs/>
          <w:kern w:val="0"/>
          <w:sz w:val="24"/>
        </w:rPr>
      </w:pPr>
      <w:r>
        <w:rPr>
          <w:rFonts w:hint="eastAsia" w:ascii="Times New Roman" w:hAnsi="Times New Roman"/>
          <w:b/>
          <w:bCs/>
          <w:kern w:val="0"/>
          <w:sz w:val="24"/>
        </w:rPr>
        <w:t>课程性质与任务：</w:t>
      </w:r>
    </w:p>
    <w:p>
      <w:pPr>
        <w:spacing w:line="360" w:lineRule="auto"/>
        <w:ind w:firstLine="480" w:firstLineChars="200"/>
        <w:rPr>
          <w:rFonts w:ascii="Times New Roman" w:hAnsi="Times New Roman"/>
          <w:sz w:val="24"/>
        </w:rPr>
      </w:pPr>
      <w:r>
        <w:rPr>
          <w:rFonts w:hint="eastAsia" w:ascii="Times New Roman" w:hAnsi="Times New Roman"/>
          <w:sz w:val="24"/>
        </w:rPr>
        <w:t>本课程是化学工程与工艺专业的一门集中实践性环节，使</w:t>
      </w:r>
      <w:r>
        <w:rPr>
          <w:rFonts w:ascii="Times New Roman" w:hAnsi="Times New Roman"/>
          <w:sz w:val="24"/>
        </w:rPr>
        <w:t>学生在学习了</w:t>
      </w:r>
      <w:r>
        <w:rPr>
          <w:rFonts w:hint="eastAsia" w:ascii="Times New Roman" w:hAnsi="Times New Roman"/>
          <w:sz w:val="24"/>
        </w:rPr>
        <w:t>大部分</w:t>
      </w:r>
      <w:r>
        <w:rPr>
          <w:rFonts w:ascii="Times New Roman" w:hAnsi="Times New Roman"/>
          <w:sz w:val="24"/>
        </w:rPr>
        <w:t>基础课、专业基础</w:t>
      </w:r>
      <w:r>
        <w:rPr>
          <w:rFonts w:hint="eastAsia" w:ascii="Times New Roman" w:hAnsi="Times New Roman"/>
          <w:sz w:val="24"/>
        </w:rPr>
        <w:t>课</w:t>
      </w:r>
      <w:r>
        <w:rPr>
          <w:rFonts w:ascii="Times New Roman" w:hAnsi="Times New Roman"/>
          <w:sz w:val="24"/>
        </w:rPr>
        <w:t>和专业课程后</w:t>
      </w:r>
      <w:r>
        <w:rPr>
          <w:rFonts w:hint="eastAsia" w:ascii="Times New Roman" w:hAnsi="Times New Roman"/>
          <w:sz w:val="24"/>
        </w:rPr>
        <w:t>，综合运用各化学学科理论知识和实践技能，来解决实际化学问题的能力而设计的。</w:t>
      </w:r>
      <w:r>
        <w:rPr>
          <w:rFonts w:ascii="Times New Roman" w:hAnsi="Times New Roman"/>
          <w:sz w:val="24"/>
        </w:rPr>
        <w:t>通过本课程</w:t>
      </w:r>
      <w:r>
        <w:rPr>
          <w:rFonts w:hint="eastAsia" w:ascii="Times New Roman" w:hAnsi="Times New Roman"/>
          <w:sz w:val="24"/>
        </w:rPr>
        <w:t>的实践进一步</w:t>
      </w:r>
      <w:r>
        <w:rPr>
          <w:rFonts w:ascii="Times New Roman" w:hAnsi="Times New Roman"/>
          <w:sz w:val="24"/>
        </w:rPr>
        <w:t>对本专业的</w:t>
      </w:r>
      <w:r>
        <w:rPr>
          <w:rFonts w:hint="eastAsia" w:ascii="Times New Roman" w:hAnsi="Times New Roman"/>
          <w:sz w:val="24"/>
        </w:rPr>
        <w:t>现状</w:t>
      </w:r>
      <w:r>
        <w:rPr>
          <w:rFonts w:ascii="Times New Roman" w:hAnsi="Times New Roman"/>
          <w:sz w:val="24"/>
        </w:rPr>
        <w:t>和发展</w:t>
      </w:r>
      <w:r>
        <w:rPr>
          <w:rFonts w:hint="eastAsia" w:ascii="Times New Roman" w:hAnsi="Times New Roman"/>
          <w:sz w:val="24"/>
        </w:rPr>
        <w:t>情况</w:t>
      </w:r>
      <w:r>
        <w:rPr>
          <w:rFonts w:ascii="Times New Roman" w:hAnsi="Times New Roman"/>
          <w:sz w:val="24"/>
        </w:rPr>
        <w:t>有一个更加</w:t>
      </w:r>
      <w:r>
        <w:rPr>
          <w:rFonts w:hint="eastAsia" w:ascii="Times New Roman" w:hAnsi="Times New Roman"/>
          <w:sz w:val="24"/>
        </w:rPr>
        <w:t>感性</w:t>
      </w:r>
      <w:r>
        <w:rPr>
          <w:rFonts w:ascii="Times New Roman" w:hAnsi="Times New Roman"/>
          <w:sz w:val="24"/>
        </w:rPr>
        <w:t>的认识</w:t>
      </w:r>
      <w:r>
        <w:rPr>
          <w:rFonts w:hint="eastAsia" w:ascii="Times New Roman" w:hAnsi="Times New Roman"/>
          <w:sz w:val="24"/>
        </w:rPr>
        <w:t>，</w:t>
      </w:r>
      <w:r>
        <w:rPr>
          <w:rFonts w:ascii="Times New Roman" w:hAnsi="Times New Roman"/>
          <w:sz w:val="24"/>
        </w:rPr>
        <w:t>为</w:t>
      </w:r>
      <w:r>
        <w:rPr>
          <w:rFonts w:hint="eastAsia" w:ascii="Times New Roman" w:hAnsi="Times New Roman"/>
          <w:sz w:val="24"/>
        </w:rPr>
        <w:t>学生在</w:t>
      </w:r>
      <w:r>
        <w:rPr>
          <w:rFonts w:ascii="Times New Roman" w:hAnsi="Times New Roman"/>
          <w:sz w:val="24"/>
        </w:rPr>
        <w:t>最后一学期的毕业设计及毕业后的就业打下良好的基础</w:t>
      </w:r>
      <w:r>
        <w:rPr>
          <w:rFonts w:hint="eastAsia" w:ascii="Times New Roman" w:hAnsi="Times New Roman"/>
          <w:sz w:val="24"/>
        </w:rPr>
        <w:t>。</w:t>
      </w:r>
    </w:p>
    <w:p>
      <w:pPr>
        <w:spacing w:line="360" w:lineRule="auto"/>
        <w:ind w:firstLine="480" w:firstLineChars="200"/>
        <w:rPr>
          <w:rFonts w:ascii="Times New Roman" w:hAnsi="Times New Roman"/>
          <w:bCs/>
          <w:kern w:val="0"/>
          <w:sz w:val="24"/>
        </w:rPr>
      </w:pPr>
      <w:r>
        <w:rPr>
          <w:rFonts w:hint="eastAsia" w:ascii="Times New Roman" w:hAnsi="Times New Roman"/>
          <w:bCs/>
          <w:kern w:val="0"/>
          <w:sz w:val="24"/>
        </w:rPr>
        <w:t>本课程的任务是结合常规分析及仪器测量等手段，设立基础性、应用性和研究性三个层次的综合化学实验，培养学生综合解决实际问题的能力。使得学生能从实际的化学研究，产品开发等方面培养解决综合性问题和实际问题的能力，更快地掌握科学研究和生产实践的思想方法和基本技能，拟定课题的具体任务和目标（或指标），并完成具体作品的设计和实践，最后根据实践过程内容，撰写相应的设计报告。</w:t>
      </w:r>
    </w:p>
    <w:p>
      <w:pPr>
        <w:spacing w:line="360" w:lineRule="auto"/>
        <w:ind w:firstLine="480" w:firstLineChars="200"/>
        <w:rPr>
          <w:rFonts w:ascii="Times New Roman" w:hAnsi="Times New Roman"/>
          <w:bCs/>
          <w:kern w:val="0"/>
          <w:sz w:val="24"/>
        </w:rPr>
      </w:pPr>
    </w:p>
    <w:p>
      <w:pPr>
        <w:spacing w:line="360" w:lineRule="auto"/>
        <w:ind w:firstLine="480" w:firstLineChars="200"/>
        <w:rPr>
          <w:rFonts w:ascii="Times New Roman" w:hAnsi="Times New Roman"/>
          <w:bCs/>
          <w:kern w:val="0"/>
          <w:sz w:val="24"/>
        </w:rPr>
      </w:pPr>
    </w:p>
    <w:p>
      <w:pPr>
        <w:spacing w:line="360" w:lineRule="auto"/>
        <w:ind w:firstLine="480" w:firstLineChars="200"/>
        <w:rPr>
          <w:rFonts w:ascii="Times New Roman" w:hAnsi="Times New Roman"/>
          <w:bCs/>
          <w:kern w:val="0"/>
          <w:sz w:val="24"/>
        </w:rPr>
      </w:pPr>
    </w:p>
    <w:p>
      <w:pPr>
        <w:spacing w:line="360" w:lineRule="auto"/>
        <w:rPr>
          <w:rFonts w:ascii="Times New Roman" w:hAnsi="Times New Roman"/>
          <w:b/>
          <w:sz w:val="28"/>
          <w:szCs w:val="28"/>
        </w:rPr>
      </w:pPr>
      <w:r>
        <w:rPr>
          <w:rFonts w:hint="eastAsia" w:ascii="Times New Roman" w:hAnsi="Times New Roman"/>
          <w:b/>
          <w:sz w:val="28"/>
          <w:szCs w:val="28"/>
        </w:rPr>
        <w:t>二</w:t>
      </w:r>
      <w:r>
        <w:rPr>
          <w:rFonts w:ascii="Times New Roman" w:hAnsi="Times New Roman"/>
          <w:b/>
          <w:sz w:val="28"/>
          <w:szCs w:val="28"/>
        </w:rPr>
        <w:t>、课程目标</w:t>
      </w:r>
      <w:r>
        <w:rPr>
          <w:rFonts w:hint="eastAsia" w:ascii="Times New Roman" w:hAnsi="Times New Roman"/>
          <w:b/>
          <w:sz w:val="28"/>
          <w:szCs w:val="28"/>
        </w:rPr>
        <w:t>及对毕业要求分解指标点的支撑</w:t>
      </w:r>
    </w:p>
    <w:tbl>
      <w:tblPr>
        <w:tblStyle w:val="1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3"/>
        <w:gridCol w:w="2787"/>
        <w:gridCol w:w="2788"/>
        <w:gridCol w:w="3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573" w:type="dxa"/>
            <w:shd w:val="clear" w:color="auto" w:fill="auto"/>
            <w:noWrap/>
            <w:vAlign w:val="center"/>
          </w:tcPr>
          <w:p>
            <w:pPr>
              <w:widowControl/>
              <w:jc w:val="center"/>
              <w:rPr>
                <w:rFonts w:ascii="Times New Roman" w:hAnsi="Times New Roman"/>
                <w:b/>
                <w:bCs/>
                <w:kern w:val="0"/>
                <w:szCs w:val="21"/>
              </w:rPr>
            </w:pPr>
            <w:r>
              <w:rPr>
                <w:rFonts w:hint="eastAsia" w:ascii="Times New Roman" w:hAnsi="Times New Roman"/>
                <w:b/>
                <w:bCs/>
                <w:kern w:val="0"/>
                <w:szCs w:val="21"/>
              </w:rPr>
              <w:t>序号</w:t>
            </w:r>
          </w:p>
        </w:tc>
        <w:tc>
          <w:tcPr>
            <w:tcW w:w="2787" w:type="dxa"/>
            <w:shd w:val="clear" w:color="auto" w:fill="auto"/>
            <w:noWrap/>
            <w:vAlign w:val="center"/>
          </w:tcPr>
          <w:p>
            <w:pPr>
              <w:widowControl/>
              <w:jc w:val="center"/>
              <w:rPr>
                <w:rFonts w:ascii="Times New Roman" w:hAnsi="Times New Roman"/>
                <w:b/>
                <w:bCs/>
                <w:kern w:val="0"/>
                <w:szCs w:val="21"/>
              </w:rPr>
            </w:pPr>
            <w:r>
              <w:rPr>
                <w:rFonts w:hint="eastAsia" w:ascii="Times New Roman" w:hAnsi="Times New Roman"/>
                <w:b/>
                <w:bCs/>
                <w:kern w:val="0"/>
                <w:szCs w:val="21"/>
              </w:rPr>
              <w:t>课程目标</w:t>
            </w:r>
          </w:p>
        </w:tc>
        <w:tc>
          <w:tcPr>
            <w:tcW w:w="2788" w:type="dxa"/>
            <w:shd w:val="clear" w:color="auto" w:fill="auto"/>
            <w:noWrap/>
            <w:vAlign w:val="center"/>
          </w:tcPr>
          <w:p>
            <w:pPr>
              <w:widowControl/>
              <w:jc w:val="center"/>
              <w:rPr>
                <w:rFonts w:ascii="Times New Roman" w:hAnsi="Times New Roman"/>
                <w:b/>
                <w:bCs/>
                <w:kern w:val="0"/>
                <w:szCs w:val="21"/>
              </w:rPr>
            </w:pPr>
            <w:r>
              <w:rPr>
                <w:rFonts w:hint="eastAsia" w:ascii="Times New Roman" w:hAnsi="Times New Roman"/>
                <w:b/>
                <w:bCs/>
                <w:kern w:val="0"/>
                <w:szCs w:val="21"/>
              </w:rPr>
              <w:t>支撑毕业要求指标点</w:t>
            </w:r>
          </w:p>
        </w:tc>
        <w:tc>
          <w:tcPr>
            <w:tcW w:w="3066" w:type="dxa"/>
            <w:shd w:val="clear" w:color="auto" w:fill="auto"/>
            <w:noWrap/>
            <w:vAlign w:val="center"/>
          </w:tcPr>
          <w:p>
            <w:pPr>
              <w:widowControl/>
              <w:jc w:val="center"/>
              <w:rPr>
                <w:rFonts w:ascii="Times New Roman" w:hAnsi="Times New Roman"/>
                <w:b/>
                <w:bCs/>
                <w:kern w:val="0"/>
                <w:szCs w:val="21"/>
              </w:rPr>
            </w:pPr>
            <w:r>
              <w:rPr>
                <w:rFonts w:hint="eastAsia" w:ascii="Times New Roman" w:hAnsi="Times New Roman"/>
                <w:b/>
                <w:bCs/>
                <w:kern w:val="0"/>
                <w:szCs w:val="21"/>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573" w:type="dxa"/>
            <w:shd w:val="clear" w:color="auto" w:fill="auto"/>
            <w:noWrap/>
            <w:vAlign w:val="center"/>
          </w:tcPr>
          <w:p>
            <w:pPr>
              <w:widowControl/>
              <w:jc w:val="center"/>
              <w:rPr>
                <w:rFonts w:ascii="Times New Roman" w:hAnsi="Times New Roman"/>
                <w:kern w:val="0"/>
                <w:szCs w:val="21"/>
              </w:rPr>
            </w:pPr>
            <w:r>
              <w:rPr>
                <w:rFonts w:hint="eastAsia" w:ascii="Times New Roman" w:hAnsi="Times New Roman"/>
                <w:kern w:val="0"/>
                <w:szCs w:val="21"/>
              </w:rPr>
              <w:t>1</w:t>
            </w:r>
          </w:p>
        </w:tc>
        <w:tc>
          <w:tcPr>
            <w:tcW w:w="2787" w:type="dxa"/>
            <w:shd w:val="clear" w:color="auto" w:fill="auto"/>
            <w:noWrap/>
            <w:vAlign w:val="center"/>
          </w:tcPr>
          <w:p>
            <w:pPr>
              <w:widowControl/>
              <w:rPr>
                <w:rFonts w:ascii="Times New Roman" w:hAnsi="Times New Roman"/>
                <w:kern w:val="0"/>
                <w:szCs w:val="21"/>
              </w:rPr>
            </w:pPr>
            <w:r>
              <w:rPr>
                <w:rFonts w:hint="eastAsia" w:ascii="Times New Roman" w:hAnsi="Times New Roman"/>
                <w:b/>
                <w:bCs/>
                <w:szCs w:val="21"/>
              </w:rPr>
              <w:t>目标1</w:t>
            </w:r>
            <w:r>
              <w:rPr>
                <w:rFonts w:hint="eastAsia" w:ascii="Times New Roman" w:hAnsi="Times New Roman"/>
                <w:bCs/>
                <w:szCs w:val="21"/>
              </w:rPr>
              <w:t>：</w:t>
            </w:r>
            <w:r>
              <w:rPr>
                <w:rFonts w:hint="eastAsia" w:ascii="Times New Roman" w:hAnsi="Times New Roman"/>
                <w:kern w:val="0"/>
                <w:szCs w:val="21"/>
              </w:rPr>
              <w:t>通过参加综合性实践，使学生能够运用所学的基础理论与专业知识解决实际化学问题，从而提高学生独立思考和独立工作的能力，为科研工作和生产提供有参考价值的技术资料</w:t>
            </w:r>
          </w:p>
        </w:tc>
        <w:tc>
          <w:tcPr>
            <w:tcW w:w="2788" w:type="dxa"/>
            <w:shd w:val="clear" w:color="auto" w:fill="auto"/>
            <w:noWrap/>
            <w:vAlign w:val="center"/>
          </w:tcPr>
          <w:p>
            <w:pPr>
              <w:widowControl/>
              <w:rPr>
                <w:rFonts w:ascii="Times New Roman" w:hAnsi="Times New Roman"/>
                <w:kern w:val="0"/>
                <w:szCs w:val="21"/>
              </w:rPr>
            </w:pPr>
            <w:r>
              <w:rPr>
                <w:rFonts w:hint="eastAsia" w:ascii="Times New Roman" w:hAnsi="Times New Roman"/>
                <w:b/>
                <w:szCs w:val="21"/>
              </w:rPr>
              <w:t>指标点</w:t>
            </w:r>
            <w:r>
              <w:rPr>
                <w:rFonts w:ascii="Times New Roman" w:hAnsi="Times New Roman"/>
                <w:b/>
                <w:szCs w:val="21"/>
              </w:rPr>
              <w:t>2</w:t>
            </w:r>
            <w:r>
              <w:rPr>
                <w:rFonts w:hint="eastAsia" w:ascii="Times New Roman" w:hAnsi="Times New Roman"/>
                <w:b/>
                <w:szCs w:val="21"/>
              </w:rPr>
              <w:t>-</w:t>
            </w:r>
            <w:r>
              <w:rPr>
                <w:rFonts w:ascii="Times New Roman" w:hAnsi="Times New Roman"/>
                <w:b/>
                <w:szCs w:val="21"/>
              </w:rPr>
              <w:t>3</w:t>
            </w:r>
            <w:r>
              <w:rPr>
                <w:rFonts w:ascii="Times New Roman" w:hAnsi="Times New Roman"/>
                <w:szCs w:val="21"/>
              </w:rPr>
              <w:t>：</w:t>
            </w:r>
            <w:r>
              <w:rPr>
                <w:rFonts w:hint="eastAsia" w:ascii="Times New Roman" w:hAnsi="Times New Roman"/>
                <w:szCs w:val="21"/>
              </w:rPr>
              <w:t>能够正确表达一个化学工程问题的解决方案。</w:t>
            </w:r>
          </w:p>
        </w:tc>
        <w:tc>
          <w:tcPr>
            <w:tcW w:w="3066" w:type="dxa"/>
            <w:shd w:val="clear" w:color="auto" w:fill="auto"/>
            <w:noWrap/>
            <w:vAlign w:val="center"/>
          </w:tcPr>
          <w:p>
            <w:pPr>
              <w:widowControl/>
              <w:rPr>
                <w:rFonts w:ascii="Times New Roman" w:hAnsi="Times New Roman"/>
                <w:kern w:val="0"/>
                <w:szCs w:val="21"/>
              </w:rPr>
            </w:pPr>
            <w:r>
              <w:rPr>
                <w:rFonts w:hint="eastAsia" w:ascii="Times New Roman" w:hAnsi="Times New Roman"/>
                <w:b/>
                <w:kern w:val="0"/>
                <w:szCs w:val="21"/>
              </w:rPr>
              <w:t>毕业要求</w:t>
            </w:r>
            <w:r>
              <w:rPr>
                <w:rFonts w:ascii="Times New Roman" w:hAnsi="Times New Roman"/>
                <w:b/>
                <w:szCs w:val="21"/>
              </w:rPr>
              <w:t>2</w:t>
            </w:r>
            <w:r>
              <w:rPr>
                <w:rFonts w:hint="eastAsia" w:ascii="Times New Roman" w:hAnsi="Times New Roman"/>
                <w:b/>
                <w:szCs w:val="21"/>
              </w:rPr>
              <w:t>：</w:t>
            </w:r>
            <w:r>
              <w:rPr>
                <w:rFonts w:ascii="Times New Roman" w:hAnsi="Times New Roman"/>
                <w:b/>
                <w:szCs w:val="21"/>
              </w:rPr>
              <w:t>问题分析：</w:t>
            </w:r>
            <w:r>
              <w:rPr>
                <w:rFonts w:hint="eastAsia" w:ascii="宋体" w:hAnsi="宋体" w:cs="宋体"/>
                <w:color w:val="000000"/>
                <w:kern w:val="0"/>
              </w:rPr>
              <w:t>能够应用数学、自然科学和工程科学的基本原理，识别、表达、并通过文献研究分析</w:t>
            </w:r>
            <w:r>
              <w:rPr>
                <w:szCs w:val="21"/>
              </w:rPr>
              <w:t>化学工程与工艺</w:t>
            </w:r>
            <w:r>
              <w:rPr>
                <w:rFonts w:hint="eastAsia"/>
                <w:szCs w:val="21"/>
              </w:rPr>
              <w:t>领域</w:t>
            </w:r>
            <w:r>
              <w:rPr>
                <w:rFonts w:hint="eastAsia" w:ascii="宋体" w:hAnsi="宋体" w:cs="宋体"/>
                <w:color w:val="000000"/>
                <w:kern w:val="0"/>
              </w:rPr>
              <w:t>复杂工程问题，以获得有效结论。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573" w:type="dxa"/>
            <w:shd w:val="clear" w:color="auto" w:fill="auto"/>
            <w:noWrap/>
            <w:vAlign w:val="center"/>
          </w:tcPr>
          <w:p>
            <w:pPr>
              <w:widowControl/>
              <w:jc w:val="center"/>
              <w:rPr>
                <w:rFonts w:ascii="Times New Roman" w:hAnsi="Times New Roman"/>
                <w:kern w:val="0"/>
                <w:szCs w:val="21"/>
              </w:rPr>
            </w:pPr>
            <w:r>
              <w:rPr>
                <w:rFonts w:hint="eastAsia" w:ascii="Times New Roman" w:hAnsi="Times New Roman"/>
                <w:kern w:val="0"/>
                <w:szCs w:val="21"/>
              </w:rPr>
              <w:t>2</w:t>
            </w:r>
          </w:p>
        </w:tc>
        <w:tc>
          <w:tcPr>
            <w:tcW w:w="2787" w:type="dxa"/>
            <w:shd w:val="clear" w:color="auto" w:fill="auto"/>
            <w:noWrap/>
            <w:vAlign w:val="center"/>
          </w:tcPr>
          <w:p>
            <w:pPr>
              <w:widowControl/>
              <w:rPr>
                <w:rFonts w:ascii="Times New Roman" w:hAnsi="Times New Roman"/>
                <w:kern w:val="0"/>
                <w:szCs w:val="21"/>
              </w:rPr>
            </w:pPr>
            <w:r>
              <w:rPr>
                <w:rFonts w:hint="eastAsia" w:ascii="Times New Roman" w:hAnsi="Times New Roman"/>
                <w:b/>
                <w:bCs/>
                <w:szCs w:val="21"/>
              </w:rPr>
              <w:t>目标2</w:t>
            </w:r>
            <w:r>
              <w:rPr>
                <w:rFonts w:hint="eastAsia" w:ascii="Times New Roman" w:hAnsi="Times New Roman"/>
                <w:bCs/>
                <w:szCs w:val="21"/>
              </w:rPr>
              <w:t>：本课程每个</w:t>
            </w:r>
            <w:r>
              <w:rPr>
                <w:rFonts w:hint="eastAsia" w:ascii="Times New Roman" w:hAnsi="Times New Roman"/>
                <w:kern w:val="0"/>
                <w:szCs w:val="21"/>
              </w:rPr>
              <w:t>实验基本上都包含了两个或两个以上二级学科的内容，使得学生能从实际的化学研究，产品开发等方面培养解决综合性问题和实际问题的能力，能够对实验结果进行分析和讨论，并且能够学会解释所得数据之间的关联与数据的合理性。</w:t>
            </w:r>
          </w:p>
        </w:tc>
        <w:tc>
          <w:tcPr>
            <w:tcW w:w="2788" w:type="dxa"/>
            <w:shd w:val="clear" w:color="auto" w:fill="auto"/>
            <w:noWrap/>
            <w:vAlign w:val="center"/>
          </w:tcPr>
          <w:p>
            <w:pPr>
              <w:widowControl/>
              <w:rPr>
                <w:rFonts w:ascii="Times New Roman" w:hAnsi="Times New Roman"/>
                <w:kern w:val="0"/>
                <w:szCs w:val="21"/>
              </w:rPr>
            </w:pPr>
            <w:r>
              <w:rPr>
                <w:rFonts w:hint="eastAsia" w:ascii="Times New Roman" w:hAnsi="Times New Roman"/>
                <w:b/>
                <w:szCs w:val="21"/>
              </w:rPr>
              <w:t>指标点4-</w:t>
            </w:r>
            <w:r>
              <w:rPr>
                <w:rFonts w:ascii="Times New Roman" w:hAnsi="Times New Roman"/>
                <w:b/>
                <w:szCs w:val="21"/>
              </w:rPr>
              <w:t>3</w:t>
            </w:r>
            <w:r>
              <w:rPr>
                <w:rFonts w:ascii="Times New Roman" w:hAnsi="Times New Roman"/>
                <w:szCs w:val="21"/>
              </w:rPr>
              <w:t>：</w:t>
            </w:r>
            <w:r>
              <w:rPr>
                <w:rFonts w:hint="eastAsia" w:ascii="Times New Roman" w:hAnsi="Times New Roman"/>
                <w:szCs w:val="21"/>
              </w:rPr>
              <w:t>能够对实验结果进行分析解释，并与理论模型进行比较。</w:t>
            </w:r>
          </w:p>
        </w:tc>
        <w:tc>
          <w:tcPr>
            <w:tcW w:w="3066" w:type="dxa"/>
            <w:shd w:val="clear" w:color="auto" w:fill="auto"/>
            <w:noWrap/>
            <w:vAlign w:val="center"/>
          </w:tcPr>
          <w:p>
            <w:pPr>
              <w:widowControl/>
              <w:rPr>
                <w:rFonts w:ascii="Times New Roman" w:hAnsi="Times New Roman"/>
                <w:kern w:val="0"/>
                <w:szCs w:val="21"/>
              </w:rPr>
            </w:pPr>
            <w:r>
              <w:rPr>
                <w:rFonts w:hint="eastAsia" w:ascii="Times New Roman" w:hAnsi="Times New Roman"/>
                <w:b/>
                <w:kern w:val="0"/>
                <w:szCs w:val="21"/>
              </w:rPr>
              <w:t>毕业要求4：研究：</w:t>
            </w:r>
            <w:r>
              <w:rPr>
                <w:rFonts w:hint="eastAsia" w:ascii="Times New Roman" w:hAnsi="Times New Roman"/>
                <w:kern w:val="0"/>
                <w:szCs w:val="21"/>
              </w:rPr>
              <w:t>能够基于科学原理并采用科学方法对化学工程与工艺领域复杂工程问题进行研究，包括设计实验、分析与解释数据，并通过信息综合得到合理有效的结论。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573" w:type="dxa"/>
            <w:shd w:val="clear" w:color="auto" w:fill="auto"/>
            <w:noWrap/>
            <w:vAlign w:val="center"/>
          </w:tcPr>
          <w:p>
            <w:pPr>
              <w:widowControl/>
              <w:jc w:val="center"/>
              <w:rPr>
                <w:rFonts w:ascii="Times New Roman" w:hAnsi="Times New Roman"/>
                <w:kern w:val="0"/>
                <w:szCs w:val="21"/>
              </w:rPr>
            </w:pPr>
            <w:r>
              <w:rPr>
                <w:rFonts w:hint="eastAsia" w:ascii="Times New Roman" w:hAnsi="Times New Roman"/>
                <w:kern w:val="0"/>
                <w:szCs w:val="21"/>
              </w:rPr>
              <w:t>3</w:t>
            </w:r>
          </w:p>
        </w:tc>
        <w:tc>
          <w:tcPr>
            <w:tcW w:w="2787" w:type="dxa"/>
            <w:shd w:val="clear" w:color="auto" w:fill="auto"/>
            <w:noWrap/>
            <w:vAlign w:val="center"/>
          </w:tcPr>
          <w:p>
            <w:pPr>
              <w:widowControl/>
              <w:rPr>
                <w:rFonts w:ascii="Times New Roman" w:hAnsi="Times New Roman"/>
                <w:kern w:val="0"/>
                <w:szCs w:val="21"/>
              </w:rPr>
            </w:pPr>
            <w:r>
              <w:rPr>
                <w:rFonts w:hint="eastAsia" w:ascii="Times New Roman" w:hAnsi="Times New Roman"/>
                <w:b/>
                <w:bCs/>
                <w:szCs w:val="21"/>
              </w:rPr>
              <w:t>目标3</w:t>
            </w:r>
            <w:r>
              <w:rPr>
                <w:rFonts w:hint="eastAsia" w:ascii="Times New Roman" w:hAnsi="Times New Roman"/>
                <w:bCs/>
                <w:szCs w:val="21"/>
              </w:rPr>
              <w:t>：通过参加综合性实践课程，</w:t>
            </w:r>
            <w:r>
              <w:rPr>
                <w:rFonts w:hint="eastAsia" w:ascii="Times New Roman" w:hAnsi="Times New Roman"/>
                <w:kern w:val="0"/>
                <w:szCs w:val="21"/>
              </w:rPr>
              <w:t>锻炼学生独立实验操作能力及善于合作的团队精神。综合性实验需要一定的合作，才能够完成相应课题，培养学生的团队意识并且能够找准自身在团队中的职责与角色。</w:t>
            </w:r>
          </w:p>
        </w:tc>
        <w:tc>
          <w:tcPr>
            <w:tcW w:w="2788" w:type="dxa"/>
            <w:shd w:val="clear" w:color="auto" w:fill="auto"/>
            <w:noWrap/>
            <w:vAlign w:val="center"/>
          </w:tcPr>
          <w:p>
            <w:pPr>
              <w:widowControl/>
              <w:rPr>
                <w:rFonts w:ascii="Times New Roman" w:hAnsi="Times New Roman"/>
                <w:kern w:val="0"/>
                <w:szCs w:val="21"/>
              </w:rPr>
            </w:pPr>
            <w:r>
              <w:rPr>
                <w:rFonts w:hint="eastAsia" w:ascii="Times New Roman" w:hAnsi="Times New Roman"/>
                <w:b/>
                <w:szCs w:val="21"/>
              </w:rPr>
              <w:t>指标点9-2</w:t>
            </w:r>
            <w:r>
              <w:rPr>
                <w:rFonts w:ascii="Times New Roman" w:hAnsi="Times New Roman"/>
                <w:szCs w:val="21"/>
              </w:rPr>
              <w:t>：</w:t>
            </w:r>
            <w:r>
              <w:rPr>
                <w:rFonts w:hint="eastAsia" w:ascii="Times New Roman" w:hAnsi="Times New Roman"/>
                <w:szCs w:val="21"/>
              </w:rPr>
              <w:t>能够胜任团队成员的角色和责任，能独立完成团队分配的任务</w:t>
            </w:r>
          </w:p>
        </w:tc>
        <w:tc>
          <w:tcPr>
            <w:tcW w:w="3066" w:type="dxa"/>
            <w:shd w:val="clear" w:color="auto" w:fill="auto"/>
            <w:noWrap/>
            <w:vAlign w:val="center"/>
          </w:tcPr>
          <w:p>
            <w:pPr>
              <w:widowControl/>
              <w:rPr>
                <w:rFonts w:ascii="Times New Roman" w:hAnsi="Times New Roman"/>
                <w:kern w:val="0"/>
                <w:szCs w:val="21"/>
              </w:rPr>
            </w:pPr>
            <w:r>
              <w:rPr>
                <w:rFonts w:hint="eastAsia" w:ascii="Times New Roman" w:hAnsi="Times New Roman"/>
                <w:b/>
                <w:kern w:val="0"/>
                <w:szCs w:val="21"/>
              </w:rPr>
              <w:t>毕业要求9：个人和团队：</w:t>
            </w:r>
            <w:r>
              <w:rPr>
                <w:rFonts w:hint="eastAsia" w:ascii="Times New Roman" w:hAnsi="Times New Roman"/>
                <w:kern w:val="0"/>
                <w:szCs w:val="21"/>
              </w:rPr>
              <w:t>能够在多学科背景下的团队中承担个体、团队成员以及负责人的角色。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573" w:type="dxa"/>
            <w:shd w:val="clear" w:color="auto" w:fill="auto"/>
            <w:noWrap/>
            <w:vAlign w:val="center"/>
          </w:tcPr>
          <w:p>
            <w:pPr>
              <w:widowControl/>
              <w:jc w:val="center"/>
              <w:rPr>
                <w:rFonts w:ascii="Times New Roman" w:hAnsi="Times New Roman"/>
                <w:kern w:val="0"/>
                <w:szCs w:val="21"/>
              </w:rPr>
            </w:pPr>
            <w:r>
              <w:rPr>
                <w:rFonts w:hint="eastAsia" w:ascii="Times New Roman" w:hAnsi="Times New Roman"/>
                <w:kern w:val="0"/>
                <w:szCs w:val="21"/>
              </w:rPr>
              <w:t>4</w:t>
            </w:r>
          </w:p>
        </w:tc>
        <w:tc>
          <w:tcPr>
            <w:tcW w:w="2787" w:type="dxa"/>
            <w:shd w:val="clear" w:color="auto" w:fill="auto"/>
            <w:noWrap/>
            <w:vAlign w:val="center"/>
          </w:tcPr>
          <w:p>
            <w:pPr>
              <w:widowControl/>
              <w:rPr>
                <w:rFonts w:ascii="Times New Roman" w:hAnsi="Times New Roman"/>
                <w:kern w:val="0"/>
                <w:szCs w:val="21"/>
              </w:rPr>
            </w:pPr>
            <w:r>
              <w:rPr>
                <w:rFonts w:hint="eastAsia" w:ascii="Times New Roman" w:hAnsi="Times New Roman"/>
                <w:b/>
                <w:bCs/>
                <w:szCs w:val="21"/>
              </w:rPr>
              <w:t>目标4</w:t>
            </w:r>
            <w:r>
              <w:rPr>
                <w:rFonts w:hint="eastAsia" w:ascii="Times New Roman" w:hAnsi="Times New Roman"/>
                <w:bCs/>
                <w:szCs w:val="21"/>
              </w:rPr>
              <w:t>：通过综合性实践，</w:t>
            </w:r>
            <w:r>
              <w:rPr>
                <w:rFonts w:hint="eastAsia" w:ascii="Times New Roman" w:hAnsi="Times New Roman"/>
                <w:kern w:val="0"/>
                <w:szCs w:val="21"/>
              </w:rPr>
              <w:t>促进学生提高自学能力和利用信息化技术能力，提升其专业综合素质，能够独立完成相应的设计文稿、实验报告等，能够与国内外业界同行及社会公众进行有效沟通和交流。</w:t>
            </w:r>
          </w:p>
        </w:tc>
        <w:tc>
          <w:tcPr>
            <w:tcW w:w="2788" w:type="dxa"/>
            <w:shd w:val="clear" w:color="auto" w:fill="auto"/>
            <w:noWrap/>
            <w:vAlign w:val="center"/>
          </w:tcPr>
          <w:p>
            <w:pPr>
              <w:widowControl/>
              <w:rPr>
                <w:rFonts w:ascii="Times New Roman" w:hAnsi="Times New Roman"/>
                <w:kern w:val="0"/>
                <w:szCs w:val="21"/>
              </w:rPr>
            </w:pPr>
            <w:r>
              <w:rPr>
                <w:rFonts w:hint="eastAsia" w:ascii="Times New Roman" w:hAnsi="Times New Roman"/>
                <w:b/>
                <w:szCs w:val="21"/>
              </w:rPr>
              <w:t>指标点</w:t>
            </w:r>
            <w:r>
              <w:rPr>
                <w:rFonts w:ascii="Times New Roman" w:hAnsi="Times New Roman"/>
                <w:b/>
                <w:szCs w:val="21"/>
              </w:rPr>
              <w:t>10</w:t>
            </w:r>
            <w:r>
              <w:rPr>
                <w:rFonts w:hint="eastAsia" w:ascii="Times New Roman" w:hAnsi="Times New Roman"/>
                <w:b/>
                <w:szCs w:val="21"/>
              </w:rPr>
              <w:t>-</w:t>
            </w:r>
            <w:r>
              <w:rPr>
                <w:rFonts w:ascii="Times New Roman" w:hAnsi="Times New Roman"/>
                <w:b/>
                <w:szCs w:val="21"/>
              </w:rPr>
              <w:t>1</w:t>
            </w:r>
            <w:r>
              <w:rPr>
                <w:rFonts w:ascii="Times New Roman" w:hAnsi="Times New Roman"/>
                <w:szCs w:val="21"/>
              </w:rPr>
              <w:t>：</w:t>
            </w:r>
            <w:r>
              <w:rPr>
                <w:rFonts w:hint="eastAsia" w:ascii="Times New Roman" w:hAnsi="Times New Roman"/>
                <w:color w:val="000000"/>
                <w:kern w:val="0"/>
                <w:szCs w:val="24"/>
              </w:rPr>
              <w:t>能够熟练运用化工专业术语就化工问题与业内同行和社会公众进行有效交流与沟通</w:t>
            </w:r>
          </w:p>
        </w:tc>
        <w:tc>
          <w:tcPr>
            <w:tcW w:w="3066" w:type="dxa"/>
            <w:shd w:val="clear" w:color="auto" w:fill="auto"/>
            <w:noWrap/>
            <w:vAlign w:val="center"/>
          </w:tcPr>
          <w:p>
            <w:pPr>
              <w:widowControl/>
              <w:rPr>
                <w:rFonts w:ascii="Times New Roman" w:hAnsi="Times New Roman"/>
                <w:kern w:val="0"/>
                <w:szCs w:val="21"/>
              </w:rPr>
            </w:pPr>
            <w:r>
              <w:rPr>
                <w:rFonts w:hint="eastAsia" w:ascii="Times New Roman" w:hAnsi="Times New Roman"/>
                <w:b/>
                <w:kern w:val="0"/>
                <w:szCs w:val="21"/>
              </w:rPr>
              <w:t>毕业要求</w:t>
            </w:r>
            <w:r>
              <w:rPr>
                <w:rFonts w:ascii="Times New Roman" w:hAnsi="Times New Roman"/>
                <w:b/>
                <w:bCs/>
                <w:kern w:val="0"/>
                <w:szCs w:val="21"/>
              </w:rPr>
              <w:t>10</w:t>
            </w:r>
            <w:r>
              <w:rPr>
                <w:rFonts w:hint="eastAsia" w:ascii="Times New Roman" w:hAnsi="Times New Roman"/>
                <w:b/>
                <w:bCs/>
                <w:kern w:val="0"/>
                <w:szCs w:val="21"/>
              </w:rPr>
              <w:t>：</w:t>
            </w:r>
            <w:r>
              <w:rPr>
                <w:rFonts w:ascii="Times New Roman" w:hAnsi="Times New Roman"/>
                <w:b/>
                <w:bCs/>
                <w:kern w:val="0"/>
                <w:szCs w:val="21"/>
              </w:rPr>
              <w:t>沟通</w:t>
            </w:r>
            <w:r>
              <w:rPr>
                <w:rFonts w:ascii="Times New Roman" w:hAnsi="Times New Roman"/>
                <w:b/>
                <w:kern w:val="0"/>
                <w:szCs w:val="21"/>
              </w:rPr>
              <w:t>：</w:t>
            </w:r>
            <w:r>
              <w:rPr>
                <w:rFonts w:hint="eastAsia" w:ascii="Times New Roman" w:hAnsi="Times New Roman"/>
                <w:kern w:val="0"/>
                <w:szCs w:val="21"/>
              </w:rPr>
              <w:t>能够就化学工程与工艺领域复杂工程问题与业界同行及社会公众进行有效沟通和交流，包括撰写报告和设计文稿、陈述发言、清晰表达或回应指令。并具备一定的国际视野，能够在跨文化背景下进行沟通和交流。</w:t>
            </w:r>
          </w:p>
        </w:tc>
      </w:tr>
    </w:tbl>
    <w:p>
      <w:pPr>
        <w:spacing w:line="360" w:lineRule="auto"/>
        <w:rPr>
          <w:b/>
          <w:sz w:val="28"/>
          <w:szCs w:val="28"/>
        </w:rPr>
      </w:pPr>
    </w:p>
    <w:p>
      <w:pPr>
        <w:spacing w:line="360" w:lineRule="auto"/>
        <w:rPr>
          <w:b/>
          <w:sz w:val="28"/>
          <w:szCs w:val="28"/>
        </w:rPr>
      </w:pPr>
    </w:p>
    <w:p>
      <w:pPr>
        <w:spacing w:line="360" w:lineRule="auto"/>
        <w:rPr>
          <w:b/>
          <w:sz w:val="28"/>
          <w:szCs w:val="28"/>
        </w:rPr>
      </w:pPr>
    </w:p>
    <w:p>
      <w:pPr>
        <w:spacing w:line="360" w:lineRule="auto"/>
        <w:rPr>
          <w:sz w:val="24"/>
        </w:rPr>
      </w:pPr>
      <w:r>
        <w:rPr>
          <w:rFonts w:hint="eastAsia"/>
          <w:b/>
          <w:sz w:val="28"/>
          <w:szCs w:val="28"/>
        </w:rPr>
        <w:t>三</w:t>
      </w:r>
      <w:r>
        <w:rPr>
          <w:b/>
          <w:sz w:val="28"/>
          <w:szCs w:val="28"/>
        </w:rPr>
        <w:t>、</w:t>
      </w:r>
      <w:r>
        <w:rPr>
          <w:rFonts w:hint="eastAsia"/>
          <w:b/>
          <w:sz w:val="28"/>
          <w:szCs w:val="28"/>
        </w:rPr>
        <w:t>课程</w:t>
      </w:r>
      <w:r>
        <w:rPr>
          <w:b/>
          <w:sz w:val="28"/>
          <w:szCs w:val="28"/>
        </w:rPr>
        <w:t>内容及</w:t>
      </w:r>
      <w:r>
        <w:rPr>
          <w:rFonts w:hint="eastAsia"/>
          <w:b/>
          <w:sz w:val="28"/>
          <w:szCs w:val="28"/>
        </w:rPr>
        <w:t>要求</w:t>
      </w:r>
    </w:p>
    <w:p>
      <w:pPr>
        <w:spacing w:line="360" w:lineRule="auto"/>
        <w:ind w:firstLine="241" w:firstLineChars="100"/>
        <w:rPr>
          <w:rFonts w:ascii="Times New Roman" w:hAnsi="Times New Roman"/>
          <w:b/>
          <w:color w:val="000000"/>
          <w:sz w:val="24"/>
        </w:rPr>
      </w:pPr>
      <w:r>
        <w:rPr>
          <w:rFonts w:hint="eastAsia" w:ascii="Times New Roman" w:hAnsi="Times New Roman"/>
          <w:b/>
          <w:color w:val="000000"/>
          <w:sz w:val="24"/>
        </w:rPr>
        <w:t>（一）综合实验内容</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（1）食品中钙、镁、铁含量测定</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（2）一种铅（II）配合物的原位合成及结构表征</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（3）苯乙炔的制备及Sonogashira偶联反应</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（4）芳基硼酸的制备及Suzuki偶联反应</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（5）恒温槽的装配和性能测试</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（6）热电偶温度计的制备与标定</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（7）难溶盐的溶解度和溶度积常数的测定</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（8）氧化铝的形貌控制及其表征</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（9）纳米级羧甲基淀粉钠的制备</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（10）α-紫罗兰酮香料的合成及表征</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（11）金属的电化腐蚀及其防护</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（12）活性炭吸附在水处理研究中的应用</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（13）垃圾焚烧飞灰的重金属浸出毒性实验</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（14）茶叶中微量元素的测定与评价</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（15）水热法制备W掺杂TiO2光催化剂及其光催化性能研究</w:t>
      </w:r>
    </w:p>
    <w:p>
      <w:pPr>
        <w:spacing w:line="360" w:lineRule="auto"/>
        <w:ind w:firstLine="241" w:firstLineChars="100"/>
        <w:rPr>
          <w:rFonts w:ascii="Times New Roman" w:hAnsi="Times New Roman"/>
          <w:color w:val="000000"/>
          <w:sz w:val="24"/>
        </w:rPr>
      </w:pPr>
      <w:r>
        <w:rPr>
          <w:rFonts w:hint="eastAsia" w:ascii="Times New Roman" w:hAnsi="Times New Roman"/>
          <w:b/>
          <w:color w:val="000000"/>
          <w:sz w:val="24"/>
        </w:rPr>
        <w:t>（二）综合实验要求</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（1）本课程安排在第六学期的后半程开课，主要通过抽签方式决定所需要的完成的课题，集中在1周时间内完成。</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2）实验时，学生应熟知实验室安全管理规定、自觉遵守实验室各项管理制度，熟悉所用仪器设备的使用方法、操作规程，在规定的时间内完成实验任务，不得从事与选实验项目（研究课题）无关的任何事项。实验期间，学生应将每次所做实验的步骤、现象、测试数据等原始情况详细记录在专门的实验记录本上，以供指导教师检查；并自觉遵守考勤纪律，每天登记考勤，不得拖延和旷课。</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3）任课教师应组织学生学习实验室各项管理规章制度，尤其是要向学生强调实验安全事项，并通过示范、讲解等方式教会学生熟练掌握实验仪器设备的使用方法和注意事项。实验期间，任课教师应清点学生人数、登记学生考勤，检查仪器设备情况，维持实验现场秩序，辅导学生开展实验和数据分析，检查学生当天实验开展情况并对学生实验记录签字确认，做好实验教学记录，掌握学生实验进度，督促学生及时完成实验任务，确保学生实验任务完成质量。</w:t>
      </w:r>
    </w:p>
    <w:p>
      <w:pPr>
        <w:spacing w:line="360" w:lineRule="auto"/>
        <w:ind w:left="357"/>
        <w:rPr>
          <w:rFonts w:ascii="Times New Roman" w:hAnsi="Times New Roman"/>
          <w:b/>
          <w:color w:val="000000"/>
          <w:sz w:val="24"/>
        </w:rPr>
      </w:pPr>
      <w:r>
        <w:rPr>
          <w:rFonts w:hint="eastAsia" w:ascii="Times New Roman" w:hAnsi="Times New Roman"/>
          <w:b/>
          <w:color w:val="000000"/>
          <w:sz w:val="24"/>
        </w:rPr>
        <w:t>（三）教学内容与</w:t>
      </w:r>
      <w:r>
        <w:rPr>
          <w:rFonts w:ascii="Times New Roman" w:hAnsi="Times New Roman"/>
          <w:b/>
          <w:color w:val="000000"/>
          <w:sz w:val="24"/>
        </w:rPr>
        <w:t>课程目标的</w:t>
      </w:r>
      <w:r>
        <w:rPr>
          <w:rFonts w:hint="eastAsia" w:ascii="Times New Roman" w:hAnsi="Times New Roman"/>
          <w:b/>
          <w:color w:val="000000"/>
          <w:sz w:val="24"/>
        </w:rPr>
        <w:t>对应关系及</w:t>
      </w:r>
      <w:r>
        <w:rPr>
          <w:rFonts w:ascii="Times New Roman" w:hAnsi="Times New Roman"/>
          <w:b/>
          <w:color w:val="000000"/>
          <w:sz w:val="24"/>
        </w:rPr>
        <w:t>学时分配</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本设计时间为1周，安排在第六学期，教学内容与</w:t>
      </w:r>
      <w:r>
        <w:rPr>
          <w:rFonts w:ascii="Times New Roman" w:hAnsi="Times New Roman"/>
          <w:color w:val="000000"/>
          <w:sz w:val="24"/>
        </w:rPr>
        <w:t>课程目标的</w:t>
      </w:r>
      <w:r>
        <w:rPr>
          <w:rFonts w:hint="eastAsia" w:ascii="Times New Roman" w:hAnsi="Times New Roman"/>
          <w:color w:val="000000"/>
          <w:sz w:val="24"/>
        </w:rPr>
        <w:t>对应关系及</w:t>
      </w:r>
      <w:r>
        <w:rPr>
          <w:rFonts w:ascii="Times New Roman" w:hAnsi="Times New Roman"/>
          <w:color w:val="000000"/>
          <w:sz w:val="24"/>
        </w:rPr>
        <w:t>学时分配</w:t>
      </w:r>
      <w:r>
        <w:rPr>
          <w:rFonts w:hint="eastAsia" w:ascii="Times New Roman" w:hAnsi="Times New Roman"/>
          <w:color w:val="000000"/>
          <w:sz w:val="24"/>
        </w:rPr>
        <w:t>如表所示。</w:t>
      </w:r>
    </w:p>
    <w:tbl>
      <w:tblPr>
        <w:tblStyle w:val="10"/>
        <w:tblW w:w="84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1"/>
        <w:gridCol w:w="1825"/>
        <w:gridCol w:w="2310"/>
        <w:gridCol w:w="1122"/>
        <w:gridCol w:w="1374"/>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611" w:type="dxa"/>
            <w:shd w:val="clear" w:color="auto" w:fill="FFFFFF"/>
            <w:noWrap w:val="0"/>
            <w:vAlign w:val="center"/>
          </w:tcPr>
          <w:p>
            <w:pPr>
              <w:jc w:val="center"/>
              <w:rPr>
                <w:rFonts w:ascii="Times New Roman" w:hAnsi="Times New Roman"/>
                <w:color w:val="000000"/>
                <w:szCs w:val="21"/>
              </w:rPr>
            </w:pPr>
            <w:r>
              <w:rPr>
                <w:rFonts w:hint="eastAsia" w:ascii="Times New Roman" w:hAnsi="Times New Roman"/>
                <w:color w:val="000000"/>
                <w:szCs w:val="21"/>
              </w:rPr>
              <w:t>序号</w:t>
            </w:r>
          </w:p>
        </w:tc>
        <w:tc>
          <w:tcPr>
            <w:tcW w:w="1825" w:type="dxa"/>
            <w:shd w:val="clear" w:color="auto" w:fill="FFFFFF"/>
            <w:noWrap w:val="0"/>
            <w:vAlign w:val="center"/>
          </w:tcPr>
          <w:p>
            <w:pPr>
              <w:jc w:val="center"/>
              <w:rPr>
                <w:rFonts w:ascii="Times New Roman" w:hAnsi="Times New Roman"/>
                <w:color w:val="000000"/>
                <w:szCs w:val="21"/>
              </w:rPr>
            </w:pPr>
            <w:r>
              <w:rPr>
                <w:rFonts w:ascii="Times New Roman" w:hAnsi="Times New Roman"/>
                <w:color w:val="000000"/>
                <w:szCs w:val="21"/>
              </w:rPr>
              <w:t>教学内容</w:t>
            </w:r>
          </w:p>
        </w:tc>
        <w:tc>
          <w:tcPr>
            <w:tcW w:w="2310" w:type="dxa"/>
            <w:shd w:val="clear" w:color="auto" w:fill="FFFFFF"/>
            <w:noWrap w:val="0"/>
            <w:vAlign w:val="center"/>
          </w:tcPr>
          <w:p>
            <w:pPr>
              <w:jc w:val="center"/>
              <w:rPr>
                <w:rFonts w:ascii="Times New Roman" w:hAnsi="Times New Roman"/>
                <w:color w:val="000000"/>
                <w:szCs w:val="21"/>
              </w:rPr>
            </w:pPr>
            <w:r>
              <w:rPr>
                <w:rFonts w:hint="eastAsia" w:ascii="Times New Roman" w:hAnsi="Times New Roman"/>
                <w:color w:val="000000"/>
                <w:szCs w:val="21"/>
              </w:rPr>
              <w:t>预期学习成果</w:t>
            </w:r>
          </w:p>
        </w:tc>
        <w:tc>
          <w:tcPr>
            <w:tcW w:w="1122" w:type="dxa"/>
            <w:shd w:val="clear" w:color="auto" w:fill="FFFFFF"/>
            <w:noWrap w:val="0"/>
            <w:vAlign w:val="center"/>
          </w:tcPr>
          <w:p>
            <w:pPr>
              <w:jc w:val="center"/>
              <w:rPr>
                <w:rFonts w:ascii="Times New Roman" w:hAnsi="Times New Roman"/>
                <w:bCs/>
                <w:szCs w:val="21"/>
              </w:rPr>
            </w:pPr>
            <w:r>
              <w:rPr>
                <w:rFonts w:hint="eastAsia" w:ascii="Times New Roman" w:hAnsi="Times New Roman"/>
                <w:bCs/>
                <w:szCs w:val="21"/>
              </w:rPr>
              <w:t>教学学时</w:t>
            </w:r>
          </w:p>
        </w:tc>
        <w:tc>
          <w:tcPr>
            <w:tcW w:w="1374" w:type="dxa"/>
            <w:shd w:val="clear" w:color="auto" w:fill="FFFFFF"/>
            <w:noWrap w:val="0"/>
            <w:vAlign w:val="center"/>
          </w:tcPr>
          <w:p>
            <w:pPr>
              <w:jc w:val="center"/>
              <w:rPr>
                <w:rFonts w:ascii="Times New Roman" w:hAnsi="Times New Roman"/>
                <w:bCs/>
                <w:szCs w:val="21"/>
              </w:rPr>
            </w:pPr>
            <w:r>
              <w:rPr>
                <w:rFonts w:ascii="Times New Roman" w:hAnsi="Times New Roman"/>
                <w:bCs/>
                <w:szCs w:val="21"/>
              </w:rPr>
              <w:t>教学形式</w:t>
            </w:r>
          </w:p>
        </w:tc>
        <w:tc>
          <w:tcPr>
            <w:tcW w:w="1246" w:type="dxa"/>
            <w:shd w:val="clear" w:color="auto" w:fill="FFFFFF"/>
            <w:noWrap w:val="0"/>
            <w:vAlign w:val="center"/>
          </w:tcPr>
          <w:p>
            <w:pPr>
              <w:jc w:val="center"/>
              <w:rPr>
                <w:rFonts w:ascii="Times New Roman" w:hAnsi="Times New Roman"/>
                <w:bCs/>
                <w:szCs w:val="21"/>
              </w:rPr>
            </w:pPr>
            <w:r>
              <w:rPr>
                <w:rFonts w:ascii="Times New Roman" w:hAnsi="Times New Roman"/>
                <w:color w:val="000000"/>
                <w:szCs w:val="21"/>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611" w:type="dxa"/>
            <w:noWrap w:val="0"/>
            <w:vAlign w:val="center"/>
          </w:tcPr>
          <w:p>
            <w:pPr>
              <w:jc w:val="center"/>
              <w:rPr>
                <w:rFonts w:ascii="Times New Roman" w:hAnsi="Times New Roman"/>
                <w:szCs w:val="21"/>
              </w:rPr>
            </w:pPr>
            <w:r>
              <w:rPr>
                <w:rFonts w:hint="eastAsia" w:ascii="Times New Roman" w:hAnsi="Times New Roman"/>
                <w:szCs w:val="21"/>
              </w:rPr>
              <w:t>1</w:t>
            </w:r>
          </w:p>
        </w:tc>
        <w:tc>
          <w:tcPr>
            <w:tcW w:w="1825" w:type="dxa"/>
            <w:noWrap w:val="0"/>
            <w:vAlign w:val="center"/>
          </w:tcPr>
          <w:p>
            <w:pPr>
              <w:tabs>
                <w:tab w:val="left" w:pos="2162"/>
              </w:tabs>
              <w:jc w:val="left"/>
              <w:rPr>
                <w:rFonts w:ascii="Times New Roman" w:hAnsi="Times New Roman"/>
                <w:szCs w:val="21"/>
              </w:rPr>
            </w:pPr>
            <w:r>
              <w:rPr>
                <w:rFonts w:ascii="Times New Roman" w:hAnsi="Times New Roman"/>
                <w:szCs w:val="21"/>
              </w:rPr>
              <w:t>通过抽签方式下达课题任务，收集资料，消化课题要求</w:t>
            </w:r>
          </w:p>
        </w:tc>
        <w:tc>
          <w:tcPr>
            <w:tcW w:w="2310" w:type="dxa"/>
            <w:noWrap w:val="0"/>
            <w:vAlign w:val="center"/>
          </w:tcPr>
          <w:p>
            <w:pPr>
              <w:jc w:val="left"/>
              <w:rPr>
                <w:rFonts w:ascii="Times New Roman" w:hAnsi="Times New Roman"/>
                <w:bCs/>
                <w:szCs w:val="21"/>
              </w:rPr>
            </w:pPr>
            <w:r>
              <w:rPr>
                <w:rFonts w:hint="eastAsia" w:ascii="Times New Roman" w:hAnsi="Times New Roman"/>
                <w:color w:val="000000"/>
                <w:szCs w:val="21"/>
              </w:rPr>
              <w:t>能围绕课题项目，了解其应用现状与发展趋势，收集有关技术资并加以研究和消化。</w:t>
            </w:r>
          </w:p>
        </w:tc>
        <w:tc>
          <w:tcPr>
            <w:tcW w:w="1122" w:type="dxa"/>
            <w:noWrap w:val="0"/>
            <w:vAlign w:val="center"/>
          </w:tcPr>
          <w:p>
            <w:pPr>
              <w:jc w:val="center"/>
              <w:rPr>
                <w:rFonts w:ascii="Times New Roman" w:hAnsi="Times New Roman"/>
                <w:szCs w:val="21"/>
              </w:rPr>
            </w:pPr>
            <w:r>
              <w:rPr>
                <w:rFonts w:ascii="Times New Roman" w:hAnsi="Times New Roman"/>
                <w:szCs w:val="21"/>
              </w:rPr>
              <w:t>1</w:t>
            </w:r>
            <w:r>
              <w:rPr>
                <w:rFonts w:hint="eastAsia" w:ascii="Times New Roman" w:hAnsi="Times New Roman"/>
                <w:szCs w:val="21"/>
              </w:rPr>
              <w:t>天</w:t>
            </w:r>
          </w:p>
        </w:tc>
        <w:tc>
          <w:tcPr>
            <w:tcW w:w="1374" w:type="dxa"/>
            <w:noWrap w:val="0"/>
            <w:vAlign w:val="center"/>
          </w:tcPr>
          <w:p>
            <w:pPr>
              <w:ind w:left="-107" w:leftChars="-51" w:right="-107" w:rightChars="-51"/>
              <w:jc w:val="center"/>
              <w:rPr>
                <w:rFonts w:ascii="Times New Roman" w:hAnsi="Times New Roman"/>
                <w:szCs w:val="21"/>
              </w:rPr>
            </w:pPr>
            <w:r>
              <w:rPr>
                <w:rFonts w:hint="eastAsia" w:ascii="Times New Roman" w:hAnsi="Times New Roman"/>
                <w:szCs w:val="21"/>
              </w:rPr>
              <w:t>讲授/案例/讨论/演示</w:t>
            </w:r>
          </w:p>
        </w:tc>
        <w:tc>
          <w:tcPr>
            <w:tcW w:w="1246" w:type="dxa"/>
            <w:noWrap w:val="0"/>
            <w:vAlign w:val="center"/>
          </w:tcPr>
          <w:p>
            <w:pPr>
              <w:ind w:left="-107" w:leftChars="-51" w:right="-107" w:rightChars="-51"/>
              <w:jc w:val="center"/>
              <w:rPr>
                <w:rFonts w:ascii="Times New Roman" w:hAnsi="Times New Roman"/>
                <w:szCs w:val="21"/>
              </w:rPr>
            </w:pPr>
            <w:r>
              <w:rPr>
                <w:rFonts w:ascii="Times New Roman" w:hAnsi="Times New Roman"/>
                <w:color w:val="000000"/>
                <w:szCs w:val="21"/>
              </w:rPr>
              <w:t>目标</w:t>
            </w:r>
            <w:r>
              <w:rPr>
                <w:rFonts w:hint="eastAsia" w:ascii="Times New Roman" w:hAnsi="Times New Roman"/>
                <w:szCs w:val="21"/>
              </w:rPr>
              <w:t>1、2、3、</w:t>
            </w:r>
            <w:r>
              <w:rPr>
                <w:rFonts w:ascii="Times New Roman" w:hAnsi="Times New Roman"/>
                <w:szCs w:val="21"/>
              </w:rPr>
              <w:t>4</w:t>
            </w:r>
            <w:r>
              <w:rPr>
                <w:rFonts w:hint="eastAsia"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611" w:type="dxa"/>
            <w:noWrap w:val="0"/>
            <w:vAlign w:val="center"/>
          </w:tcPr>
          <w:p>
            <w:pPr>
              <w:jc w:val="center"/>
              <w:rPr>
                <w:rFonts w:ascii="Times New Roman" w:hAnsi="Times New Roman"/>
                <w:szCs w:val="21"/>
              </w:rPr>
            </w:pPr>
            <w:r>
              <w:rPr>
                <w:rFonts w:hint="eastAsia" w:ascii="Times New Roman" w:hAnsi="Times New Roman"/>
                <w:szCs w:val="21"/>
              </w:rPr>
              <w:t>2</w:t>
            </w:r>
          </w:p>
        </w:tc>
        <w:tc>
          <w:tcPr>
            <w:tcW w:w="1825" w:type="dxa"/>
            <w:noWrap w:val="0"/>
            <w:vAlign w:val="center"/>
          </w:tcPr>
          <w:p>
            <w:pPr>
              <w:tabs>
                <w:tab w:val="left" w:pos="1967"/>
              </w:tabs>
              <w:spacing w:line="276" w:lineRule="auto"/>
              <w:jc w:val="left"/>
              <w:rPr>
                <w:rFonts w:ascii="Times New Roman" w:hAnsi="Times New Roman"/>
                <w:szCs w:val="21"/>
              </w:rPr>
            </w:pPr>
            <w:r>
              <w:rPr>
                <w:rFonts w:ascii="Times New Roman" w:hAnsi="Times New Roman"/>
                <w:szCs w:val="21"/>
              </w:rPr>
              <w:t>方案论证、比较，规划方案</w:t>
            </w:r>
          </w:p>
        </w:tc>
        <w:tc>
          <w:tcPr>
            <w:tcW w:w="2310" w:type="dxa"/>
            <w:noWrap w:val="0"/>
            <w:vAlign w:val="center"/>
          </w:tcPr>
          <w:p>
            <w:pPr>
              <w:jc w:val="left"/>
              <w:rPr>
                <w:rFonts w:ascii="Times New Roman" w:hAnsi="Times New Roman"/>
                <w:bCs/>
                <w:szCs w:val="21"/>
              </w:rPr>
            </w:pPr>
            <w:r>
              <w:rPr>
                <w:rFonts w:hint="eastAsia" w:ascii="Times New Roman" w:hAnsi="Times New Roman"/>
                <w:szCs w:val="21"/>
              </w:rPr>
              <w:t>通过查阅资料求证、比较实验方案，</w:t>
            </w:r>
            <w:r>
              <w:rPr>
                <w:rFonts w:ascii="Times New Roman" w:hAnsi="Times New Roman"/>
                <w:szCs w:val="21"/>
              </w:rPr>
              <w:t>确定合理的实验方案，</w:t>
            </w:r>
            <w:r>
              <w:rPr>
                <w:rFonts w:hint="eastAsia" w:ascii="Times New Roman" w:hAnsi="Times New Roman"/>
                <w:szCs w:val="21"/>
              </w:rPr>
              <w:t>确定所需实验仪器与药品，准备实验</w:t>
            </w:r>
          </w:p>
        </w:tc>
        <w:tc>
          <w:tcPr>
            <w:tcW w:w="1122" w:type="dxa"/>
            <w:noWrap w:val="0"/>
            <w:vAlign w:val="center"/>
          </w:tcPr>
          <w:p>
            <w:pPr>
              <w:jc w:val="center"/>
              <w:rPr>
                <w:rFonts w:ascii="Times New Roman" w:hAnsi="Times New Roman"/>
                <w:szCs w:val="21"/>
              </w:rPr>
            </w:pPr>
            <w:r>
              <w:rPr>
                <w:rFonts w:ascii="Times New Roman" w:hAnsi="Times New Roman"/>
                <w:szCs w:val="21"/>
              </w:rPr>
              <w:t>1</w:t>
            </w:r>
            <w:r>
              <w:rPr>
                <w:rFonts w:hint="eastAsia" w:ascii="Times New Roman" w:hAnsi="Times New Roman"/>
                <w:szCs w:val="21"/>
              </w:rPr>
              <w:t>天</w:t>
            </w:r>
          </w:p>
        </w:tc>
        <w:tc>
          <w:tcPr>
            <w:tcW w:w="1374" w:type="dxa"/>
            <w:noWrap w:val="0"/>
            <w:vAlign w:val="center"/>
          </w:tcPr>
          <w:p>
            <w:pPr>
              <w:ind w:left="-107" w:leftChars="-51" w:right="-107" w:rightChars="-51"/>
              <w:jc w:val="center"/>
              <w:rPr>
                <w:rFonts w:ascii="Times New Roman" w:hAnsi="Times New Roman"/>
                <w:szCs w:val="21"/>
              </w:rPr>
            </w:pPr>
            <w:r>
              <w:rPr>
                <w:rFonts w:hint="eastAsia" w:ascii="Times New Roman" w:hAnsi="Times New Roman"/>
                <w:szCs w:val="21"/>
              </w:rPr>
              <w:t>讲授/讨论/演示</w:t>
            </w:r>
          </w:p>
        </w:tc>
        <w:tc>
          <w:tcPr>
            <w:tcW w:w="1246" w:type="dxa"/>
            <w:noWrap w:val="0"/>
            <w:vAlign w:val="center"/>
          </w:tcPr>
          <w:p>
            <w:pPr>
              <w:ind w:left="-107" w:leftChars="-51" w:right="-107" w:rightChars="-51"/>
              <w:jc w:val="center"/>
              <w:rPr>
                <w:rFonts w:ascii="Times New Roman" w:hAnsi="Times New Roman"/>
                <w:szCs w:val="21"/>
              </w:rPr>
            </w:pPr>
            <w:r>
              <w:rPr>
                <w:rFonts w:ascii="Times New Roman" w:hAnsi="Times New Roman"/>
                <w:color w:val="000000"/>
                <w:szCs w:val="21"/>
              </w:rPr>
              <w:t>目标</w:t>
            </w:r>
            <w:r>
              <w:rPr>
                <w:rFonts w:hint="eastAsia" w:ascii="Times New Roman" w:hAnsi="Times New Roman"/>
                <w:szCs w:val="21"/>
              </w:rPr>
              <w:t>1、2、3、</w:t>
            </w:r>
            <w:r>
              <w:rPr>
                <w:rFonts w:ascii="Times New Roman" w:hAnsi="Times New Roman"/>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611" w:type="dxa"/>
            <w:noWrap w:val="0"/>
            <w:vAlign w:val="center"/>
          </w:tcPr>
          <w:p>
            <w:pPr>
              <w:jc w:val="center"/>
              <w:rPr>
                <w:rFonts w:ascii="Times New Roman" w:hAnsi="Times New Roman"/>
                <w:szCs w:val="21"/>
              </w:rPr>
            </w:pPr>
            <w:r>
              <w:rPr>
                <w:rFonts w:hint="eastAsia" w:ascii="Times New Roman" w:hAnsi="Times New Roman"/>
                <w:szCs w:val="21"/>
              </w:rPr>
              <w:t>3</w:t>
            </w:r>
          </w:p>
        </w:tc>
        <w:tc>
          <w:tcPr>
            <w:tcW w:w="1825" w:type="dxa"/>
            <w:noWrap w:val="0"/>
            <w:vAlign w:val="center"/>
          </w:tcPr>
          <w:p>
            <w:pPr>
              <w:spacing w:line="276" w:lineRule="auto"/>
              <w:jc w:val="left"/>
              <w:rPr>
                <w:rFonts w:ascii="Times New Roman" w:hAnsi="Times New Roman"/>
                <w:szCs w:val="21"/>
              </w:rPr>
            </w:pPr>
            <w:r>
              <w:rPr>
                <w:rFonts w:hint="eastAsia" w:ascii="Times New Roman" w:hAnsi="Times New Roman"/>
                <w:szCs w:val="21"/>
              </w:rPr>
              <w:t>实验</w:t>
            </w:r>
            <w:r>
              <w:rPr>
                <w:rFonts w:ascii="Times New Roman" w:hAnsi="Times New Roman"/>
                <w:szCs w:val="21"/>
              </w:rPr>
              <w:t>方案的实施</w:t>
            </w:r>
          </w:p>
        </w:tc>
        <w:tc>
          <w:tcPr>
            <w:tcW w:w="2310" w:type="dxa"/>
            <w:noWrap w:val="0"/>
            <w:vAlign w:val="center"/>
          </w:tcPr>
          <w:p>
            <w:pPr>
              <w:rPr>
                <w:rFonts w:ascii="Times New Roman" w:hAnsi="Times New Roman"/>
                <w:bCs/>
                <w:szCs w:val="21"/>
              </w:rPr>
            </w:pPr>
            <w:r>
              <w:rPr>
                <w:rFonts w:hint="eastAsia" w:ascii="Times New Roman" w:hAnsi="Times New Roman"/>
                <w:color w:val="000000"/>
                <w:szCs w:val="21"/>
              </w:rPr>
              <w:t>掌握有关硬件、软件开发工具的使用。掌握有关绘图工具的使用，并设计相应的图纸。</w:t>
            </w:r>
          </w:p>
        </w:tc>
        <w:tc>
          <w:tcPr>
            <w:tcW w:w="1122" w:type="dxa"/>
            <w:noWrap w:val="0"/>
            <w:vAlign w:val="center"/>
          </w:tcPr>
          <w:p>
            <w:pPr>
              <w:jc w:val="center"/>
              <w:rPr>
                <w:rFonts w:ascii="Times New Roman" w:hAnsi="Times New Roman"/>
                <w:szCs w:val="21"/>
              </w:rPr>
            </w:pPr>
            <w:r>
              <w:rPr>
                <w:rFonts w:hint="eastAsia" w:ascii="Times New Roman" w:hAnsi="Times New Roman"/>
                <w:szCs w:val="21"/>
              </w:rPr>
              <w:t>3天</w:t>
            </w:r>
          </w:p>
        </w:tc>
        <w:tc>
          <w:tcPr>
            <w:tcW w:w="1374" w:type="dxa"/>
            <w:noWrap w:val="0"/>
            <w:vAlign w:val="center"/>
          </w:tcPr>
          <w:p>
            <w:pPr>
              <w:ind w:left="-107" w:leftChars="-51" w:right="-107" w:rightChars="-51"/>
              <w:jc w:val="center"/>
              <w:rPr>
                <w:rFonts w:ascii="Times New Roman" w:hAnsi="Times New Roman"/>
                <w:szCs w:val="21"/>
              </w:rPr>
            </w:pPr>
            <w:r>
              <w:rPr>
                <w:rFonts w:hint="eastAsia" w:ascii="Times New Roman" w:hAnsi="Times New Roman"/>
                <w:szCs w:val="21"/>
              </w:rPr>
              <w:t>讨论</w:t>
            </w:r>
          </w:p>
        </w:tc>
        <w:tc>
          <w:tcPr>
            <w:tcW w:w="1246" w:type="dxa"/>
            <w:noWrap w:val="0"/>
            <w:vAlign w:val="center"/>
          </w:tcPr>
          <w:p>
            <w:pPr>
              <w:ind w:left="-107" w:leftChars="-51" w:right="-107" w:rightChars="-51"/>
              <w:jc w:val="center"/>
              <w:rPr>
                <w:rFonts w:ascii="Times New Roman" w:hAnsi="Times New Roman"/>
                <w:szCs w:val="21"/>
              </w:rPr>
            </w:pPr>
            <w:r>
              <w:rPr>
                <w:rFonts w:ascii="Times New Roman" w:hAnsi="Times New Roman"/>
                <w:color w:val="000000"/>
                <w:szCs w:val="21"/>
              </w:rPr>
              <w:t>目标</w:t>
            </w:r>
            <w:r>
              <w:rPr>
                <w:rFonts w:hint="eastAsia" w:ascii="Times New Roman" w:hAnsi="Times New Roman"/>
                <w:szCs w:val="21"/>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611" w:type="dxa"/>
            <w:noWrap w:val="0"/>
            <w:vAlign w:val="center"/>
          </w:tcPr>
          <w:p>
            <w:pPr>
              <w:jc w:val="center"/>
              <w:rPr>
                <w:rFonts w:ascii="Times New Roman" w:hAnsi="Times New Roman"/>
                <w:szCs w:val="21"/>
              </w:rPr>
            </w:pPr>
            <w:r>
              <w:rPr>
                <w:rFonts w:hint="eastAsia" w:ascii="Times New Roman" w:hAnsi="Times New Roman"/>
                <w:szCs w:val="21"/>
              </w:rPr>
              <w:t>4</w:t>
            </w:r>
          </w:p>
        </w:tc>
        <w:tc>
          <w:tcPr>
            <w:tcW w:w="1825" w:type="dxa"/>
            <w:noWrap w:val="0"/>
            <w:vAlign w:val="center"/>
          </w:tcPr>
          <w:p>
            <w:pPr>
              <w:spacing w:line="276" w:lineRule="auto"/>
              <w:jc w:val="left"/>
              <w:rPr>
                <w:rFonts w:ascii="Times New Roman" w:hAnsi="Times New Roman"/>
                <w:szCs w:val="21"/>
              </w:rPr>
            </w:pPr>
            <w:r>
              <w:rPr>
                <w:rFonts w:ascii="Times New Roman" w:hAnsi="Times New Roman"/>
                <w:szCs w:val="21"/>
              </w:rPr>
              <w:t>撰写设计报告</w:t>
            </w:r>
          </w:p>
        </w:tc>
        <w:tc>
          <w:tcPr>
            <w:tcW w:w="2310" w:type="dxa"/>
            <w:noWrap w:val="0"/>
            <w:vAlign w:val="center"/>
          </w:tcPr>
          <w:p>
            <w:pPr>
              <w:jc w:val="left"/>
              <w:rPr>
                <w:rFonts w:ascii="Times New Roman" w:hAnsi="Times New Roman"/>
                <w:bCs/>
                <w:szCs w:val="21"/>
              </w:rPr>
            </w:pPr>
            <w:r>
              <w:rPr>
                <w:rFonts w:hint="eastAsia" w:ascii="Times New Roman" w:hAnsi="Times New Roman"/>
                <w:color w:val="000000"/>
                <w:szCs w:val="21"/>
              </w:rPr>
              <w:t>完成课程设计报告的编写，并分析实验数据。</w:t>
            </w:r>
          </w:p>
        </w:tc>
        <w:tc>
          <w:tcPr>
            <w:tcW w:w="1122" w:type="dxa"/>
            <w:noWrap w:val="0"/>
            <w:vAlign w:val="center"/>
          </w:tcPr>
          <w:p>
            <w:pPr>
              <w:jc w:val="center"/>
              <w:rPr>
                <w:rFonts w:ascii="Times New Roman" w:hAnsi="Times New Roman"/>
                <w:szCs w:val="21"/>
              </w:rPr>
            </w:pPr>
            <w:r>
              <w:rPr>
                <w:rFonts w:ascii="Times New Roman" w:hAnsi="Times New Roman"/>
                <w:szCs w:val="21"/>
              </w:rPr>
              <w:t>1</w:t>
            </w:r>
            <w:r>
              <w:rPr>
                <w:rFonts w:hint="eastAsia" w:ascii="Times New Roman" w:hAnsi="Times New Roman"/>
                <w:szCs w:val="21"/>
              </w:rPr>
              <w:t>天</w:t>
            </w:r>
          </w:p>
        </w:tc>
        <w:tc>
          <w:tcPr>
            <w:tcW w:w="1374" w:type="dxa"/>
            <w:noWrap w:val="0"/>
            <w:vAlign w:val="center"/>
          </w:tcPr>
          <w:p>
            <w:pPr>
              <w:ind w:left="-107" w:leftChars="-51" w:right="-107" w:rightChars="-51"/>
              <w:jc w:val="center"/>
              <w:rPr>
                <w:rFonts w:ascii="Times New Roman" w:hAnsi="Times New Roman"/>
                <w:szCs w:val="21"/>
              </w:rPr>
            </w:pPr>
            <w:r>
              <w:rPr>
                <w:rFonts w:hint="eastAsia" w:ascii="Times New Roman" w:hAnsi="Times New Roman"/>
                <w:szCs w:val="21"/>
              </w:rPr>
              <w:t>讨论</w:t>
            </w:r>
          </w:p>
        </w:tc>
        <w:tc>
          <w:tcPr>
            <w:tcW w:w="1246" w:type="dxa"/>
            <w:noWrap w:val="0"/>
            <w:vAlign w:val="center"/>
          </w:tcPr>
          <w:p>
            <w:pPr>
              <w:ind w:left="-107" w:leftChars="-51" w:right="-107" w:rightChars="-51"/>
              <w:jc w:val="center"/>
              <w:rPr>
                <w:rFonts w:ascii="Times New Roman" w:hAnsi="Times New Roman"/>
                <w:szCs w:val="21"/>
              </w:rPr>
            </w:pPr>
            <w:r>
              <w:rPr>
                <w:rFonts w:ascii="Times New Roman" w:hAnsi="Times New Roman"/>
                <w:color w:val="000000"/>
                <w:szCs w:val="21"/>
              </w:rPr>
              <w:t>目标</w:t>
            </w:r>
            <w:r>
              <w:rPr>
                <w:rFonts w:hint="eastAsia" w:ascii="Times New Roman" w:hAnsi="Times New Roman"/>
                <w:color w:val="000000"/>
                <w:szCs w:val="21"/>
              </w:rPr>
              <w:t>1、</w:t>
            </w:r>
            <w:r>
              <w:rPr>
                <w:rFonts w:hint="eastAsia" w:ascii="Times New Roman" w:hAnsi="Times New Roman"/>
                <w:szCs w:val="21"/>
              </w:rPr>
              <w:t>2、3、</w:t>
            </w:r>
            <w:r>
              <w:rPr>
                <w:rFonts w:ascii="Times New Roman" w:hAnsi="Times New Roman"/>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611" w:type="dxa"/>
            <w:noWrap w:val="0"/>
            <w:vAlign w:val="center"/>
          </w:tcPr>
          <w:p>
            <w:pPr>
              <w:jc w:val="center"/>
              <w:rPr>
                <w:rFonts w:ascii="Times New Roman" w:hAnsi="Times New Roman"/>
                <w:szCs w:val="21"/>
              </w:rPr>
            </w:pPr>
            <w:r>
              <w:rPr>
                <w:rFonts w:hint="eastAsia" w:ascii="Times New Roman" w:hAnsi="Times New Roman"/>
                <w:szCs w:val="21"/>
              </w:rPr>
              <w:t>5</w:t>
            </w:r>
          </w:p>
        </w:tc>
        <w:tc>
          <w:tcPr>
            <w:tcW w:w="1825" w:type="dxa"/>
            <w:noWrap w:val="0"/>
            <w:vAlign w:val="center"/>
          </w:tcPr>
          <w:p>
            <w:pPr>
              <w:spacing w:line="276" w:lineRule="auto"/>
              <w:jc w:val="left"/>
              <w:rPr>
                <w:rFonts w:ascii="Times New Roman" w:hAnsi="Times New Roman"/>
                <w:szCs w:val="21"/>
              </w:rPr>
            </w:pPr>
            <w:r>
              <w:rPr>
                <w:rFonts w:ascii="Times New Roman" w:hAnsi="Times New Roman"/>
                <w:szCs w:val="21"/>
              </w:rPr>
              <w:t>制作PPT</w:t>
            </w:r>
            <w:r>
              <w:rPr>
                <w:rFonts w:hint="eastAsia" w:ascii="Times New Roman" w:hAnsi="Times New Roman"/>
                <w:szCs w:val="21"/>
              </w:rPr>
              <w:t>、</w:t>
            </w:r>
            <w:r>
              <w:rPr>
                <w:rFonts w:ascii="Times New Roman" w:hAnsi="Times New Roman"/>
                <w:szCs w:val="21"/>
              </w:rPr>
              <w:t>提交设计报告、作品演示和答辩</w:t>
            </w:r>
          </w:p>
        </w:tc>
        <w:tc>
          <w:tcPr>
            <w:tcW w:w="2310" w:type="dxa"/>
            <w:noWrap w:val="0"/>
            <w:vAlign w:val="center"/>
          </w:tcPr>
          <w:p>
            <w:pPr>
              <w:jc w:val="left"/>
              <w:rPr>
                <w:rFonts w:ascii="Times New Roman" w:hAnsi="Times New Roman"/>
                <w:bCs/>
                <w:szCs w:val="21"/>
              </w:rPr>
            </w:pPr>
            <w:r>
              <w:rPr>
                <w:rFonts w:hint="eastAsia" w:ascii="Times New Roman" w:hAnsi="Times New Roman"/>
                <w:color w:val="000000"/>
                <w:szCs w:val="21"/>
              </w:rPr>
              <w:t>能完成PPT的设计和制作；进行课程设计的答辩汇报。</w:t>
            </w:r>
          </w:p>
        </w:tc>
        <w:tc>
          <w:tcPr>
            <w:tcW w:w="1122" w:type="dxa"/>
            <w:noWrap w:val="0"/>
            <w:vAlign w:val="center"/>
          </w:tcPr>
          <w:p>
            <w:pPr>
              <w:jc w:val="center"/>
              <w:rPr>
                <w:rFonts w:ascii="Times New Roman" w:hAnsi="Times New Roman"/>
                <w:szCs w:val="21"/>
              </w:rPr>
            </w:pPr>
            <w:r>
              <w:rPr>
                <w:rFonts w:ascii="Times New Roman" w:hAnsi="Times New Roman"/>
                <w:szCs w:val="21"/>
              </w:rPr>
              <w:t>1</w:t>
            </w:r>
            <w:r>
              <w:rPr>
                <w:rFonts w:hint="eastAsia" w:ascii="Times New Roman" w:hAnsi="Times New Roman"/>
                <w:szCs w:val="21"/>
              </w:rPr>
              <w:t>天</w:t>
            </w:r>
          </w:p>
        </w:tc>
        <w:tc>
          <w:tcPr>
            <w:tcW w:w="1374" w:type="dxa"/>
            <w:noWrap w:val="0"/>
            <w:vAlign w:val="center"/>
          </w:tcPr>
          <w:p>
            <w:pPr>
              <w:ind w:left="-107" w:leftChars="-51" w:right="-107" w:rightChars="-51"/>
              <w:jc w:val="center"/>
              <w:rPr>
                <w:rFonts w:ascii="Times New Roman" w:hAnsi="Times New Roman"/>
                <w:szCs w:val="21"/>
              </w:rPr>
            </w:pPr>
            <w:r>
              <w:rPr>
                <w:rFonts w:hint="eastAsia" w:ascii="Times New Roman" w:hAnsi="Times New Roman"/>
                <w:szCs w:val="21"/>
              </w:rPr>
              <w:t>讲授/演示/答辩</w:t>
            </w:r>
          </w:p>
        </w:tc>
        <w:tc>
          <w:tcPr>
            <w:tcW w:w="1246" w:type="dxa"/>
            <w:noWrap w:val="0"/>
            <w:vAlign w:val="center"/>
          </w:tcPr>
          <w:p>
            <w:pPr>
              <w:ind w:left="-107" w:leftChars="-51" w:right="-107" w:rightChars="-51"/>
              <w:jc w:val="center"/>
              <w:rPr>
                <w:rFonts w:ascii="Times New Roman" w:hAnsi="Times New Roman"/>
                <w:szCs w:val="21"/>
              </w:rPr>
            </w:pPr>
            <w:r>
              <w:rPr>
                <w:rFonts w:ascii="Times New Roman" w:hAnsi="Times New Roman"/>
                <w:color w:val="000000"/>
                <w:szCs w:val="21"/>
              </w:rPr>
              <w:t>目标</w:t>
            </w:r>
            <w:r>
              <w:rPr>
                <w:rFonts w:ascii="Times New Roman" w:hAnsi="Times New Roman"/>
                <w:szCs w:val="21"/>
              </w:rPr>
              <w:t>4</w:t>
            </w:r>
          </w:p>
        </w:tc>
      </w:tr>
    </w:tbl>
    <w:p>
      <w:pPr>
        <w:spacing w:line="360" w:lineRule="auto"/>
        <w:ind w:firstLine="562" w:firstLineChars="200"/>
        <w:rPr>
          <w:rFonts w:ascii="Times New Roman" w:hAnsi="Times New Roman"/>
          <w:b/>
          <w:sz w:val="28"/>
          <w:szCs w:val="28"/>
        </w:rPr>
      </w:pPr>
      <w:r>
        <w:rPr>
          <w:rFonts w:hint="eastAsia" w:ascii="Times New Roman" w:hAnsi="Times New Roman"/>
          <w:b/>
          <w:sz w:val="28"/>
          <w:szCs w:val="28"/>
        </w:rPr>
        <w:t>四</w:t>
      </w:r>
      <w:r>
        <w:rPr>
          <w:rFonts w:ascii="Times New Roman" w:hAnsi="Times New Roman"/>
          <w:b/>
          <w:sz w:val="28"/>
          <w:szCs w:val="28"/>
        </w:rPr>
        <w:t>、</w:t>
      </w:r>
      <w:r>
        <w:rPr>
          <w:rFonts w:hint="eastAsia" w:ascii="Times New Roman" w:hAnsi="Times New Roman"/>
          <w:b/>
          <w:sz w:val="28"/>
          <w:szCs w:val="28"/>
        </w:rPr>
        <w:t>课程实施</w:t>
      </w:r>
    </w:p>
    <w:p>
      <w:pPr>
        <w:spacing w:line="360" w:lineRule="auto"/>
        <w:ind w:firstLine="482" w:firstLineChars="200"/>
        <w:rPr>
          <w:rFonts w:ascii="Times New Roman" w:hAnsi="Times New Roman"/>
          <w:b/>
          <w:sz w:val="24"/>
        </w:rPr>
      </w:pPr>
      <w:r>
        <w:rPr>
          <w:rFonts w:hint="eastAsia" w:ascii="Times New Roman" w:hAnsi="Times New Roman"/>
          <w:b/>
          <w:sz w:val="24"/>
        </w:rPr>
        <w:t>（一）教学方法与教学手段</w:t>
      </w:r>
    </w:p>
    <w:p>
      <w:pPr>
        <w:spacing w:line="360" w:lineRule="auto"/>
        <w:ind w:firstLine="480" w:firstLineChars="200"/>
        <w:jc w:val="left"/>
        <w:rPr>
          <w:rFonts w:ascii="Times New Roman" w:hAnsi="Times New Roman"/>
          <w:color w:val="000000"/>
          <w:sz w:val="24"/>
        </w:rPr>
      </w:pPr>
      <w:r>
        <w:rPr>
          <w:rFonts w:hint="eastAsia" w:ascii="Times New Roman" w:hAnsi="Times New Roman"/>
          <w:color w:val="000000"/>
          <w:sz w:val="24"/>
        </w:rPr>
        <w:t>1.</w:t>
      </w:r>
      <w:r>
        <w:rPr>
          <w:rFonts w:hint="eastAsia"/>
        </w:rPr>
        <w:t xml:space="preserve"> </w:t>
      </w:r>
      <w:r>
        <w:rPr>
          <w:rFonts w:hint="eastAsia" w:ascii="Times New Roman" w:hAnsi="Times New Roman"/>
          <w:color w:val="000000"/>
          <w:sz w:val="24"/>
        </w:rPr>
        <w:t>结合近年来学生的开放实验项目，大学生课外科技创新项目与教师的科学研究项目等工作，将最新的研究成果整合成相应的实验内容，提高课题的科学意义。</w:t>
      </w:r>
    </w:p>
    <w:p>
      <w:pPr>
        <w:spacing w:line="360" w:lineRule="auto"/>
        <w:ind w:firstLine="480" w:firstLineChars="200"/>
        <w:jc w:val="left"/>
        <w:rPr>
          <w:rFonts w:ascii="Times New Roman" w:hAnsi="Times New Roman"/>
          <w:color w:val="000000"/>
          <w:sz w:val="24"/>
        </w:rPr>
      </w:pPr>
      <w:r>
        <w:rPr>
          <w:rFonts w:hint="eastAsia" w:ascii="Times New Roman" w:hAnsi="Times New Roman"/>
          <w:color w:val="000000"/>
          <w:sz w:val="24"/>
        </w:rPr>
        <w:t>2.学生通过抽签的方式，获得相应的开放性研究课题，随后通过方案的设计、方案的论证，确定合理的实验路线，最终通过实验获得所需的实验数据，并对实验数据进行合理地解释与分析。</w:t>
      </w:r>
    </w:p>
    <w:p>
      <w:pPr>
        <w:spacing w:line="360" w:lineRule="auto"/>
        <w:ind w:firstLine="480" w:firstLineChars="200"/>
        <w:jc w:val="left"/>
        <w:rPr>
          <w:rFonts w:ascii="Times New Roman" w:hAnsi="Times New Roman"/>
          <w:color w:val="000000"/>
          <w:sz w:val="24"/>
        </w:rPr>
      </w:pPr>
      <w:r>
        <w:rPr>
          <w:rFonts w:hint="eastAsia" w:ascii="Times New Roman" w:hAnsi="Times New Roman"/>
          <w:color w:val="000000"/>
          <w:sz w:val="24"/>
        </w:rPr>
        <w:t>3.综合实验强调实践、动手能力，注重实验的质量、效果。答辩注重PPT质量和现场解决问题能力评价。报告更注重具体设计、调试等细节方面内容的描述，体现报告的深度和广度。</w:t>
      </w:r>
    </w:p>
    <w:p>
      <w:pPr>
        <w:spacing w:line="360" w:lineRule="auto"/>
        <w:ind w:firstLine="482" w:firstLineChars="200"/>
        <w:rPr>
          <w:rFonts w:ascii="Times New Roman" w:hAnsi="Times New Roman"/>
          <w:b/>
          <w:sz w:val="24"/>
        </w:rPr>
      </w:pPr>
      <w:r>
        <w:rPr>
          <w:rFonts w:hint="eastAsia" w:ascii="Times New Roman" w:hAnsi="Times New Roman"/>
          <w:b/>
          <w:sz w:val="24"/>
        </w:rPr>
        <w:t>（二）课程实施与保障</w:t>
      </w:r>
    </w:p>
    <w:tbl>
      <w:tblPr>
        <w:tblStyle w:val="10"/>
        <w:tblW w:w="88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
        <w:gridCol w:w="1276"/>
        <w:gridCol w:w="6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17" w:type="dxa"/>
            <w:gridSpan w:val="2"/>
            <w:noWrap w:val="0"/>
            <w:vAlign w:val="center"/>
          </w:tcPr>
          <w:p>
            <w:pPr>
              <w:snapToGrid w:val="0"/>
              <w:jc w:val="center"/>
              <w:rPr>
                <w:rFonts w:ascii="Times New Roman" w:hAnsi="Times New Roman"/>
                <w:bCs/>
              </w:rPr>
            </w:pPr>
            <w:r>
              <w:rPr>
                <w:rFonts w:ascii="Times New Roman" w:hAnsi="Times New Roman"/>
                <w:bCs/>
              </w:rPr>
              <w:t>主要</w:t>
            </w:r>
            <w:r>
              <w:rPr>
                <w:rFonts w:hint="eastAsia" w:ascii="Times New Roman" w:hAnsi="Times New Roman"/>
                <w:bCs/>
              </w:rPr>
              <w:t>教学</w:t>
            </w:r>
            <w:r>
              <w:rPr>
                <w:rFonts w:ascii="Times New Roman" w:hAnsi="Times New Roman"/>
                <w:bCs/>
              </w:rPr>
              <w:t>环节</w:t>
            </w:r>
          </w:p>
        </w:tc>
        <w:tc>
          <w:tcPr>
            <w:tcW w:w="6704" w:type="dxa"/>
            <w:noWrap w:val="0"/>
            <w:vAlign w:val="center"/>
          </w:tcPr>
          <w:p>
            <w:pPr>
              <w:snapToGrid w:val="0"/>
              <w:jc w:val="center"/>
              <w:rPr>
                <w:rFonts w:ascii="Times New Roman" w:hAnsi="Times New Roman"/>
                <w:bCs/>
              </w:rPr>
            </w:pPr>
            <w:r>
              <w:rPr>
                <w:rFonts w:ascii="Times New Roman" w:hAnsi="Times New Roman"/>
                <w:bCs/>
              </w:rPr>
              <w:t>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1" w:type="dxa"/>
            <w:vMerge w:val="restart"/>
            <w:noWrap w:val="0"/>
            <w:vAlign w:val="center"/>
          </w:tcPr>
          <w:p>
            <w:pPr>
              <w:jc w:val="center"/>
              <w:rPr>
                <w:rFonts w:ascii="Times New Roman" w:hAnsi="Times New Roman"/>
                <w:szCs w:val="21"/>
              </w:rPr>
            </w:pPr>
            <w:r>
              <w:rPr>
                <w:rFonts w:hint="eastAsia" w:ascii="Times New Roman" w:hAnsi="Times New Roman"/>
                <w:szCs w:val="21"/>
              </w:rPr>
              <w:t>准备</w:t>
            </w:r>
            <w:r>
              <w:rPr>
                <w:rFonts w:ascii="Times New Roman" w:hAnsi="Times New Roman"/>
                <w:szCs w:val="21"/>
              </w:rPr>
              <w:t>阶段</w:t>
            </w:r>
          </w:p>
        </w:tc>
        <w:tc>
          <w:tcPr>
            <w:tcW w:w="1276" w:type="dxa"/>
            <w:noWrap w:val="0"/>
            <w:vAlign w:val="center"/>
          </w:tcPr>
          <w:p>
            <w:pPr>
              <w:spacing w:line="276" w:lineRule="auto"/>
              <w:rPr>
                <w:rFonts w:ascii="Times New Roman" w:hAnsi="Times New Roman"/>
                <w:szCs w:val="21"/>
              </w:rPr>
            </w:pPr>
            <w:r>
              <w:rPr>
                <w:rFonts w:ascii="Times New Roman" w:hAnsi="Times New Roman"/>
                <w:szCs w:val="21"/>
              </w:rPr>
              <w:t>1.实践</w:t>
            </w:r>
            <w:r>
              <w:rPr>
                <w:rFonts w:hint="eastAsia" w:ascii="Times New Roman" w:hAnsi="Times New Roman"/>
                <w:szCs w:val="21"/>
              </w:rPr>
              <w:t>选题</w:t>
            </w:r>
          </w:p>
        </w:tc>
        <w:tc>
          <w:tcPr>
            <w:tcW w:w="6704" w:type="dxa"/>
            <w:noWrap w:val="0"/>
            <w:vAlign w:val="center"/>
          </w:tcPr>
          <w:p>
            <w:pPr>
              <w:spacing w:line="276" w:lineRule="auto"/>
              <w:rPr>
                <w:rFonts w:ascii="Times New Roman" w:hAnsi="Times New Roman"/>
                <w:szCs w:val="21"/>
              </w:rPr>
            </w:pPr>
            <w:r>
              <w:rPr>
                <w:rFonts w:ascii="Times New Roman" w:hAnsi="Times New Roman"/>
                <w:szCs w:val="21"/>
              </w:rPr>
              <w:t>根据学校要求及专业人才培养方案，制定</w:t>
            </w:r>
            <w:r>
              <w:rPr>
                <w:rFonts w:hint="eastAsia" w:ascii="Times New Roman" w:hAnsi="Times New Roman"/>
                <w:szCs w:val="21"/>
              </w:rPr>
              <w:t>合理</w:t>
            </w:r>
            <w:r>
              <w:rPr>
                <w:rFonts w:ascii="Times New Roman" w:hAnsi="Times New Roman"/>
                <w:szCs w:val="21"/>
              </w:rPr>
              <w:t>可行的综合性</w:t>
            </w:r>
            <w:r>
              <w:rPr>
                <w:rFonts w:hint="eastAsia" w:ascii="Times New Roman" w:hAnsi="Times New Roman"/>
                <w:szCs w:val="21"/>
              </w:rPr>
              <w:t>实验</w:t>
            </w:r>
            <w:r>
              <w:rPr>
                <w:rFonts w:ascii="Times New Roman" w:hAnsi="Times New Roman"/>
                <w:szCs w:val="21"/>
              </w:rPr>
              <w:t>项目，并在</w:t>
            </w:r>
            <w:r>
              <w:rPr>
                <w:rFonts w:hint="eastAsia" w:ascii="Times New Roman" w:hAnsi="Times New Roman"/>
                <w:szCs w:val="21"/>
              </w:rPr>
              <w:t>综合实验</w:t>
            </w:r>
            <w:r>
              <w:rPr>
                <w:rFonts w:ascii="Times New Roman" w:hAnsi="Times New Roman"/>
                <w:szCs w:val="21"/>
              </w:rPr>
              <w:t>开始前通过抽签的方式</w:t>
            </w:r>
            <w:r>
              <w:rPr>
                <w:rFonts w:hint="eastAsia" w:ascii="Times New Roman" w:hAnsi="Times New Roman"/>
                <w:szCs w:val="21"/>
              </w:rPr>
              <w:t>，</w:t>
            </w:r>
            <w:r>
              <w:rPr>
                <w:rFonts w:ascii="Times New Roman" w:hAnsi="Times New Roman"/>
                <w:szCs w:val="21"/>
              </w:rPr>
              <w:t>将课题发放给学生。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1" w:type="dxa"/>
            <w:vMerge w:val="continue"/>
            <w:noWrap w:val="0"/>
            <w:vAlign w:val="center"/>
          </w:tcPr>
          <w:p>
            <w:pPr>
              <w:jc w:val="center"/>
              <w:rPr>
                <w:rFonts w:ascii="Times New Roman" w:hAnsi="Times New Roman"/>
                <w:szCs w:val="21"/>
              </w:rPr>
            </w:pPr>
          </w:p>
        </w:tc>
        <w:tc>
          <w:tcPr>
            <w:tcW w:w="1276" w:type="dxa"/>
            <w:noWrap w:val="0"/>
            <w:vAlign w:val="center"/>
          </w:tcPr>
          <w:p>
            <w:pPr>
              <w:snapToGrid w:val="0"/>
              <w:spacing w:line="276" w:lineRule="auto"/>
              <w:rPr>
                <w:rFonts w:ascii="Times New Roman" w:hAnsi="Times New Roman"/>
                <w:szCs w:val="21"/>
              </w:rPr>
            </w:pPr>
            <w:r>
              <w:rPr>
                <w:rFonts w:ascii="Times New Roman" w:hAnsi="Times New Roman"/>
                <w:szCs w:val="21"/>
              </w:rPr>
              <w:t>2.指导老师</w:t>
            </w:r>
          </w:p>
        </w:tc>
        <w:tc>
          <w:tcPr>
            <w:tcW w:w="6704" w:type="dxa"/>
            <w:noWrap w:val="0"/>
            <w:vAlign w:val="center"/>
          </w:tcPr>
          <w:p>
            <w:pPr>
              <w:snapToGrid w:val="0"/>
              <w:spacing w:line="276" w:lineRule="auto"/>
              <w:rPr>
                <w:rFonts w:ascii="Times New Roman" w:hAnsi="Times New Roman"/>
                <w:szCs w:val="21"/>
              </w:rPr>
            </w:pPr>
            <w:r>
              <w:rPr>
                <w:rFonts w:ascii="Times New Roman" w:hAnsi="Times New Roman"/>
                <w:szCs w:val="21"/>
              </w:rPr>
              <w:t>指导教师由工程经验丰富、对动手能力强的讲师及以上职称的教师担任，具备扎实的理论基础知识和丰富的实践经验；指导教师在设计任务前熟悉大纲。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1" w:type="dxa"/>
            <w:vMerge w:val="continue"/>
            <w:noWrap w:val="0"/>
            <w:vAlign w:val="center"/>
          </w:tcPr>
          <w:p>
            <w:pPr>
              <w:jc w:val="center"/>
              <w:rPr>
                <w:rFonts w:ascii="Times New Roman" w:hAnsi="Times New Roman"/>
                <w:szCs w:val="21"/>
              </w:rPr>
            </w:pPr>
          </w:p>
        </w:tc>
        <w:tc>
          <w:tcPr>
            <w:tcW w:w="1276" w:type="dxa"/>
            <w:noWrap w:val="0"/>
            <w:vAlign w:val="center"/>
          </w:tcPr>
          <w:p>
            <w:pPr>
              <w:snapToGrid w:val="0"/>
              <w:spacing w:line="276" w:lineRule="auto"/>
              <w:rPr>
                <w:rFonts w:ascii="Times New Roman" w:hAnsi="Times New Roman"/>
                <w:szCs w:val="21"/>
              </w:rPr>
            </w:pPr>
            <w:r>
              <w:rPr>
                <w:rFonts w:ascii="Times New Roman" w:hAnsi="Times New Roman"/>
                <w:szCs w:val="21"/>
              </w:rPr>
              <w:t>3.实践教材</w:t>
            </w:r>
          </w:p>
        </w:tc>
        <w:tc>
          <w:tcPr>
            <w:tcW w:w="6704" w:type="dxa"/>
            <w:noWrap w:val="0"/>
            <w:vAlign w:val="center"/>
          </w:tcPr>
          <w:p>
            <w:pPr>
              <w:snapToGrid w:val="0"/>
              <w:spacing w:line="276" w:lineRule="auto"/>
              <w:rPr>
                <w:rFonts w:ascii="Times New Roman" w:hAnsi="Times New Roman"/>
                <w:szCs w:val="21"/>
              </w:rPr>
            </w:pPr>
            <w:r>
              <w:rPr>
                <w:rFonts w:ascii="Times New Roman" w:hAnsi="Times New Roman"/>
                <w:szCs w:val="21"/>
              </w:rPr>
              <w:t>根据教学大纲要求和教学时采用的教材，撰写有针对性的指导书。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1" w:type="dxa"/>
            <w:vMerge w:val="continue"/>
            <w:noWrap w:val="0"/>
            <w:vAlign w:val="center"/>
          </w:tcPr>
          <w:p>
            <w:pPr>
              <w:jc w:val="center"/>
              <w:rPr>
                <w:rFonts w:ascii="Times New Roman" w:hAnsi="Times New Roman"/>
                <w:szCs w:val="21"/>
              </w:rPr>
            </w:pPr>
          </w:p>
        </w:tc>
        <w:tc>
          <w:tcPr>
            <w:tcW w:w="1276" w:type="dxa"/>
            <w:noWrap w:val="0"/>
            <w:vAlign w:val="center"/>
          </w:tcPr>
          <w:p>
            <w:pPr>
              <w:snapToGrid w:val="0"/>
              <w:spacing w:line="276" w:lineRule="auto"/>
              <w:rPr>
                <w:rFonts w:ascii="Times New Roman" w:hAnsi="Times New Roman"/>
                <w:szCs w:val="21"/>
              </w:rPr>
            </w:pPr>
            <w:r>
              <w:rPr>
                <w:rFonts w:ascii="Times New Roman" w:hAnsi="Times New Roman"/>
                <w:szCs w:val="21"/>
              </w:rPr>
              <w:t>4.组织管理</w:t>
            </w:r>
          </w:p>
        </w:tc>
        <w:tc>
          <w:tcPr>
            <w:tcW w:w="6704" w:type="dxa"/>
            <w:noWrap w:val="0"/>
            <w:vAlign w:val="center"/>
          </w:tcPr>
          <w:p>
            <w:pPr>
              <w:snapToGrid w:val="0"/>
              <w:spacing w:line="276" w:lineRule="auto"/>
              <w:rPr>
                <w:rFonts w:ascii="Times New Roman" w:hAnsi="Times New Roman"/>
                <w:szCs w:val="21"/>
              </w:rPr>
            </w:pPr>
            <w:r>
              <w:rPr>
                <w:rFonts w:ascii="Times New Roman" w:hAnsi="Times New Roman"/>
                <w:szCs w:val="21"/>
              </w:rPr>
              <w:t>进行安全教育，建立有效交流手段，明确具体设计任务和要求。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1" w:type="dxa"/>
            <w:vMerge w:val="restart"/>
            <w:noWrap w:val="0"/>
            <w:vAlign w:val="center"/>
          </w:tcPr>
          <w:p>
            <w:pPr>
              <w:jc w:val="center"/>
              <w:rPr>
                <w:rFonts w:ascii="Times New Roman" w:hAnsi="Times New Roman"/>
                <w:szCs w:val="21"/>
              </w:rPr>
            </w:pPr>
            <w:r>
              <w:rPr>
                <w:rFonts w:hint="eastAsia" w:ascii="Times New Roman" w:hAnsi="Times New Roman"/>
                <w:szCs w:val="21"/>
              </w:rPr>
              <w:t>实施</w:t>
            </w:r>
            <w:r>
              <w:rPr>
                <w:rFonts w:ascii="Times New Roman" w:hAnsi="Times New Roman"/>
                <w:szCs w:val="21"/>
              </w:rPr>
              <w:t>阶段</w:t>
            </w:r>
          </w:p>
        </w:tc>
        <w:tc>
          <w:tcPr>
            <w:tcW w:w="1276" w:type="dxa"/>
            <w:noWrap w:val="0"/>
            <w:vAlign w:val="center"/>
          </w:tcPr>
          <w:p>
            <w:pPr>
              <w:spacing w:line="276" w:lineRule="auto"/>
              <w:rPr>
                <w:rFonts w:ascii="Times New Roman" w:hAnsi="Times New Roman"/>
                <w:szCs w:val="21"/>
              </w:rPr>
            </w:pPr>
            <w:r>
              <w:rPr>
                <w:rFonts w:ascii="Times New Roman" w:hAnsi="Times New Roman"/>
                <w:szCs w:val="21"/>
              </w:rPr>
              <w:t>1.计划执行</w:t>
            </w:r>
          </w:p>
        </w:tc>
        <w:tc>
          <w:tcPr>
            <w:tcW w:w="6704" w:type="dxa"/>
            <w:noWrap w:val="0"/>
            <w:vAlign w:val="center"/>
          </w:tcPr>
          <w:p>
            <w:pPr>
              <w:spacing w:line="276" w:lineRule="auto"/>
              <w:rPr>
                <w:rFonts w:ascii="Times New Roman" w:hAnsi="Times New Roman"/>
                <w:szCs w:val="21"/>
              </w:rPr>
            </w:pPr>
            <w:r>
              <w:rPr>
                <w:rFonts w:ascii="Times New Roman" w:hAnsi="Times New Roman"/>
                <w:szCs w:val="21"/>
              </w:rPr>
              <w:t xml:space="preserve">严格教学大纲的要求，及时开展设计进程。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1" w:type="dxa"/>
            <w:vMerge w:val="continue"/>
            <w:noWrap w:val="0"/>
            <w:vAlign w:val="center"/>
          </w:tcPr>
          <w:p>
            <w:pPr>
              <w:jc w:val="center"/>
              <w:rPr>
                <w:rFonts w:ascii="Times New Roman" w:hAnsi="Times New Roman"/>
                <w:szCs w:val="21"/>
              </w:rPr>
            </w:pPr>
          </w:p>
        </w:tc>
        <w:tc>
          <w:tcPr>
            <w:tcW w:w="1276" w:type="dxa"/>
            <w:noWrap w:val="0"/>
            <w:vAlign w:val="center"/>
          </w:tcPr>
          <w:p>
            <w:pPr>
              <w:snapToGrid w:val="0"/>
              <w:spacing w:line="276" w:lineRule="auto"/>
              <w:rPr>
                <w:rFonts w:ascii="Times New Roman" w:hAnsi="Times New Roman"/>
                <w:szCs w:val="21"/>
              </w:rPr>
            </w:pPr>
            <w:r>
              <w:rPr>
                <w:rFonts w:ascii="Times New Roman" w:hAnsi="Times New Roman"/>
                <w:szCs w:val="21"/>
              </w:rPr>
              <w:t>2.实践指导</w:t>
            </w:r>
          </w:p>
        </w:tc>
        <w:tc>
          <w:tcPr>
            <w:tcW w:w="6704" w:type="dxa"/>
            <w:noWrap w:val="0"/>
            <w:vAlign w:val="center"/>
          </w:tcPr>
          <w:p>
            <w:pPr>
              <w:snapToGrid w:val="0"/>
              <w:spacing w:line="276" w:lineRule="auto"/>
              <w:rPr>
                <w:rFonts w:ascii="Times New Roman" w:hAnsi="Times New Roman"/>
                <w:szCs w:val="21"/>
              </w:rPr>
            </w:pPr>
            <w:r>
              <w:rPr>
                <w:rFonts w:ascii="Times New Roman" w:hAnsi="Times New Roman"/>
                <w:szCs w:val="21"/>
              </w:rPr>
              <w:t>按要求对每个学生予以指导，及时解决有</w:t>
            </w:r>
            <w:r>
              <w:rPr>
                <w:rFonts w:hint="eastAsia" w:ascii="Times New Roman" w:hAnsi="Times New Roman"/>
                <w:szCs w:val="21"/>
              </w:rPr>
              <w:t>实验</w:t>
            </w:r>
            <w:r>
              <w:rPr>
                <w:rFonts w:ascii="Times New Roman" w:hAnsi="Times New Roman"/>
                <w:szCs w:val="21"/>
              </w:rPr>
              <w:t>过程中遇到的问题。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1" w:type="dxa"/>
            <w:vMerge w:val="continue"/>
            <w:noWrap w:val="0"/>
            <w:vAlign w:val="center"/>
          </w:tcPr>
          <w:p>
            <w:pPr>
              <w:jc w:val="center"/>
              <w:rPr>
                <w:rFonts w:ascii="Times New Roman" w:hAnsi="Times New Roman"/>
                <w:szCs w:val="21"/>
              </w:rPr>
            </w:pPr>
          </w:p>
        </w:tc>
        <w:tc>
          <w:tcPr>
            <w:tcW w:w="1276" w:type="dxa"/>
            <w:noWrap w:val="0"/>
            <w:vAlign w:val="center"/>
          </w:tcPr>
          <w:p>
            <w:pPr>
              <w:snapToGrid w:val="0"/>
              <w:spacing w:line="276" w:lineRule="auto"/>
              <w:rPr>
                <w:rFonts w:ascii="Times New Roman" w:hAnsi="Times New Roman"/>
                <w:szCs w:val="21"/>
              </w:rPr>
            </w:pPr>
            <w:r>
              <w:rPr>
                <w:rFonts w:ascii="Times New Roman" w:hAnsi="Times New Roman"/>
                <w:szCs w:val="21"/>
              </w:rPr>
              <w:t>3.学生管理</w:t>
            </w:r>
          </w:p>
        </w:tc>
        <w:tc>
          <w:tcPr>
            <w:tcW w:w="6704" w:type="dxa"/>
            <w:noWrap w:val="0"/>
            <w:vAlign w:val="center"/>
          </w:tcPr>
          <w:p>
            <w:pPr>
              <w:snapToGrid w:val="0"/>
              <w:spacing w:line="276" w:lineRule="auto"/>
              <w:rPr>
                <w:rFonts w:ascii="Times New Roman" w:hAnsi="Times New Roman"/>
                <w:szCs w:val="21"/>
              </w:rPr>
            </w:pPr>
            <w:r>
              <w:rPr>
                <w:rFonts w:ascii="Times New Roman" w:hAnsi="Times New Roman"/>
                <w:szCs w:val="21"/>
              </w:rPr>
              <w:t>严格进行考勤和平时考核；对迟到、早退和无故缺勤等违纪情况及时处理。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1" w:type="dxa"/>
            <w:vMerge w:val="continue"/>
            <w:noWrap w:val="0"/>
            <w:vAlign w:val="center"/>
          </w:tcPr>
          <w:p>
            <w:pPr>
              <w:jc w:val="center"/>
              <w:rPr>
                <w:rFonts w:ascii="Times New Roman" w:hAnsi="Times New Roman"/>
                <w:szCs w:val="21"/>
              </w:rPr>
            </w:pPr>
          </w:p>
        </w:tc>
        <w:tc>
          <w:tcPr>
            <w:tcW w:w="1276" w:type="dxa"/>
            <w:noWrap w:val="0"/>
            <w:vAlign w:val="center"/>
          </w:tcPr>
          <w:p>
            <w:pPr>
              <w:snapToGrid w:val="0"/>
              <w:spacing w:line="276" w:lineRule="auto"/>
              <w:rPr>
                <w:rFonts w:ascii="Times New Roman" w:hAnsi="Times New Roman"/>
                <w:szCs w:val="21"/>
              </w:rPr>
            </w:pPr>
            <w:r>
              <w:rPr>
                <w:rFonts w:ascii="Times New Roman" w:hAnsi="Times New Roman"/>
                <w:szCs w:val="21"/>
              </w:rPr>
              <w:t>4.教学检查</w:t>
            </w:r>
          </w:p>
        </w:tc>
        <w:tc>
          <w:tcPr>
            <w:tcW w:w="6704" w:type="dxa"/>
            <w:noWrap w:val="0"/>
            <w:vAlign w:val="center"/>
          </w:tcPr>
          <w:p>
            <w:pPr>
              <w:snapToGrid w:val="0"/>
              <w:spacing w:line="276" w:lineRule="auto"/>
              <w:rPr>
                <w:rFonts w:ascii="Times New Roman" w:hAnsi="Times New Roman"/>
                <w:szCs w:val="21"/>
              </w:rPr>
            </w:pPr>
            <w:r>
              <w:rPr>
                <w:rFonts w:ascii="Times New Roman" w:hAnsi="Times New Roman"/>
                <w:szCs w:val="21"/>
              </w:rPr>
              <w:t>学院有计划地开展督导检查，并及时反馈检查情况。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1" w:type="dxa"/>
            <w:vMerge w:val="restart"/>
            <w:noWrap w:val="0"/>
            <w:vAlign w:val="center"/>
          </w:tcPr>
          <w:p>
            <w:pPr>
              <w:jc w:val="center"/>
              <w:rPr>
                <w:rFonts w:ascii="Times New Roman" w:hAnsi="Times New Roman"/>
                <w:szCs w:val="21"/>
              </w:rPr>
            </w:pPr>
            <w:r>
              <w:rPr>
                <w:rFonts w:ascii="Times New Roman" w:hAnsi="Times New Roman"/>
                <w:szCs w:val="21"/>
              </w:rPr>
              <w:t>总结考核</w:t>
            </w:r>
          </w:p>
        </w:tc>
        <w:tc>
          <w:tcPr>
            <w:tcW w:w="1276" w:type="dxa"/>
            <w:noWrap w:val="0"/>
            <w:vAlign w:val="center"/>
          </w:tcPr>
          <w:p>
            <w:pPr>
              <w:spacing w:line="276" w:lineRule="auto"/>
              <w:rPr>
                <w:rFonts w:ascii="Times New Roman" w:hAnsi="Times New Roman"/>
                <w:szCs w:val="21"/>
              </w:rPr>
            </w:pPr>
            <w:r>
              <w:rPr>
                <w:rFonts w:ascii="Times New Roman" w:hAnsi="Times New Roman"/>
                <w:szCs w:val="21"/>
              </w:rPr>
              <w:t>1.实践报告</w:t>
            </w:r>
          </w:p>
        </w:tc>
        <w:tc>
          <w:tcPr>
            <w:tcW w:w="6704" w:type="dxa"/>
            <w:noWrap w:val="0"/>
            <w:vAlign w:val="center"/>
          </w:tcPr>
          <w:p>
            <w:pPr>
              <w:spacing w:line="276" w:lineRule="auto"/>
              <w:rPr>
                <w:rFonts w:ascii="Times New Roman" w:hAnsi="Times New Roman"/>
                <w:szCs w:val="21"/>
              </w:rPr>
            </w:pPr>
            <w:r>
              <w:rPr>
                <w:rFonts w:ascii="Times New Roman" w:hAnsi="Times New Roman"/>
                <w:szCs w:val="21"/>
              </w:rPr>
              <w:t>结束后，及时按要求提交设计报告。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1" w:type="dxa"/>
            <w:vMerge w:val="continue"/>
            <w:noWrap w:val="0"/>
            <w:vAlign w:val="center"/>
          </w:tcPr>
          <w:p>
            <w:pPr>
              <w:jc w:val="center"/>
              <w:rPr>
                <w:rFonts w:ascii="Times New Roman" w:hAnsi="Times New Roman"/>
                <w:szCs w:val="21"/>
              </w:rPr>
            </w:pPr>
          </w:p>
        </w:tc>
        <w:tc>
          <w:tcPr>
            <w:tcW w:w="1276" w:type="dxa"/>
            <w:noWrap w:val="0"/>
            <w:vAlign w:val="center"/>
          </w:tcPr>
          <w:p>
            <w:pPr>
              <w:snapToGrid w:val="0"/>
              <w:spacing w:line="276" w:lineRule="auto"/>
              <w:rPr>
                <w:rFonts w:ascii="Times New Roman" w:hAnsi="Times New Roman"/>
                <w:szCs w:val="21"/>
              </w:rPr>
            </w:pPr>
            <w:r>
              <w:rPr>
                <w:rFonts w:ascii="Times New Roman" w:hAnsi="Times New Roman"/>
                <w:szCs w:val="21"/>
              </w:rPr>
              <w:t>2.实践考核</w:t>
            </w:r>
          </w:p>
        </w:tc>
        <w:tc>
          <w:tcPr>
            <w:tcW w:w="6704" w:type="dxa"/>
            <w:noWrap w:val="0"/>
            <w:vAlign w:val="center"/>
          </w:tcPr>
          <w:p>
            <w:pPr>
              <w:snapToGrid w:val="0"/>
              <w:spacing w:line="276" w:lineRule="auto"/>
              <w:rPr>
                <w:rFonts w:ascii="Times New Roman" w:hAnsi="Times New Roman"/>
                <w:szCs w:val="21"/>
              </w:rPr>
            </w:pPr>
            <w:r>
              <w:rPr>
                <w:rFonts w:ascii="Times New Roman" w:hAnsi="Times New Roman"/>
                <w:szCs w:val="21"/>
              </w:rPr>
              <w:t>根据考核标准及评价要求，对每位学生设计情况进行考核、合理评价，并按照学校有关规定登记成绩。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1" w:type="dxa"/>
            <w:vMerge w:val="continue"/>
            <w:noWrap w:val="0"/>
            <w:vAlign w:val="center"/>
          </w:tcPr>
          <w:p>
            <w:pPr>
              <w:rPr>
                <w:rFonts w:ascii="Times New Roman" w:hAnsi="Times New Roman"/>
                <w:szCs w:val="21"/>
              </w:rPr>
            </w:pPr>
          </w:p>
        </w:tc>
        <w:tc>
          <w:tcPr>
            <w:tcW w:w="1276" w:type="dxa"/>
            <w:noWrap w:val="0"/>
            <w:vAlign w:val="center"/>
          </w:tcPr>
          <w:p>
            <w:pPr>
              <w:snapToGrid w:val="0"/>
              <w:spacing w:line="276" w:lineRule="auto"/>
              <w:rPr>
                <w:rFonts w:ascii="Times New Roman" w:hAnsi="Times New Roman"/>
                <w:szCs w:val="21"/>
              </w:rPr>
            </w:pPr>
            <w:r>
              <w:rPr>
                <w:rFonts w:ascii="Times New Roman" w:hAnsi="Times New Roman"/>
                <w:szCs w:val="21"/>
              </w:rPr>
              <w:t>3.总结归档</w:t>
            </w:r>
          </w:p>
        </w:tc>
        <w:tc>
          <w:tcPr>
            <w:tcW w:w="6704" w:type="dxa"/>
            <w:noWrap w:val="0"/>
            <w:vAlign w:val="center"/>
          </w:tcPr>
          <w:p>
            <w:pPr>
              <w:snapToGrid w:val="0"/>
              <w:spacing w:line="276" w:lineRule="auto"/>
              <w:rPr>
                <w:rFonts w:ascii="Times New Roman" w:hAnsi="Times New Roman"/>
                <w:szCs w:val="21"/>
              </w:rPr>
            </w:pPr>
            <w:r>
              <w:rPr>
                <w:rFonts w:ascii="Times New Roman" w:hAnsi="Times New Roman"/>
                <w:szCs w:val="21"/>
              </w:rPr>
              <w:t>及时总结交流经验与体会，按要求做好材料归档。</w:t>
            </w:r>
          </w:p>
        </w:tc>
      </w:tr>
    </w:tbl>
    <w:p>
      <w:pPr>
        <w:spacing w:line="360" w:lineRule="auto"/>
        <w:ind w:firstLine="482" w:firstLineChars="200"/>
        <w:rPr>
          <w:rFonts w:ascii="Times New Roman" w:hAnsi="Times New Roman"/>
          <w:b/>
          <w:sz w:val="24"/>
        </w:rPr>
      </w:pPr>
      <w:r>
        <w:rPr>
          <w:rFonts w:hint="eastAsia" w:ascii="Times New Roman" w:hAnsi="Times New Roman"/>
          <w:b/>
          <w:sz w:val="24"/>
        </w:rPr>
        <w:t>（三）“课程思政”元素及融入方式</w:t>
      </w:r>
    </w:p>
    <w:p>
      <w:pPr>
        <w:spacing w:line="360" w:lineRule="auto"/>
        <w:ind w:firstLine="480" w:firstLineChars="200"/>
        <w:rPr>
          <w:bCs/>
          <w:sz w:val="24"/>
        </w:rPr>
      </w:pPr>
      <w:r>
        <w:rPr>
          <w:rFonts w:hint="eastAsia"/>
          <w:bCs/>
          <w:sz w:val="24"/>
        </w:rPr>
        <w:t>教师以“立德树人”为己任，通过课题实验实施、企业走访实习、工程教育培训等方式将</w:t>
      </w:r>
      <w:r>
        <w:rPr>
          <w:bCs/>
          <w:sz w:val="24"/>
        </w:rPr>
        <w:t>理想信念教育</w:t>
      </w:r>
      <w:r>
        <w:rPr>
          <w:rFonts w:hint="eastAsia"/>
          <w:bCs/>
          <w:sz w:val="24"/>
        </w:rPr>
        <w:t>、</w:t>
      </w:r>
      <w:r>
        <w:rPr>
          <w:bCs/>
          <w:sz w:val="24"/>
        </w:rPr>
        <w:t>社会主义核心价值观教育</w:t>
      </w:r>
      <w:r>
        <w:rPr>
          <w:rFonts w:hint="eastAsia"/>
          <w:bCs/>
          <w:sz w:val="24"/>
        </w:rPr>
        <w:t>、</w:t>
      </w:r>
      <w:r>
        <w:rPr>
          <w:bCs/>
          <w:sz w:val="24"/>
        </w:rPr>
        <w:t>中华优秀传统文化教育</w:t>
      </w:r>
      <w:r>
        <w:rPr>
          <w:rFonts w:hint="eastAsia"/>
          <w:bCs/>
          <w:sz w:val="24"/>
        </w:rPr>
        <w:t>、</w:t>
      </w:r>
      <w:r>
        <w:rPr>
          <w:bCs/>
          <w:sz w:val="24"/>
        </w:rPr>
        <w:t>职业素养教育</w:t>
      </w:r>
      <w:r>
        <w:rPr>
          <w:rFonts w:hint="eastAsia"/>
          <w:bCs/>
          <w:sz w:val="24"/>
        </w:rPr>
        <w:t>以及</w:t>
      </w:r>
      <w:r>
        <w:rPr>
          <w:bCs/>
          <w:sz w:val="24"/>
        </w:rPr>
        <w:t>生态文明教育</w:t>
      </w:r>
      <w:r>
        <w:rPr>
          <w:rFonts w:hint="eastAsia"/>
          <w:bCs/>
          <w:sz w:val="24"/>
        </w:rPr>
        <w:t>等思政元素融入到此实验教学的全过程。</w:t>
      </w:r>
      <w:r>
        <w:rPr>
          <w:bCs/>
          <w:sz w:val="24"/>
        </w:rPr>
        <w:t>根据教学大纲和专业标准将本</w:t>
      </w:r>
      <w:r>
        <w:rPr>
          <w:rFonts w:hint="eastAsia"/>
          <w:bCs/>
          <w:sz w:val="24"/>
        </w:rPr>
        <w:t>实践教学环节的</w:t>
      </w:r>
      <w:r>
        <w:rPr>
          <w:bCs/>
          <w:sz w:val="24"/>
        </w:rPr>
        <w:t>目标进行总结，再将思政元素所对应的典型案例进行系统分析，利用结构化思维手段，将“课程思政”元素与课程教学目标相对应，建立两者结构化立体逻辑关系</w:t>
      </w:r>
      <w:r>
        <w:rPr>
          <w:rFonts w:hint="eastAsia"/>
          <w:bCs/>
          <w:sz w:val="24"/>
        </w:rPr>
        <w:t>，</w:t>
      </w:r>
      <w:r>
        <w:rPr>
          <w:bCs/>
          <w:sz w:val="24"/>
        </w:rPr>
        <w:t>让学生在学习专业知识和理解思想政治理论之间形成协同效应，潜移默化地对学生的思想意识、行为举止产生影响，培养学生</w:t>
      </w:r>
      <w:r>
        <w:rPr>
          <w:rFonts w:hint="eastAsia"/>
          <w:bCs/>
          <w:sz w:val="24"/>
        </w:rPr>
        <w:t>“</w:t>
      </w:r>
      <w:r>
        <w:rPr>
          <w:bCs/>
          <w:sz w:val="24"/>
        </w:rPr>
        <w:t>爱国、爱校、爱专业</w:t>
      </w:r>
      <w:r>
        <w:rPr>
          <w:rFonts w:hint="eastAsia"/>
          <w:bCs/>
          <w:sz w:val="24"/>
        </w:rPr>
        <w:t>”</w:t>
      </w:r>
      <w:r>
        <w:rPr>
          <w:bCs/>
          <w:sz w:val="24"/>
        </w:rPr>
        <w:t>的</w:t>
      </w:r>
      <w:r>
        <w:rPr>
          <w:rFonts w:hint="eastAsia"/>
          <w:bCs/>
          <w:sz w:val="24"/>
        </w:rPr>
        <w:t>“</w:t>
      </w:r>
      <w:r>
        <w:rPr>
          <w:bCs/>
          <w:sz w:val="24"/>
        </w:rPr>
        <w:t>三爱</w:t>
      </w:r>
      <w:r>
        <w:rPr>
          <w:rFonts w:hint="eastAsia"/>
          <w:bCs/>
          <w:sz w:val="24"/>
        </w:rPr>
        <w:t>”</w:t>
      </w:r>
      <w:r>
        <w:rPr>
          <w:bCs/>
          <w:sz w:val="24"/>
        </w:rPr>
        <w:t>情怀，积极引导学生树立正确的国家观、民族观、历史观、文化观和专业观。</w:t>
      </w:r>
    </w:p>
    <w:tbl>
      <w:tblPr>
        <w:tblStyle w:val="10"/>
        <w:tblW w:w="7640"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396"/>
        <w:gridCol w:w="1311"/>
        <w:gridCol w:w="1311"/>
        <w:gridCol w:w="1311"/>
        <w:gridCol w:w="1311"/>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jc w:val="center"/>
        </w:trPr>
        <w:tc>
          <w:tcPr>
            <w:tcW w:w="2396" w:type="dxa"/>
            <w:vMerge w:val="restart"/>
            <w:shd w:val="clear" w:color="auto" w:fill="FFFFFF"/>
            <w:noWrap w:val="0"/>
            <w:vAlign w:val="center"/>
          </w:tcPr>
          <w:p>
            <w:pPr>
              <w:widowControl/>
              <w:jc w:val="center"/>
              <w:rPr>
                <w:rFonts w:ascii="宋体" w:hAnsi="宋体"/>
                <w:kern w:val="0"/>
                <w:sz w:val="22"/>
              </w:rPr>
            </w:pPr>
            <w:r>
              <w:rPr>
                <w:rFonts w:ascii="宋体" w:hAnsi="宋体"/>
                <w:kern w:val="0"/>
                <w:sz w:val="22"/>
              </w:rPr>
              <w:t>思政元素</w:t>
            </w:r>
          </w:p>
        </w:tc>
        <w:tc>
          <w:tcPr>
            <w:tcW w:w="5244" w:type="dxa"/>
            <w:gridSpan w:val="4"/>
            <w:tcBorders>
              <w:top w:val="single" w:color="auto" w:sz="4" w:space="0"/>
              <w:bottom w:val="single" w:color="auto" w:sz="4" w:space="0"/>
            </w:tcBorders>
            <w:shd w:val="clear" w:color="auto" w:fill="FFFFFF"/>
            <w:noWrap w:val="0"/>
            <w:vAlign w:val="center"/>
          </w:tcPr>
          <w:p>
            <w:pPr>
              <w:widowControl/>
              <w:jc w:val="center"/>
              <w:rPr>
                <w:rFonts w:ascii="宋体" w:hAnsi="宋体"/>
                <w:kern w:val="0"/>
                <w:sz w:val="22"/>
              </w:rPr>
            </w:pPr>
            <w:r>
              <w:rPr>
                <w:rFonts w:ascii="宋体" w:hAnsi="宋体"/>
                <w:kern w:val="0"/>
                <w:sz w:val="22"/>
              </w:rPr>
              <w:t>课程目标</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jc w:val="center"/>
        </w:trPr>
        <w:tc>
          <w:tcPr>
            <w:tcW w:w="2396" w:type="dxa"/>
            <w:vMerge w:val="continue"/>
            <w:tcBorders>
              <w:bottom w:val="single" w:color="auto" w:sz="4" w:space="0"/>
            </w:tcBorders>
            <w:shd w:val="clear" w:color="auto" w:fill="FFFFFF"/>
            <w:noWrap w:val="0"/>
            <w:vAlign w:val="center"/>
          </w:tcPr>
          <w:p>
            <w:pPr>
              <w:widowControl/>
              <w:jc w:val="center"/>
              <w:rPr>
                <w:rFonts w:ascii="宋体" w:hAnsi="宋体"/>
                <w:kern w:val="0"/>
                <w:sz w:val="22"/>
              </w:rPr>
            </w:pPr>
          </w:p>
        </w:tc>
        <w:tc>
          <w:tcPr>
            <w:tcW w:w="1311" w:type="dxa"/>
            <w:tcBorders>
              <w:top w:val="single" w:color="auto" w:sz="4" w:space="0"/>
              <w:bottom w:val="single" w:color="auto" w:sz="4" w:space="0"/>
            </w:tcBorders>
            <w:shd w:val="clear" w:color="auto" w:fill="FFFFFF"/>
            <w:noWrap w:val="0"/>
            <w:vAlign w:val="center"/>
          </w:tcPr>
          <w:p>
            <w:pPr>
              <w:widowControl/>
              <w:jc w:val="center"/>
              <w:rPr>
                <w:rFonts w:ascii="宋体" w:hAnsi="宋体"/>
                <w:kern w:val="0"/>
                <w:sz w:val="22"/>
              </w:rPr>
            </w:pPr>
            <w:r>
              <w:rPr>
                <w:rFonts w:ascii="宋体" w:hAnsi="宋体"/>
                <w:kern w:val="0"/>
                <w:sz w:val="22"/>
              </w:rPr>
              <w:t>目标1</w:t>
            </w:r>
          </w:p>
        </w:tc>
        <w:tc>
          <w:tcPr>
            <w:tcW w:w="1311" w:type="dxa"/>
            <w:tcBorders>
              <w:top w:val="single" w:color="auto" w:sz="4" w:space="0"/>
              <w:bottom w:val="single" w:color="auto" w:sz="4" w:space="0"/>
            </w:tcBorders>
            <w:shd w:val="clear" w:color="auto" w:fill="FFFFFF"/>
            <w:noWrap w:val="0"/>
            <w:vAlign w:val="center"/>
          </w:tcPr>
          <w:p>
            <w:pPr>
              <w:widowControl/>
              <w:jc w:val="center"/>
              <w:rPr>
                <w:rFonts w:ascii="宋体" w:hAnsi="宋体"/>
                <w:kern w:val="0"/>
                <w:sz w:val="22"/>
              </w:rPr>
            </w:pPr>
            <w:r>
              <w:rPr>
                <w:rFonts w:ascii="宋体" w:hAnsi="宋体"/>
                <w:kern w:val="0"/>
                <w:sz w:val="22"/>
              </w:rPr>
              <w:t>目标2</w:t>
            </w:r>
          </w:p>
        </w:tc>
        <w:tc>
          <w:tcPr>
            <w:tcW w:w="1311" w:type="dxa"/>
            <w:tcBorders>
              <w:top w:val="single" w:color="auto" w:sz="4" w:space="0"/>
              <w:bottom w:val="single" w:color="auto" w:sz="4" w:space="0"/>
            </w:tcBorders>
            <w:shd w:val="clear" w:color="auto" w:fill="FFFFFF"/>
            <w:noWrap w:val="0"/>
            <w:vAlign w:val="center"/>
          </w:tcPr>
          <w:p>
            <w:pPr>
              <w:widowControl/>
              <w:jc w:val="center"/>
              <w:rPr>
                <w:rFonts w:ascii="宋体" w:hAnsi="宋体"/>
                <w:kern w:val="0"/>
                <w:sz w:val="22"/>
              </w:rPr>
            </w:pPr>
            <w:r>
              <w:rPr>
                <w:rFonts w:ascii="宋体" w:hAnsi="宋体"/>
                <w:kern w:val="0"/>
                <w:sz w:val="22"/>
              </w:rPr>
              <w:t>目标3</w:t>
            </w:r>
          </w:p>
        </w:tc>
        <w:tc>
          <w:tcPr>
            <w:tcW w:w="1311" w:type="dxa"/>
            <w:tcBorders>
              <w:top w:val="single" w:color="auto" w:sz="4" w:space="0"/>
              <w:bottom w:val="single" w:color="auto" w:sz="4" w:space="0"/>
            </w:tcBorders>
            <w:shd w:val="clear" w:color="auto" w:fill="FFFFFF"/>
            <w:noWrap w:val="0"/>
            <w:vAlign w:val="center"/>
          </w:tcPr>
          <w:p>
            <w:pPr>
              <w:widowControl/>
              <w:jc w:val="center"/>
              <w:rPr>
                <w:rFonts w:ascii="宋体" w:hAnsi="宋体"/>
                <w:kern w:val="0"/>
                <w:sz w:val="22"/>
              </w:rPr>
            </w:pPr>
            <w:r>
              <w:rPr>
                <w:rFonts w:ascii="宋体" w:hAnsi="宋体"/>
                <w:kern w:val="0"/>
                <w:sz w:val="22"/>
              </w:rPr>
              <w:t>目标4</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jc w:val="center"/>
        </w:trPr>
        <w:tc>
          <w:tcPr>
            <w:tcW w:w="2396" w:type="dxa"/>
            <w:tcBorders>
              <w:top w:val="single" w:color="auto" w:sz="4" w:space="0"/>
            </w:tcBorders>
            <w:noWrap w:val="0"/>
            <w:vAlign w:val="center"/>
          </w:tcPr>
          <w:p>
            <w:pPr>
              <w:widowControl/>
              <w:jc w:val="center"/>
              <w:rPr>
                <w:rFonts w:ascii="宋体" w:hAnsi="宋体"/>
                <w:kern w:val="0"/>
                <w:sz w:val="22"/>
              </w:rPr>
            </w:pPr>
            <w:r>
              <w:rPr>
                <w:rFonts w:ascii="宋体" w:hAnsi="宋体"/>
                <w:kern w:val="0"/>
                <w:sz w:val="22"/>
              </w:rPr>
              <w:t>理想信念教育</w:t>
            </w:r>
          </w:p>
        </w:tc>
        <w:tc>
          <w:tcPr>
            <w:tcW w:w="1311" w:type="dxa"/>
            <w:tcBorders>
              <w:top w:val="single" w:color="auto" w:sz="4" w:space="0"/>
            </w:tcBorders>
            <w:noWrap w:val="0"/>
            <w:vAlign w:val="center"/>
          </w:tcPr>
          <w:p>
            <w:pPr>
              <w:widowControl/>
              <w:jc w:val="center"/>
              <w:rPr>
                <w:rFonts w:ascii="宋体" w:hAnsi="宋体"/>
                <w:b/>
                <w:bCs/>
                <w:kern w:val="0"/>
                <w:sz w:val="22"/>
              </w:rPr>
            </w:pPr>
          </w:p>
        </w:tc>
        <w:tc>
          <w:tcPr>
            <w:tcW w:w="1311" w:type="dxa"/>
            <w:tcBorders>
              <w:top w:val="single" w:color="auto" w:sz="4" w:space="0"/>
            </w:tcBorders>
            <w:noWrap w:val="0"/>
            <w:vAlign w:val="center"/>
          </w:tcPr>
          <w:p>
            <w:pPr>
              <w:widowControl/>
              <w:jc w:val="center"/>
              <w:rPr>
                <w:rFonts w:ascii="宋体" w:hAnsi="宋体"/>
                <w:b/>
                <w:bCs/>
                <w:kern w:val="0"/>
                <w:sz w:val="22"/>
              </w:rPr>
            </w:pPr>
          </w:p>
        </w:tc>
        <w:tc>
          <w:tcPr>
            <w:tcW w:w="1311" w:type="dxa"/>
            <w:tcBorders>
              <w:top w:val="single" w:color="auto" w:sz="4" w:space="0"/>
            </w:tcBorders>
            <w:noWrap w:val="0"/>
            <w:vAlign w:val="center"/>
          </w:tcPr>
          <w:p>
            <w:pPr>
              <w:widowControl/>
              <w:jc w:val="center"/>
              <w:rPr>
                <w:rFonts w:ascii="宋体" w:hAnsi="宋体"/>
                <w:b/>
                <w:bCs/>
                <w:kern w:val="0"/>
                <w:sz w:val="22"/>
              </w:rPr>
            </w:pPr>
            <w:r>
              <w:rPr>
                <w:rFonts w:ascii="宋体" w:hAnsi="宋体"/>
                <w:b/>
                <w:bCs/>
                <w:kern w:val="0"/>
                <w:sz w:val="22"/>
              </w:rPr>
              <w:t>√</w:t>
            </w:r>
          </w:p>
        </w:tc>
        <w:tc>
          <w:tcPr>
            <w:tcW w:w="1311" w:type="dxa"/>
            <w:tcBorders>
              <w:top w:val="single" w:color="auto" w:sz="4" w:space="0"/>
            </w:tcBorders>
            <w:noWrap w:val="0"/>
            <w:vAlign w:val="center"/>
          </w:tcPr>
          <w:p>
            <w:pPr>
              <w:widowControl/>
              <w:jc w:val="center"/>
              <w:rPr>
                <w:rFonts w:ascii="宋体" w:hAnsi="宋体"/>
                <w:b/>
                <w:bCs/>
                <w:kern w:val="0"/>
                <w:sz w:val="22"/>
              </w:rPr>
            </w:pPr>
            <w:r>
              <w:rPr>
                <w:rFonts w:ascii="宋体" w:hAnsi="宋体"/>
                <w:b/>
                <w:bCs/>
                <w:kern w:val="0"/>
                <w:sz w:val="22"/>
              </w:rPr>
              <w:t>√</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jc w:val="center"/>
        </w:trPr>
        <w:tc>
          <w:tcPr>
            <w:tcW w:w="2396" w:type="dxa"/>
            <w:noWrap w:val="0"/>
            <w:vAlign w:val="center"/>
          </w:tcPr>
          <w:p>
            <w:pPr>
              <w:widowControl/>
              <w:jc w:val="center"/>
              <w:rPr>
                <w:rFonts w:ascii="宋体" w:hAnsi="宋体"/>
                <w:kern w:val="0"/>
                <w:sz w:val="22"/>
              </w:rPr>
            </w:pPr>
            <w:r>
              <w:rPr>
                <w:rFonts w:ascii="宋体" w:hAnsi="宋体"/>
                <w:kern w:val="0"/>
                <w:sz w:val="22"/>
              </w:rPr>
              <w:t>社会主义核心价值观教育</w:t>
            </w:r>
          </w:p>
        </w:tc>
        <w:tc>
          <w:tcPr>
            <w:tcW w:w="1311" w:type="dxa"/>
            <w:noWrap w:val="0"/>
            <w:vAlign w:val="center"/>
          </w:tcPr>
          <w:p>
            <w:pPr>
              <w:widowControl/>
              <w:jc w:val="center"/>
              <w:rPr>
                <w:rFonts w:ascii="宋体" w:hAnsi="宋体"/>
                <w:b/>
                <w:bCs/>
                <w:kern w:val="0"/>
                <w:sz w:val="22"/>
              </w:rPr>
            </w:pPr>
            <w:r>
              <w:rPr>
                <w:rFonts w:ascii="宋体" w:hAnsi="宋体"/>
                <w:b/>
                <w:bCs/>
                <w:kern w:val="0"/>
                <w:sz w:val="22"/>
              </w:rPr>
              <w:t>√</w:t>
            </w:r>
          </w:p>
        </w:tc>
        <w:tc>
          <w:tcPr>
            <w:tcW w:w="1311" w:type="dxa"/>
            <w:noWrap w:val="0"/>
            <w:vAlign w:val="center"/>
          </w:tcPr>
          <w:p>
            <w:pPr>
              <w:widowControl/>
              <w:jc w:val="center"/>
              <w:rPr>
                <w:rFonts w:ascii="宋体" w:hAnsi="宋体"/>
                <w:b/>
                <w:bCs/>
                <w:kern w:val="0"/>
                <w:sz w:val="22"/>
              </w:rPr>
            </w:pPr>
          </w:p>
        </w:tc>
        <w:tc>
          <w:tcPr>
            <w:tcW w:w="1311" w:type="dxa"/>
            <w:noWrap w:val="0"/>
            <w:vAlign w:val="center"/>
          </w:tcPr>
          <w:p>
            <w:pPr>
              <w:widowControl/>
              <w:jc w:val="center"/>
              <w:rPr>
                <w:rFonts w:ascii="宋体" w:hAnsi="宋体"/>
                <w:b/>
                <w:bCs/>
                <w:kern w:val="0"/>
                <w:sz w:val="22"/>
              </w:rPr>
            </w:pPr>
            <w:r>
              <w:rPr>
                <w:rFonts w:ascii="宋体" w:hAnsi="宋体"/>
                <w:b/>
                <w:bCs/>
                <w:kern w:val="0"/>
                <w:sz w:val="22"/>
              </w:rPr>
              <w:t>√</w:t>
            </w:r>
          </w:p>
        </w:tc>
        <w:tc>
          <w:tcPr>
            <w:tcW w:w="1311" w:type="dxa"/>
            <w:noWrap w:val="0"/>
            <w:vAlign w:val="center"/>
          </w:tcPr>
          <w:p>
            <w:pPr>
              <w:widowControl/>
              <w:jc w:val="center"/>
              <w:rPr>
                <w:rFonts w:ascii="宋体" w:hAnsi="宋体"/>
                <w:b/>
                <w:bCs/>
                <w:kern w:val="0"/>
                <w:sz w:val="22"/>
              </w:rPr>
            </w:pPr>
            <w:r>
              <w:rPr>
                <w:rFonts w:ascii="宋体" w:hAnsi="宋体"/>
                <w:b/>
                <w:bCs/>
                <w:kern w:val="0"/>
                <w:sz w:val="22"/>
              </w:rPr>
              <w:t>√</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jc w:val="center"/>
        </w:trPr>
        <w:tc>
          <w:tcPr>
            <w:tcW w:w="2396" w:type="dxa"/>
            <w:noWrap w:val="0"/>
            <w:vAlign w:val="center"/>
          </w:tcPr>
          <w:p>
            <w:pPr>
              <w:widowControl/>
              <w:jc w:val="center"/>
              <w:rPr>
                <w:rFonts w:ascii="宋体" w:hAnsi="宋体"/>
                <w:kern w:val="0"/>
                <w:sz w:val="22"/>
              </w:rPr>
            </w:pPr>
            <w:r>
              <w:rPr>
                <w:rFonts w:ascii="宋体" w:hAnsi="宋体"/>
                <w:kern w:val="0"/>
                <w:sz w:val="22"/>
              </w:rPr>
              <w:t>中华优秀传统文化教育</w:t>
            </w:r>
          </w:p>
        </w:tc>
        <w:tc>
          <w:tcPr>
            <w:tcW w:w="1311" w:type="dxa"/>
            <w:noWrap w:val="0"/>
            <w:vAlign w:val="center"/>
          </w:tcPr>
          <w:p>
            <w:pPr>
              <w:widowControl/>
              <w:jc w:val="center"/>
              <w:rPr>
                <w:rFonts w:ascii="宋体" w:hAnsi="宋体"/>
                <w:b/>
                <w:bCs/>
                <w:kern w:val="0"/>
                <w:sz w:val="22"/>
              </w:rPr>
            </w:pPr>
          </w:p>
        </w:tc>
        <w:tc>
          <w:tcPr>
            <w:tcW w:w="1311" w:type="dxa"/>
            <w:noWrap w:val="0"/>
            <w:vAlign w:val="center"/>
          </w:tcPr>
          <w:p>
            <w:pPr>
              <w:widowControl/>
              <w:jc w:val="center"/>
              <w:rPr>
                <w:rFonts w:ascii="宋体" w:hAnsi="宋体"/>
                <w:b/>
                <w:bCs/>
                <w:kern w:val="0"/>
                <w:sz w:val="22"/>
              </w:rPr>
            </w:pPr>
            <w:r>
              <w:rPr>
                <w:rFonts w:ascii="宋体" w:hAnsi="宋体"/>
                <w:b/>
                <w:bCs/>
                <w:kern w:val="0"/>
                <w:sz w:val="22"/>
              </w:rPr>
              <w:t>√</w:t>
            </w:r>
          </w:p>
        </w:tc>
        <w:tc>
          <w:tcPr>
            <w:tcW w:w="1311" w:type="dxa"/>
            <w:noWrap w:val="0"/>
            <w:vAlign w:val="center"/>
          </w:tcPr>
          <w:p>
            <w:pPr>
              <w:widowControl/>
              <w:jc w:val="center"/>
              <w:rPr>
                <w:rFonts w:ascii="宋体" w:hAnsi="宋体"/>
                <w:b/>
                <w:bCs/>
                <w:kern w:val="0"/>
                <w:sz w:val="22"/>
              </w:rPr>
            </w:pPr>
          </w:p>
        </w:tc>
        <w:tc>
          <w:tcPr>
            <w:tcW w:w="1311" w:type="dxa"/>
            <w:noWrap w:val="0"/>
            <w:vAlign w:val="center"/>
          </w:tcPr>
          <w:p>
            <w:pPr>
              <w:widowControl/>
              <w:jc w:val="center"/>
              <w:rPr>
                <w:rFonts w:ascii="宋体" w:hAnsi="宋体"/>
                <w:b/>
                <w:bCs/>
                <w:kern w:val="0"/>
                <w:sz w:val="22"/>
              </w:rPr>
            </w:pPr>
            <w:r>
              <w:rPr>
                <w:rFonts w:ascii="宋体" w:hAnsi="宋体"/>
                <w:b/>
                <w:bCs/>
                <w:kern w:val="0"/>
                <w:sz w:val="22"/>
              </w:rPr>
              <w:t>√</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jc w:val="center"/>
        </w:trPr>
        <w:tc>
          <w:tcPr>
            <w:tcW w:w="2396" w:type="dxa"/>
            <w:noWrap w:val="0"/>
            <w:vAlign w:val="center"/>
          </w:tcPr>
          <w:p>
            <w:pPr>
              <w:widowControl/>
              <w:jc w:val="center"/>
              <w:rPr>
                <w:rFonts w:ascii="宋体" w:hAnsi="宋体"/>
                <w:kern w:val="0"/>
                <w:sz w:val="22"/>
              </w:rPr>
            </w:pPr>
            <w:r>
              <w:rPr>
                <w:rFonts w:ascii="宋体" w:hAnsi="宋体"/>
                <w:kern w:val="0"/>
                <w:sz w:val="22"/>
              </w:rPr>
              <w:t>职业素养教育</w:t>
            </w:r>
          </w:p>
        </w:tc>
        <w:tc>
          <w:tcPr>
            <w:tcW w:w="1311" w:type="dxa"/>
            <w:noWrap w:val="0"/>
            <w:vAlign w:val="center"/>
          </w:tcPr>
          <w:p>
            <w:pPr>
              <w:widowControl/>
              <w:jc w:val="center"/>
              <w:rPr>
                <w:rFonts w:ascii="宋体" w:hAnsi="宋体"/>
                <w:b/>
                <w:bCs/>
                <w:kern w:val="0"/>
                <w:sz w:val="22"/>
              </w:rPr>
            </w:pPr>
            <w:r>
              <w:rPr>
                <w:rFonts w:ascii="宋体" w:hAnsi="宋体"/>
                <w:b/>
                <w:bCs/>
                <w:kern w:val="0"/>
                <w:sz w:val="22"/>
              </w:rPr>
              <w:t>√</w:t>
            </w:r>
          </w:p>
        </w:tc>
        <w:tc>
          <w:tcPr>
            <w:tcW w:w="1311" w:type="dxa"/>
            <w:noWrap w:val="0"/>
            <w:vAlign w:val="center"/>
          </w:tcPr>
          <w:p>
            <w:pPr>
              <w:widowControl/>
              <w:jc w:val="center"/>
              <w:rPr>
                <w:rFonts w:ascii="宋体" w:hAnsi="宋体"/>
                <w:b/>
                <w:bCs/>
                <w:kern w:val="0"/>
                <w:sz w:val="22"/>
              </w:rPr>
            </w:pPr>
            <w:r>
              <w:rPr>
                <w:rFonts w:ascii="宋体" w:hAnsi="宋体"/>
                <w:b/>
                <w:bCs/>
                <w:kern w:val="0"/>
                <w:sz w:val="22"/>
              </w:rPr>
              <w:t>√</w:t>
            </w:r>
          </w:p>
        </w:tc>
        <w:tc>
          <w:tcPr>
            <w:tcW w:w="1311" w:type="dxa"/>
            <w:noWrap w:val="0"/>
            <w:vAlign w:val="center"/>
          </w:tcPr>
          <w:p>
            <w:pPr>
              <w:widowControl/>
              <w:jc w:val="center"/>
              <w:rPr>
                <w:rFonts w:ascii="宋体" w:hAnsi="宋体"/>
                <w:b/>
                <w:bCs/>
                <w:kern w:val="0"/>
                <w:sz w:val="22"/>
              </w:rPr>
            </w:pPr>
            <w:r>
              <w:rPr>
                <w:rFonts w:ascii="宋体" w:hAnsi="宋体"/>
                <w:b/>
                <w:bCs/>
                <w:kern w:val="0"/>
                <w:sz w:val="22"/>
              </w:rPr>
              <w:t>√</w:t>
            </w:r>
          </w:p>
        </w:tc>
        <w:tc>
          <w:tcPr>
            <w:tcW w:w="1311" w:type="dxa"/>
            <w:noWrap w:val="0"/>
            <w:vAlign w:val="center"/>
          </w:tcPr>
          <w:p>
            <w:pPr>
              <w:widowControl/>
              <w:jc w:val="center"/>
              <w:rPr>
                <w:rFonts w:ascii="宋体" w:hAnsi="宋体"/>
                <w:b/>
                <w:bCs/>
                <w:kern w:val="0"/>
                <w:sz w:val="22"/>
              </w:rPr>
            </w:pPr>
            <w:r>
              <w:rPr>
                <w:rFonts w:ascii="宋体" w:hAnsi="宋体"/>
                <w:b/>
                <w:bCs/>
                <w:kern w:val="0"/>
                <w:sz w:val="22"/>
              </w:rPr>
              <w:t>√</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jc w:val="center"/>
        </w:trPr>
        <w:tc>
          <w:tcPr>
            <w:tcW w:w="2396" w:type="dxa"/>
            <w:noWrap w:val="0"/>
            <w:vAlign w:val="center"/>
          </w:tcPr>
          <w:p>
            <w:pPr>
              <w:widowControl/>
              <w:jc w:val="center"/>
              <w:rPr>
                <w:rFonts w:ascii="宋体" w:hAnsi="宋体"/>
                <w:kern w:val="0"/>
                <w:sz w:val="22"/>
              </w:rPr>
            </w:pPr>
            <w:r>
              <w:rPr>
                <w:rFonts w:ascii="宋体" w:hAnsi="宋体"/>
                <w:kern w:val="0"/>
                <w:sz w:val="22"/>
              </w:rPr>
              <w:t>生态文明教育</w:t>
            </w:r>
          </w:p>
        </w:tc>
        <w:tc>
          <w:tcPr>
            <w:tcW w:w="1311" w:type="dxa"/>
            <w:noWrap w:val="0"/>
            <w:vAlign w:val="center"/>
          </w:tcPr>
          <w:p>
            <w:pPr>
              <w:widowControl/>
              <w:jc w:val="center"/>
              <w:rPr>
                <w:rFonts w:ascii="宋体" w:hAnsi="宋体"/>
                <w:b/>
                <w:bCs/>
                <w:kern w:val="0"/>
                <w:sz w:val="22"/>
              </w:rPr>
            </w:pPr>
          </w:p>
        </w:tc>
        <w:tc>
          <w:tcPr>
            <w:tcW w:w="1311" w:type="dxa"/>
            <w:noWrap w:val="0"/>
            <w:vAlign w:val="center"/>
          </w:tcPr>
          <w:p>
            <w:pPr>
              <w:widowControl/>
              <w:jc w:val="center"/>
              <w:rPr>
                <w:rFonts w:ascii="宋体" w:hAnsi="宋体"/>
                <w:b/>
                <w:bCs/>
                <w:kern w:val="0"/>
                <w:sz w:val="22"/>
              </w:rPr>
            </w:pPr>
          </w:p>
        </w:tc>
        <w:tc>
          <w:tcPr>
            <w:tcW w:w="1311" w:type="dxa"/>
            <w:noWrap w:val="0"/>
            <w:vAlign w:val="center"/>
          </w:tcPr>
          <w:p>
            <w:pPr>
              <w:widowControl/>
              <w:jc w:val="center"/>
              <w:rPr>
                <w:rFonts w:ascii="宋体" w:hAnsi="宋体"/>
                <w:b/>
                <w:bCs/>
                <w:kern w:val="0"/>
                <w:sz w:val="22"/>
              </w:rPr>
            </w:pPr>
            <w:r>
              <w:rPr>
                <w:rFonts w:ascii="宋体" w:hAnsi="宋体"/>
                <w:b/>
                <w:bCs/>
                <w:kern w:val="0"/>
                <w:sz w:val="22"/>
              </w:rPr>
              <w:t>√</w:t>
            </w:r>
          </w:p>
        </w:tc>
        <w:tc>
          <w:tcPr>
            <w:tcW w:w="1311" w:type="dxa"/>
            <w:noWrap w:val="0"/>
            <w:vAlign w:val="center"/>
          </w:tcPr>
          <w:p>
            <w:pPr>
              <w:widowControl/>
              <w:jc w:val="center"/>
              <w:rPr>
                <w:rFonts w:ascii="宋体" w:hAnsi="宋体"/>
                <w:b/>
                <w:bCs/>
                <w:kern w:val="0"/>
                <w:sz w:val="22"/>
              </w:rPr>
            </w:pPr>
          </w:p>
        </w:tc>
      </w:tr>
    </w:tbl>
    <w:p>
      <w:pPr>
        <w:spacing w:line="360" w:lineRule="auto"/>
        <w:ind w:firstLine="562" w:firstLineChars="200"/>
        <w:rPr>
          <w:rFonts w:ascii="Times New Roman" w:hAnsi="Times New Roman"/>
          <w:b/>
          <w:sz w:val="28"/>
          <w:szCs w:val="28"/>
        </w:rPr>
      </w:pPr>
      <w:r>
        <w:rPr>
          <w:rFonts w:hint="eastAsia" w:ascii="Times New Roman" w:hAnsi="Times New Roman"/>
          <w:b/>
          <w:sz w:val="28"/>
          <w:szCs w:val="28"/>
        </w:rPr>
        <w:t>五</w:t>
      </w:r>
      <w:r>
        <w:rPr>
          <w:rFonts w:ascii="Times New Roman" w:hAnsi="Times New Roman"/>
          <w:b/>
          <w:sz w:val="28"/>
          <w:szCs w:val="28"/>
        </w:rPr>
        <w:t>、课程考核</w:t>
      </w:r>
    </w:p>
    <w:p>
      <w:pPr>
        <w:spacing w:line="360" w:lineRule="auto"/>
        <w:ind w:firstLine="480" w:firstLineChars="200"/>
        <w:rPr>
          <w:rFonts w:ascii="Times New Roman" w:hAnsi="Times New Roman"/>
          <w:sz w:val="24"/>
        </w:rPr>
      </w:pPr>
      <w:r>
        <w:rPr>
          <w:rFonts w:hint="eastAsia" w:ascii="Times New Roman" w:hAnsi="Times New Roman"/>
          <w:sz w:val="24"/>
        </w:rPr>
        <w:t>（一）设计的考核是本课程的重要组成部分，将过程性评价、实验结果和报告等终结者评价相结合。考核方式包括平时成绩考核、设计报告考核、实践成绩考核等。</w:t>
      </w:r>
    </w:p>
    <w:p>
      <w:pPr>
        <w:spacing w:line="360" w:lineRule="auto"/>
        <w:ind w:firstLine="480" w:firstLineChars="200"/>
        <w:rPr>
          <w:rFonts w:ascii="Times New Roman" w:hAnsi="Times New Roman"/>
          <w:sz w:val="24"/>
        </w:rPr>
      </w:pPr>
      <w:r>
        <w:rPr>
          <w:rFonts w:hint="eastAsia" w:ascii="Times New Roman" w:hAnsi="Times New Roman"/>
          <w:sz w:val="24"/>
        </w:rPr>
        <w:t>（二）</w:t>
      </w:r>
      <w:r>
        <w:rPr>
          <w:rFonts w:ascii="Times New Roman" w:hAnsi="Times New Roman"/>
          <w:sz w:val="24"/>
        </w:rPr>
        <w:t>课程考核</w:t>
      </w:r>
      <w:r>
        <w:rPr>
          <w:rFonts w:hint="eastAsia" w:ascii="Times New Roman" w:hAnsi="Times New Roman"/>
          <w:sz w:val="24"/>
        </w:rPr>
        <w:t>方式</w:t>
      </w:r>
      <w:r>
        <w:rPr>
          <w:rFonts w:ascii="Times New Roman" w:hAnsi="Times New Roman"/>
          <w:sz w:val="24"/>
        </w:rPr>
        <w:t>包括</w:t>
      </w:r>
      <w:r>
        <w:rPr>
          <w:rFonts w:hint="eastAsia" w:ascii="Times New Roman" w:hAnsi="Times New Roman"/>
          <w:sz w:val="24"/>
        </w:rPr>
        <w:t>平时（包括：出勤和过程表现）</w:t>
      </w:r>
      <w:r>
        <w:rPr>
          <w:rFonts w:ascii="Times New Roman" w:hAnsi="Times New Roman"/>
          <w:sz w:val="24"/>
        </w:rPr>
        <w:t>、</w:t>
      </w:r>
      <w:r>
        <w:rPr>
          <w:rFonts w:hint="eastAsia" w:ascii="Times New Roman" w:hAnsi="Times New Roman"/>
          <w:sz w:val="24"/>
        </w:rPr>
        <w:t>作品（包括：课题难易、实验结果效果）、报告质量、答辩情况等</w:t>
      </w:r>
      <w:r>
        <w:rPr>
          <w:rFonts w:ascii="Times New Roman" w:hAnsi="Times New Roman"/>
          <w:sz w:val="24"/>
        </w:rPr>
        <w:t>。</w:t>
      </w:r>
      <w:r>
        <w:rPr>
          <w:rFonts w:hint="eastAsia" w:ascii="Times New Roman" w:hAnsi="Times New Roman"/>
          <w:sz w:val="24"/>
        </w:rPr>
        <w:t>课程成绩按五级分：优秀、良好、中等、及格、不及格，综合得分</w:t>
      </w:r>
      <w:r>
        <w:rPr>
          <w:rFonts w:ascii="Times New Roman" w:hAnsi="Times New Roman"/>
          <w:sz w:val="24"/>
        </w:rPr>
        <w:t>90</w:t>
      </w:r>
      <w:r>
        <w:rPr>
          <w:rFonts w:hint="eastAsia" w:ascii="Times New Roman" w:hAnsi="Times New Roman"/>
          <w:sz w:val="24"/>
        </w:rPr>
        <w:t>分评定为优秀，综合得分</w:t>
      </w:r>
      <w:r>
        <w:rPr>
          <w:rFonts w:ascii="Times New Roman" w:hAnsi="Times New Roman"/>
          <w:sz w:val="24"/>
        </w:rPr>
        <w:t>80</w:t>
      </w:r>
      <w:r>
        <w:rPr>
          <w:rFonts w:hint="eastAsia" w:ascii="Times New Roman" w:hAnsi="Times New Roman"/>
          <w:sz w:val="24"/>
        </w:rPr>
        <w:t>～</w:t>
      </w:r>
      <w:r>
        <w:rPr>
          <w:rFonts w:ascii="Times New Roman" w:hAnsi="Times New Roman"/>
          <w:sz w:val="24"/>
        </w:rPr>
        <w:t>89</w:t>
      </w:r>
      <w:r>
        <w:rPr>
          <w:rFonts w:hint="eastAsia" w:ascii="Times New Roman" w:hAnsi="Times New Roman"/>
          <w:sz w:val="24"/>
        </w:rPr>
        <w:t>分评定为良好，综合得分</w:t>
      </w:r>
      <w:r>
        <w:rPr>
          <w:rFonts w:ascii="Times New Roman" w:hAnsi="Times New Roman"/>
          <w:sz w:val="24"/>
        </w:rPr>
        <w:t>70</w:t>
      </w:r>
      <w:r>
        <w:rPr>
          <w:rFonts w:hint="eastAsia" w:ascii="Times New Roman" w:hAnsi="Times New Roman"/>
          <w:sz w:val="24"/>
        </w:rPr>
        <w:t>～</w:t>
      </w:r>
      <w:r>
        <w:rPr>
          <w:rFonts w:ascii="Times New Roman" w:hAnsi="Times New Roman"/>
          <w:sz w:val="24"/>
        </w:rPr>
        <w:t>79</w:t>
      </w:r>
      <w:r>
        <w:rPr>
          <w:rFonts w:hint="eastAsia" w:ascii="Times New Roman" w:hAnsi="Times New Roman"/>
          <w:sz w:val="24"/>
        </w:rPr>
        <w:t>分评定为中等，综合得分</w:t>
      </w:r>
      <w:r>
        <w:rPr>
          <w:rFonts w:ascii="Times New Roman" w:hAnsi="Times New Roman"/>
          <w:sz w:val="24"/>
        </w:rPr>
        <w:t>60</w:t>
      </w:r>
      <w:r>
        <w:rPr>
          <w:rFonts w:hint="eastAsia" w:ascii="Times New Roman" w:hAnsi="Times New Roman"/>
          <w:sz w:val="24"/>
        </w:rPr>
        <w:t>～</w:t>
      </w:r>
      <w:r>
        <w:rPr>
          <w:rFonts w:ascii="Times New Roman" w:hAnsi="Times New Roman"/>
          <w:sz w:val="24"/>
        </w:rPr>
        <w:t>69</w:t>
      </w:r>
      <w:r>
        <w:rPr>
          <w:rFonts w:hint="eastAsia" w:ascii="Times New Roman" w:hAnsi="Times New Roman"/>
          <w:sz w:val="24"/>
        </w:rPr>
        <w:t>评定为及格，综合得分</w:t>
      </w:r>
      <w:r>
        <w:rPr>
          <w:rFonts w:ascii="Times New Roman" w:hAnsi="Times New Roman"/>
          <w:sz w:val="24"/>
        </w:rPr>
        <w:t>&lt;60</w:t>
      </w:r>
      <w:r>
        <w:rPr>
          <w:rFonts w:hint="eastAsia" w:ascii="Times New Roman" w:hAnsi="Times New Roman"/>
          <w:sz w:val="24"/>
        </w:rPr>
        <w:t>分评定为不及格。</w:t>
      </w:r>
    </w:p>
    <w:p>
      <w:pPr>
        <w:spacing w:line="360" w:lineRule="auto"/>
        <w:ind w:firstLine="480" w:firstLineChars="200"/>
        <w:rPr>
          <w:rFonts w:ascii="Times New Roman" w:hAnsi="Times New Roman"/>
          <w:sz w:val="24"/>
        </w:rPr>
      </w:pPr>
      <w:r>
        <w:rPr>
          <w:rFonts w:hint="eastAsia" w:ascii="Times New Roman" w:hAnsi="Times New Roman"/>
          <w:sz w:val="24"/>
        </w:rPr>
        <w:t>（三）课程总评成绩的具体内容和比例如下表所示：</w:t>
      </w:r>
    </w:p>
    <w:tbl>
      <w:tblPr>
        <w:tblStyle w:val="10"/>
        <w:tblpPr w:leftFromText="180" w:rightFromText="180" w:vertAnchor="text" w:horzAnchor="margin" w:tblpXSpec="center" w:tblpY="244"/>
        <w:tblW w:w="80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3"/>
        <w:gridCol w:w="1276"/>
        <w:gridCol w:w="2918"/>
        <w:gridCol w:w="673"/>
        <w:gridCol w:w="674"/>
        <w:gridCol w:w="673"/>
        <w:gridCol w:w="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133" w:type="dxa"/>
            <w:vMerge w:val="restart"/>
            <w:shd w:val="clear" w:color="auto" w:fill="FFFFFF"/>
            <w:noWrap w:val="0"/>
            <w:tcMar>
              <w:left w:w="57" w:type="dxa"/>
              <w:right w:w="57" w:type="dxa"/>
            </w:tcMar>
            <w:vAlign w:val="center"/>
          </w:tcPr>
          <w:p>
            <w:pPr>
              <w:jc w:val="center"/>
              <w:rPr>
                <w:rFonts w:ascii="Times New Roman" w:hAnsi="Times New Roman"/>
                <w:szCs w:val="24"/>
              </w:rPr>
            </w:pPr>
            <w:r>
              <w:rPr>
                <w:rFonts w:hint="eastAsia" w:ascii="Times New Roman" w:hAnsi="Times New Roman"/>
                <w:szCs w:val="24"/>
              </w:rPr>
              <w:t>考核环节</w:t>
            </w:r>
          </w:p>
        </w:tc>
        <w:tc>
          <w:tcPr>
            <w:tcW w:w="1276" w:type="dxa"/>
            <w:vMerge w:val="restart"/>
            <w:shd w:val="clear" w:color="auto" w:fill="FFFFFF"/>
            <w:noWrap w:val="0"/>
            <w:vAlign w:val="center"/>
          </w:tcPr>
          <w:p>
            <w:pPr>
              <w:jc w:val="center"/>
              <w:rPr>
                <w:rFonts w:ascii="Times New Roman" w:hAnsi="Times New Roman"/>
                <w:szCs w:val="24"/>
              </w:rPr>
            </w:pPr>
            <w:r>
              <w:rPr>
                <w:rFonts w:hint="eastAsia" w:ascii="Times New Roman" w:hAnsi="Times New Roman"/>
                <w:szCs w:val="24"/>
              </w:rPr>
              <w:t>成绩比例</w:t>
            </w:r>
          </w:p>
        </w:tc>
        <w:tc>
          <w:tcPr>
            <w:tcW w:w="2918" w:type="dxa"/>
            <w:vMerge w:val="restart"/>
            <w:shd w:val="clear" w:color="auto" w:fill="FFFFFF"/>
            <w:noWrap w:val="0"/>
            <w:vAlign w:val="center"/>
          </w:tcPr>
          <w:p>
            <w:pPr>
              <w:jc w:val="center"/>
              <w:rPr>
                <w:rFonts w:ascii="Times New Roman" w:hAnsi="Times New Roman"/>
                <w:szCs w:val="24"/>
              </w:rPr>
            </w:pPr>
            <w:r>
              <w:rPr>
                <w:rFonts w:ascii="Times New Roman" w:hAnsi="Times New Roman"/>
                <w:szCs w:val="24"/>
              </w:rPr>
              <w:t>考核</w:t>
            </w:r>
            <w:r>
              <w:rPr>
                <w:rFonts w:hint="eastAsia" w:ascii="Times New Roman" w:hAnsi="Times New Roman"/>
                <w:szCs w:val="24"/>
              </w:rPr>
              <w:t>内容与</w:t>
            </w:r>
            <w:r>
              <w:rPr>
                <w:rFonts w:ascii="Times New Roman" w:hAnsi="Times New Roman"/>
                <w:szCs w:val="24"/>
              </w:rPr>
              <w:t>评价细则</w:t>
            </w:r>
          </w:p>
        </w:tc>
        <w:tc>
          <w:tcPr>
            <w:tcW w:w="2694" w:type="dxa"/>
            <w:gridSpan w:val="4"/>
            <w:shd w:val="clear" w:color="auto" w:fill="FFFFFF"/>
            <w:noWrap w:val="0"/>
            <w:vAlign w:val="top"/>
          </w:tcPr>
          <w:p>
            <w:pPr>
              <w:jc w:val="center"/>
              <w:rPr>
                <w:rFonts w:ascii="Times New Roman" w:hAnsi="Times New Roman"/>
                <w:szCs w:val="24"/>
              </w:rPr>
            </w:pPr>
            <w:r>
              <w:rPr>
                <w:rFonts w:ascii="Times New Roman" w:hAnsi="Times New Roman"/>
                <w:szCs w:val="24"/>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133" w:type="dxa"/>
            <w:vMerge w:val="continue"/>
            <w:shd w:val="clear" w:color="auto" w:fill="FFFFFF"/>
            <w:noWrap w:val="0"/>
            <w:tcMar>
              <w:left w:w="57" w:type="dxa"/>
              <w:right w:w="57" w:type="dxa"/>
            </w:tcMar>
            <w:vAlign w:val="center"/>
          </w:tcPr>
          <w:p>
            <w:pPr>
              <w:jc w:val="center"/>
              <w:rPr>
                <w:rFonts w:ascii="Times New Roman" w:hAnsi="Times New Roman"/>
                <w:szCs w:val="24"/>
              </w:rPr>
            </w:pPr>
          </w:p>
        </w:tc>
        <w:tc>
          <w:tcPr>
            <w:tcW w:w="1276" w:type="dxa"/>
            <w:vMerge w:val="continue"/>
            <w:shd w:val="clear" w:color="auto" w:fill="FFFFFF"/>
            <w:noWrap w:val="0"/>
            <w:vAlign w:val="center"/>
          </w:tcPr>
          <w:p>
            <w:pPr>
              <w:jc w:val="center"/>
              <w:rPr>
                <w:rFonts w:ascii="Times New Roman" w:hAnsi="Times New Roman"/>
                <w:szCs w:val="24"/>
              </w:rPr>
            </w:pPr>
          </w:p>
        </w:tc>
        <w:tc>
          <w:tcPr>
            <w:tcW w:w="2918" w:type="dxa"/>
            <w:vMerge w:val="continue"/>
            <w:shd w:val="clear" w:color="auto" w:fill="FFFFFF"/>
            <w:noWrap w:val="0"/>
            <w:vAlign w:val="center"/>
          </w:tcPr>
          <w:p>
            <w:pPr>
              <w:jc w:val="center"/>
              <w:rPr>
                <w:rFonts w:ascii="Times New Roman" w:hAnsi="Times New Roman"/>
                <w:szCs w:val="24"/>
              </w:rPr>
            </w:pPr>
          </w:p>
        </w:tc>
        <w:tc>
          <w:tcPr>
            <w:tcW w:w="673" w:type="dxa"/>
            <w:shd w:val="clear" w:color="auto" w:fill="FFFFFF"/>
            <w:noWrap w:val="0"/>
            <w:vAlign w:val="center"/>
          </w:tcPr>
          <w:p>
            <w:pPr>
              <w:jc w:val="center"/>
              <w:rPr>
                <w:rFonts w:ascii="Times New Roman" w:hAnsi="Times New Roman"/>
                <w:szCs w:val="24"/>
              </w:rPr>
            </w:pPr>
            <w:r>
              <w:rPr>
                <w:rFonts w:hint="eastAsia" w:ascii="Times New Roman" w:hAnsi="Times New Roman"/>
                <w:szCs w:val="24"/>
              </w:rPr>
              <w:t>目标1</w:t>
            </w:r>
          </w:p>
        </w:tc>
        <w:tc>
          <w:tcPr>
            <w:tcW w:w="674" w:type="dxa"/>
            <w:shd w:val="clear" w:color="auto" w:fill="FFFFFF"/>
            <w:noWrap w:val="0"/>
            <w:vAlign w:val="center"/>
          </w:tcPr>
          <w:p>
            <w:pPr>
              <w:jc w:val="center"/>
              <w:rPr>
                <w:rFonts w:ascii="Times New Roman" w:hAnsi="Times New Roman"/>
                <w:szCs w:val="24"/>
              </w:rPr>
            </w:pPr>
            <w:r>
              <w:rPr>
                <w:rFonts w:hint="eastAsia" w:ascii="Times New Roman" w:hAnsi="Times New Roman"/>
                <w:szCs w:val="24"/>
              </w:rPr>
              <w:t>目标2</w:t>
            </w:r>
          </w:p>
        </w:tc>
        <w:tc>
          <w:tcPr>
            <w:tcW w:w="673" w:type="dxa"/>
            <w:shd w:val="clear" w:color="auto" w:fill="FFFFFF"/>
            <w:noWrap w:val="0"/>
            <w:vAlign w:val="top"/>
          </w:tcPr>
          <w:p>
            <w:pPr>
              <w:jc w:val="center"/>
              <w:rPr>
                <w:rFonts w:ascii="Times New Roman" w:hAnsi="Times New Roman"/>
                <w:szCs w:val="24"/>
              </w:rPr>
            </w:pPr>
            <w:r>
              <w:rPr>
                <w:rFonts w:hint="eastAsia" w:ascii="Times New Roman" w:hAnsi="Times New Roman"/>
                <w:szCs w:val="24"/>
              </w:rPr>
              <w:t>目标3</w:t>
            </w:r>
          </w:p>
        </w:tc>
        <w:tc>
          <w:tcPr>
            <w:tcW w:w="674" w:type="dxa"/>
            <w:shd w:val="clear" w:color="auto" w:fill="FFFFFF"/>
            <w:noWrap w:val="0"/>
            <w:vAlign w:val="top"/>
          </w:tcPr>
          <w:p>
            <w:pPr>
              <w:jc w:val="center"/>
              <w:rPr>
                <w:rFonts w:ascii="Times New Roman" w:hAnsi="Times New Roman"/>
                <w:szCs w:val="24"/>
              </w:rPr>
            </w:pPr>
            <w:r>
              <w:rPr>
                <w:rFonts w:hint="eastAsia" w:ascii="Times New Roman" w:hAnsi="Times New Roman"/>
                <w:szCs w:val="24"/>
              </w:rPr>
              <w:t>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6" w:hRule="atLeast"/>
        </w:trPr>
        <w:tc>
          <w:tcPr>
            <w:tcW w:w="1133" w:type="dxa"/>
            <w:shd w:val="clear" w:color="auto" w:fill="FFFFFF"/>
            <w:noWrap w:val="0"/>
            <w:tcMar>
              <w:left w:w="57" w:type="dxa"/>
              <w:right w:w="57" w:type="dxa"/>
            </w:tcMar>
            <w:vAlign w:val="center"/>
          </w:tcPr>
          <w:p>
            <w:pPr>
              <w:jc w:val="center"/>
              <w:rPr>
                <w:rFonts w:ascii="Times New Roman" w:hAnsi="Times New Roman"/>
                <w:szCs w:val="24"/>
              </w:rPr>
            </w:pPr>
            <w:r>
              <w:rPr>
                <w:rFonts w:ascii="Times New Roman" w:hAnsi="Times New Roman"/>
                <w:szCs w:val="24"/>
              </w:rPr>
              <w:t>平时</w:t>
            </w:r>
            <w:r>
              <w:rPr>
                <w:rFonts w:hint="eastAsia" w:ascii="Times New Roman" w:hAnsi="Times New Roman"/>
                <w:szCs w:val="24"/>
              </w:rPr>
              <w:t>表现</w:t>
            </w:r>
          </w:p>
        </w:tc>
        <w:tc>
          <w:tcPr>
            <w:tcW w:w="1276" w:type="dxa"/>
            <w:shd w:val="clear" w:color="auto" w:fill="FFFFFF"/>
            <w:noWrap w:val="0"/>
            <w:vAlign w:val="center"/>
          </w:tcPr>
          <w:p>
            <w:pPr>
              <w:jc w:val="center"/>
              <w:rPr>
                <w:rFonts w:ascii="Times New Roman" w:hAnsi="Times New Roman"/>
                <w:szCs w:val="24"/>
              </w:rPr>
            </w:pPr>
            <w:r>
              <w:rPr>
                <w:rFonts w:hint="eastAsia" w:ascii="Times New Roman" w:hAnsi="Times New Roman"/>
                <w:szCs w:val="24"/>
              </w:rPr>
              <w:t>20%</w:t>
            </w:r>
          </w:p>
        </w:tc>
        <w:tc>
          <w:tcPr>
            <w:tcW w:w="2918" w:type="dxa"/>
            <w:shd w:val="clear" w:color="auto" w:fill="FFFFFF"/>
            <w:noWrap w:val="0"/>
            <w:vAlign w:val="center"/>
          </w:tcPr>
          <w:p>
            <w:pPr>
              <w:rPr>
                <w:rFonts w:ascii="Times New Roman" w:hAnsi="Times New Roman"/>
                <w:color w:val="000000"/>
                <w:szCs w:val="21"/>
              </w:rPr>
            </w:pPr>
            <w:r>
              <w:rPr>
                <w:rFonts w:hint="eastAsia" w:ascii="Times New Roman" w:hAnsi="Times New Roman"/>
                <w:color w:val="000000"/>
                <w:szCs w:val="21"/>
              </w:rPr>
              <w:t>重点考核：学生的学习态度、独立工作能力、查阅资料能力、团队分工与协作能力及设计过程中的创新意识或独特见解。</w:t>
            </w:r>
          </w:p>
        </w:tc>
        <w:tc>
          <w:tcPr>
            <w:tcW w:w="673" w:type="dxa"/>
            <w:shd w:val="clear" w:color="auto" w:fill="FFFFFF"/>
            <w:noWrap w:val="0"/>
            <w:vAlign w:val="center"/>
          </w:tcPr>
          <w:p>
            <w:pPr>
              <w:jc w:val="center"/>
              <w:rPr>
                <w:rFonts w:ascii="Times New Roman" w:hAnsi="Times New Roman"/>
                <w:color w:val="000000"/>
                <w:szCs w:val="21"/>
              </w:rPr>
            </w:pPr>
            <w:r>
              <w:rPr>
                <w:rFonts w:hint="eastAsia" w:ascii="Times New Roman" w:hAnsi="Times New Roman"/>
                <w:color w:val="000000"/>
                <w:szCs w:val="21"/>
              </w:rPr>
              <w:t>10</w:t>
            </w:r>
          </w:p>
        </w:tc>
        <w:tc>
          <w:tcPr>
            <w:tcW w:w="674" w:type="dxa"/>
            <w:shd w:val="clear" w:color="auto" w:fill="FFFFFF"/>
            <w:noWrap w:val="0"/>
            <w:vAlign w:val="center"/>
          </w:tcPr>
          <w:p>
            <w:pPr>
              <w:jc w:val="center"/>
              <w:rPr>
                <w:rFonts w:ascii="Times New Roman" w:hAnsi="Times New Roman"/>
                <w:color w:val="000000"/>
                <w:szCs w:val="21"/>
              </w:rPr>
            </w:pPr>
            <w:r>
              <w:rPr>
                <w:rFonts w:hint="eastAsia" w:ascii="Times New Roman" w:hAnsi="Times New Roman"/>
                <w:color w:val="000000"/>
                <w:szCs w:val="21"/>
              </w:rPr>
              <w:t>5</w:t>
            </w:r>
          </w:p>
        </w:tc>
        <w:tc>
          <w:tcPr>
            <w:tcW w:w="673" w:type="dxa"/>
            <w:shd w:val="clear" w:color="auto" w:fill="FFFFFF"/>
            <w:noWrap w:val="0"/>
            <w:vAlign w:val="center"/>
          </w:tcPr>
          <w:p>
            <w:pPr>
              <w:jc w:val="center"/>
              <w:rPr>
                <w:rFonts w:ascii="Times New Roman" w:hAnsi="Times New Roman"/>
                <w:color w:val="000000"/>
                <w:szCs w:val="21"/>
              </w:rPr>
            </w:pPr>
            <w:r>
              <w:rPr>
                <w:rFonts w:hint="eastAsia" w:ascii="Times New Roman" w:hAnsi="Times New Roman"/>
                <w:color w:val="000000"/>
                <w:szCs w:val="21"/>
              </w:rPr>
              <w:t>5</w:t>
            </w:r>
          </w:p>
        </w:tc>
        <w:tc>
          <w:tcPr>
            <w:tcW w:w="674" w:type="dxa"/>
            <w:shd w:val="clear" w:color="auto" w:fill="FFFFFF"/>
            <w:noWrap w:val="0"/>
            <w:vAlign w:val="center"/>
          </w:tcPr>
          <w:p>
            <w:pPr>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2" w:hRule="atLeast"/>
        </w:trPr>
        <w:tc>
          <w:tcPr>
            <w:tcW w:w="1133" w:type="dxa"/>
            <w:shd w:val="clear" w:color="auto" w:fill="auto"/>
            <w:noWrap w:val="0"/>
            <w:tcMar>
              <w:left w:w="57" w:type="dxa"/>
              <w:right w:w="57" w:type="dxa"/>
            </w:tcMar>
            <w:vAlign w:val="center"/>
          </w:tcPr>
          <w:p>
            <w:pPr>
              <w:jc w:val="center"/>
              <w:rPr>
                <w:rFonts w:ascii="Times New Roman" w:hAnsi="Times New Roman"/>
                <w:szCs w:val="24"/>
              </w:rPr>
            </w:pPr>
            <w:r>
              <w:rPr>
                <w:rFonts w:hint="eastAsia" w:ascii="Times New Roman" w:hAnsi="Times New Roman"/>
                <w:szCs w:val="24"/>
              </w:rPr>
              <w:t>实验报告</w:t>
            </w:r>
          </w:p>
        </w:tc>
        <w:tc>
          <w:tcPr>
            <w:tcW w:w="1276" w:type="dxa"/>
            <w:shd w:val="clear" w:color="auto" w:fill="auto"/>
            <w:noWrap w:val="0"/>
            <w:vAlign w:val="center"/>
          </w:tcPr>
          <w:p>
            <w:pPr>
              <w:jc w:val="center"/>
              <w:rPr>
                <w:rFonts w:ascii="Times New Roman" w:hAnsi="Times New Roman"/>
                <w:szCs w:val="24"/>
              </w:rPr>
            </w:pPr>
            <w:r>
              <w:rPr>
                <w:rFonts w:hint="eastAsia" w:ascii="Times New Roman" w:hAnsi="Times New Roman"/>
                <w:szCs w:val="24"/>
              </w:rPr>
              <w:t>40</w:t>
            </w:r>
            <w:r>
              <w:rPr>
                <w:rFonts w:ascii="Times New Roman" w:hAnsi="Times New Roman"/>
                <w:szCs w:val="24"/>
              </w:rPr>
              <w:t>%</w:t>
            </w:r>
          </w:p>
        </w:tc>
        <w:tc>
          <w:tcPr>
            <w:tcW w:w="2918" w:type="dxa"/>
            <w:shd w:val="clear" w:color="auto" w:fill="auto"/>
            <w:noWrap w:val="0"/>
            <w:vAlign w:val="center"/>
          </w:tcPr>
          <w:p>
            <w:pPr>
              <w:rPr>
                <w:rFonts w:ascii="Times New Roman" w:hAnsi="Times New Roman"/>
                <w:szCs w:val="21"/>
              </w:rPr>
            </w:pPr>
            <w:r>
              <w:rPr>
                <w:rFonts w:hint="eastAsia" w:ascii="Times New Roman" w:hAnsi="Times New Roman"/>
                <w:szCs w:val="21"/>
              </w:rPr>
              <w:t>重点考核：实验报告的准确性和完成整性，尤其是实验方案的合理性。整个实验设计的结构、内容与完成质量，运用所学知识独立分析、处理，解决实际问题的能力，设计的整体水平与实际意义。</w:t>
            </w:r>
          </w:p>
        </w:tc>
        <w:tc>
          <w:tcPr>
            <w:tcW w:w="673" w:type="dxa"/>
            <w:shd w:val="clear" w:color="auto" w:fill="FFFFFF"/>
            <w:noWrap w:val="0"/>
            <w:vAlign w:val="center"/>
          </w:tcPr>
          <w:p>
            <w:pPr>
              <w:jc w:val="center"/>
              <w:rPr>
                <w:rFonts w:ascii="Times New Roman" w:hAnsi="Times New Roman"/>
                <w:color w:val="000000"/>
                <w:szCs w:val="21"/>
              </w:rPr>
            </w:pPr>
            <w:r>
              <w:rPr>
                <w:rFonts w:hint="eastAsia" w:ascii="Times New Roman" w:hAnsi="Times New Roman"/>
                <w:color w:val="000000"/>
                <w:szCs w:val="21"/>
              </w:rPr>
              <w:t>10</w:t>
            </w:r>
          </w:p>
        </w:tc>
        <w:tc>
          <w:tcPr>
            <w:tcW w:w="674" w:type="dxa"/>
            <w:shd w:val="clear" w:color="auto" w:fill="FFFFFF"/>
            <w:noWrap w:val="0"/>
            <w:vAlign w:val="center"/>
          </w:tcPr>
          <w:p>
            <w:pPr>
              <w:jc w:val="center"/>
              <w:rPr>
                <w:rFonts w:ascii="Times New Roman" w:hAnsi="Times New Roman"/>
                <w:color w:val="000000"/>
                <w:szCs w:val="21"/>
              </w:rPr>
            </w:pPr>
            <w:r>
              <w:rPr>
                <w:rFonts w:hint="eastAsia" w:ascii="Times New Roman" w:hAnsi="Times New Roman"/>
                <w:color w:val="000000"/>
                <w:szCs w:val="21"/>
              </w:rPr>
              <w:t>20</w:t>
            </w:r>
          </w:p>
        </w:tc>
        <w:tc>
          <w:tcPr>
            <w:tcW w:w="673" w:type="dxa"/>
            <w:shd w:val="clear" w:color="auto" w:fill="FFFFFF"/>
            <w:noWrap w:val="0"/>
            <w:vAlign w:val="center"/>
          </w:tcPr>
          <w:p>
            <w:pPr>
              <w:jc w:val="center"/>
              <w:rPr>
                <w:rFonts w:ascii="Times New Roman" w:hAnsi="Times New Roman"/>
                <w:color w:val="000000"/>
                <w:szCs w:val="21"/>
              </w:rPr>
            </w:pPr>
          </w:p>
        </w:tc>
        <w:tc>
          <w:tcPr>
            <w:tcW w:w="674" w:type="dxa"/>
            <w:shd w:val="clear" w:color="auto" w:fill="FFFFFF"/>
            <w:noWrap w:val="0"/>
            <w:vAlign w:val="center"/>
          </w:tcPr>
          <w:p>
            <w:pPr>
              <w:jc w:val="center"/>
              <w:rPr>
                <w:rFonts w:ascii="Times New Roman" w:hAnsi="Times New Roman"/>
                <w:color w:val="000000"/>
                <w:szCs w:val="21"/>
              </w:rPr>
            </w:pPr>
            <w:r>
              <w:rPr>
                <w:rFonts w:hint="eastAsia" w:ascii="Times New Roman" w:hAnsi="Times New Roman"/>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2" w:hRule="atLeast"/>
        </w:trPr>
        <w:tc>
          <w:tcPr>
            <w:tcW w:w="1133" w:type="dxa"/>
            <w:shd w:val="clear" w:color="auto" w:fill="auto"/>
            <w:noWrap w:val="0"/>
            <w:tcMar>
              <w:left w:w="57" w:type="dxa"/>
              <w:right w:w="57" w:type="dxa"/>
            </w:tcMar>
            <w:vAlign w:val="center"/>
          </w:tcPr>
          <w:p>
            <w:pPr>
              <w:jc w:val="center"/>
              <w:rPr>
                <w:rFonts w:ascii="Times New Roman" w:hAnsi="Times New Roman"/>
                <w:szCs w:val="24"/>
              </w:rPr>
            </w:pPr>
            <w:r>
              <w:rPr>
                <w:rFonts w:hint="eastAsia" w:ascii="Times New Roman" w:hAnsi="Times New Roman"/>
                <w:szCs w:val="24"/>
              </w:rPr>
              <w:t>实验结果</w:t>
            </w:r>
          </w:p>
        </w:tc>
        <w:tc>
          <w:tcPr>
            <w:tcW w:w="1276" w:type="dxa"/>
            <w:shd w:val="clear" w:color="auto" w:fill="auto"/>
            <w:noWrap w:val="0"/>
            <w:vAlign w:val="center"/>
          </w:tcPr>
          <w:p>
            <w:pPr>
              <w:jc w:val="center"/>
              <w:rPr>
                <w:rFonts w:ascii="Times New Roman" w:hAnsi="Times New Roman"/>
                <w:szCs w:val="24"/>
              </w:rPr>
            </w:pPr>
            <w:r>
              <w:rPr>
                <w:rFonts w:hint="eastAsia" w:ascii="Times New Roman" w:hAnsi="Times New Roman"/>
                <w:szCs w:val="24"/>
              </w:rPr>
              <w:t>20%</w:t>
            </w:r>
          </w:p>
        </w:tc>
        <w:tc>
          <w:tcPr>
            <w:tcW w:w="2918" w:type="dxa"/>
            <w:shd w:val="clear" w:color="auto" w:fill="auto"/>
            <w:noWrap w:val="0"/>
            <w:vAlign w:val="center"/>
          </w:tcPr>
          <w:p>
            <w:pPr>
              <w:rPr>
                <w:rFonts w:ascii="Times New Roman" w:hAnsi="Times New Roman"/>
                <w:color w:val="000000"/>
                <w:szCs w:val="21"/>
              </w:rPr>
            </w:pPr>
            <w:r>
              <w:rPr>
                <w:rFonts w:hint="eastAsia" w:ascii="Times New Roman" w:hAnsi="Times New Roman"/>
                <w:color w:val="000000"/>
                <w:szCs w:val="21"/>
              </w:rPr>
              <w:t>重点考核：通过实验的设计是否完成整个实验过程，是否获的相应的实验产物或者相关模型；实验结果的测试，并通过相应数据进行实验结果的分析。</w:t>
            </w:r>
          </w:p>
        </w:tc>
        <w:tc>
          <w:tcPr>
            <w:tcW w:w="673" w:type="dxa"/>
            <w:shd w:val="clear" w:color="auto" w:fill="FFFFFF"/>
            <w:noWrap w:val="0"/>
            <w:vAlign w:val="center"/>
          </w:tcPr>
          <w:p>
            <w:pPr>
              <w:jc w:val="center"/>
              <w:rPr>
                <w:rFonts w:ascii="Times New Roman" w:hAnsi="Times New Roman"/>
                <w:color w:val="000000"/>
                <w:szCs w:val="21"/>
              </w:rPr>
            </w:pPr>
          </w:p>
        </w:tc>
        <w:tc>
          <w:tcPr>
            <w:tcW w:w="674" w:type="dxa"/>
            <w:shd w:val="clear" w:color="auto" w:fill="FFFFFF"/>
            <w:noWrap w:val="0"/>
            <w:vAlign w:val="center"/>
          </w:tcPr>
          <w:p>
            <w:pPr>
              <w:jc w:val="center"/>
              <w:rPr>
                <w:rFonts w:ascii="Times New Roman" w:hAnsi="Times New Roman"/>
                <w:color w:val="000000"/>
                <w:szCs w:val="21"/>
              </w:rPr>
            </w:pPr>
            <w:r>
              <w:rPr>
                <w:rFonts w:hint="eastAsia" w:ascii="Times New Roman" w:hAnsi="Times New Roman"/>
                <w:color w:val="000000"/>
                <w:szCs w:val="21"/>
              </w:rPr>
              <w:t>10%</w:t>
            </w:r>
          </w:p>
        </w:tc>
        <w:tc>
          <w:tcPr>
            <w:tcW w:w="673" w:type="dxa"/>
            <w:shd w:val="clear" w:color="auto" w:fill="FFFFFF"/>
            <w:noWrap w:val="0"/>
            <w:vAlign w:val="center"/>
          </w:tcPr>
          <w:p>
            <w:pPr>
              <w:jc w:val="center"/>
              <w:rPr>
                <w:rFonts w:ascii="Times New Roman" w:hAnsi="Times New Roman"/>
                <w:color w:val="000000"/>
                <w:szCs w:val="21"/>
              </w:rPr>
            </w:pPr>
          </w:p>
        </w:tc>
        <w:tc>
          <w:tcPr>
            <w:tcW w:w="674" w:type="dxa"/>
            <w:shd w:val="clear" w:color="auto" w:fill="FFFFFF"/>
            <w:noWrap w:val="0"/>
            <w:vAlign w:val="center"/>
          </w:tcPr>
          <w:p>
            <w:pPr>
              <w:jc w:val="center"/>
              <w:rPr>
                <w:rFonts w:ascii="Times New Roman" w:hAnsi="Times New Roman"/>
                <w:color w:val="000000"/>
                <w:szCs w:val="21"/>
              </w:rPr>
            </w:pPr>
            <w:r>
              <w:rPr>
                <w:rFonts w:hint="eastAsia" w:ascii="Times New Roman" w:hAnsi="Times New Roman"/>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4" w:hRule="atLeast"/>
        </w:trPr>
        <w:tc>
          <w:tcPr>
            <w:tcW w:w="1133" w:type="dxa"/>
            <w:shd w:val="clear" w:color="auto" w:fill="auto"/>
            <w:noWrap w:val="0"/>
            <w:tcMar>
              <w:left w:w="57" w:type="dxa"/>
              <w:right w:w="57" w:type="dxa"/>
            </w:tcMar>
            <w:vAlign w:val="center"/>
          </w:tcPr>
          <w:p>
            <w:pPr>
              <w:jc w:val="center"/>
              <w:rPr>
                <w:rFonts w:ascii="Times New Roman" w:hAnsi="Times New Roman"/>
                <w:szCs w:val="24"/>
              </w:rPr>
            </w:pPr>
            <w:r>
              <w:rPr>
                <w:rFonts w:hint="eastAsia" w:ascii="Times New Roman" w:hAnsi="Times New Roman"/>
                <w:szCs w:val="24"/>
              </w:rPr>
              <w:t>答    辩</w:t>
            </w:r>
          </w:p>
        </w:tc>
        <w:tc>
          <w:tcPr>
            <w:tcW w:w="1276" w:type="dxa"/>
            <w:shd w:val="clear" w:color="auto" w:fill="auto"/>
            <w:noWrap w:val="0"/>
            <w:vAlign w:val="center"/>
          </w:tcPr>
          <w:p>
            <w:pPr>
              <w:jc w:val="center"/>
              <w:rPr>
                <w:rFonts w:ascii="Times New Roman" w:hAnsi="Times New Roman"/>
                <w:szCs w:val="24"/>
              </w:rPr>
            </w:pPr>
            <w:r>
              <w:rPr>
                <w:rFonts w:hint="eastAsia" w:ascii="Times New Roman" w:hAnsi="Times New Roman"/>
                <w:szCs w:val="24"/>
              </w:rPr>
              <w:t>20</w:t>
            </w:r>
            <w:r>
              <w:rPr>
                <w:rFonts w:ascii="Times New Roman" w:hAnsi="Times New Roman"/>
                <w:szCs w:val="24"/>
              </w:rPr>
              <w:t>%</w:t>
            </w:r>
            <w:r>
              <w:rPr>
                <w:rFonts w:hint="eastAsia" w:ascii="Times New Roman" w:hAnsi="Times New Roman"/>
                <w:szCs w:val="24"/>
              </w:rPr>
              <w:t xml:space="preserve"> </w:t>
            </w:r>
          </w:p>
        </w:tc>
        <w:tc>
          <w:tcPr>
            <w:tcW w:w="2918" w:type="dxa"/>
            <w:shd w:val="clear" w:color="auto" w:fill="auto"/>
            <w:noWrap w:val="0"/>
            <w:vAlign w:val="center"/>
          </w:tcPr>
          <w:p>
            <w:pPr>
              <w:rPr>
                <w:rFonts w:ascii="Times New Roman" w:hAnsi="Times New Roman"/>
                <w:color w:val="000000"/>
                <w:szCs w:val="21"/>
              </w:rPr>
            </w:pPr>
            <w:r>
              <w:rPr>
                <w:rFonts w:hint="eastAsia" w:ascii="Times New Roman" w:hAnsi="Times New Roman"/>
                <w:color w:val="000000"/>
                <w:szCs w:val="21"/>
              </w:rPr>
              <w:t>重点考核：学生对设计思想的口头表达能力、进行有效陈述发言的能力以及回答问题的正确性。</w:t>
            </w:r>
          </w:p>
        </w:tc>
        <w:tc>
          <w:tcPr>
            <w:tcW w:w="673" w:type="dxa"/>
            <w:shd w:val="clear" w:color="auto" w:fill="FFFFFF"/>
            <w:noWrap w:val="0"/>
            <w:vAlign w:val="center"/>
          </w:tcPr>
          <w:p>
            <w:pPr>
              <w:jc w:val="center"/>
              <w:rPr>
                <w:rFonts w:ascii="Times New Roman" w:hAnsi="Times New Roman"/>
                <w:color w:val="000000"/>
                <w:szCs w:val="21"/>
              </w:rPr>
            </w:pPr>
          </w:p>
        </w:tc>
        <w:tc>
          <w:tcPr>
            <w:tcW w:w="674" w:type="dxa"/>
            <w:shd w:val="clear" w:color="auto" w:fill="FFFFFF"/>
            <w:noWrap w:val="0"/>
            <w:vAlign w:val="center"/>
          </w:tcPr>
          <w:p>
            <w:pPr>
              <w:jc w:val="center"/>
              <w:rPr>
                <w:rFonts w:ascii="Times New Roman" w:hAnsi="Times New Roman"/>
                <w:color w:val="000000"/>
                <w:szCs w:val="21"/>
              </w:rPr>
            </w:pPr>
          </w:p>
        </w:tc>
        <w:tc>
          <w:tcPr>
            <w:tcW w:w="673" w:type="dxa"/>
            <w:shd w:val="clear" w:color="auto" w:fill="FFFFFF"/>
            <w:noWrap w:val="0"/>
            <w:vAlign w:val="center"/>
          </w:tcPr>
          <w:p>
            <w:pPr>
              <w:jc w:val="center"/>
              <w:rPr>
                <w:rFonts w:ascii="Times New Roman" w:hAnsi="Times New Roman"/>
                <w:color w:val="000000"/>
                <w:szCs w:val="21"/>
              </w:rPr>
            </w:pPr>
          </w:p>
        </w:tc>
        <w:tc>
          <w:tcPr>
            <w:tcW w:w="674" w:type="dxa"/>
            <w:shd w:val="clear" w:color="auto" w:fill="FFFFFF"/>
            <w:noWrap w:val="0"/>
            <w:vAlign w:val="center"/>
          </w:tcPr>
          <w:p>
            <w:pPr>
              <w:jc w:val="center"/>
              <w:rPr>
                <w:rFonts w:ascii="Times New Roman" w:hAnsi="Times New Roman"/>
                <w:color w:val="000000"/>
                <w:szCs w:val="21"/>
              </w:rPr>
            </w:pPr>
            <w:r>
              <w:rPr>
                <w:rFonts w:hint="eastAsia" w:ascii="Times New Roman" w:hAnsi="Times New Roman"/>
                <w:color w:val="000000"/>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1133" w:type="dxa"/>
            <w:shd w:val="clear" w:color="auto" w:fill="auto"/>
            <w:noWrap w:val="0"/>
            <w:tcMar>
              <w:left w:w="57" w:type="dxa"/>
              <w:right w:w="57" w:type="dxa"/>
            </w:tcMar>
            <w:vAlign w:val="center"/>
          </w:tcPr>
          <w:p>
            <w:pPr>
              <w:jc w:val="center"/>
              <w:rPr>
                <w:rFonts w:ascii="Times New Roman" w:hAnsi="Times New Roman"/>
                <w:szCs w:val="24"/>
              </w:rPr>
            </w:pPr>
            <w:r>
              <w:rPr>
                <w:rFonts w:hint="eastAsia" w:ascii="Times New Roman" w:hAnsi="Times New Roman"/>
                <w:szCs w:val="24"/>
              </w:rPr>
              <w:t>合    计</w:t>
            </w:r>
          </w:p>
        </w:tc>
        <w:tc>
          <w:tcPr>
            <w:tcW w:w="1276" w:type="dxa"/>
            <w:shd w:val="clear" w:color="auto" w:fill="auto"/>
            <w:noWrap w:val="0"/>
            <w:vAlign w:val="center"/>
          </w:tcPr>
          <w:p>
            <w:pPr>
              <w:jc w:val="center"/>
              <w:rPr>
                <w:rFonts w:ascii="Times New Roman" w:hAnsi="Times New Roman"/>
                <w:szCs w:val="24"/>
              </w:rPr>
            </w:pPr>
            <w:r>
              <w:rPr>
                <w:rFonts w:hint="eastAsia" w:ascii="Times New Roman" w:hAnsi="Times New Roman"/>
                <w:szCs w:val="24"/>
              </w:rPr>
              <w:t>100%</w:t>
            </w:r>
          </w:p>
        </w:tc>
        <w:tc>
          <w:tcPr>
            <w:tcW w:w="2918" w:type="dxa"/>
            <w:shd w:val="clear" w:color="auto" w:fill="auto"/>
            <w:noWrap w:val="0"/>
            <w:vAlign w:val="center"/>
          </w:tcPr>
          <w:p>
            <w:pPr>
              <w:rPr>
                <w:rFonts w:ascii="Times New Roman" w:hAnsi="Times New Roman"/>
                <w:color w:val="000000"/>
                <w:szCs w:val="21"/>
              </w:rPr>
            </w:pPr>
          </w:p>
        </w:tc>
        <w:tc>
          <w:tcPr>
            <w:tcW w:w="673" w:type="dxa"/>
            <w:shd w:val="clear" w:color="auto" w:fill="FFFFFF"/>
            <w:noWrap w:val="0"/>
            <w:vAlign w:val="center"/>
          </w:tcPr>
          <w:p>
            <w:pPr>
              <w:jc w:val="center"/>
              <w:rPr>
                <w:rFonts w:ascii="Times New Roman" w:hAnsi="Times New Roman"/>
                <w:color w:val="000000"/>
                <w:szCs w:val="21"/>
              </w:rPr>
            </w:pPr>
            <w:r>
              <w:rPr>
                <w:rFonts w:hint="eastAsia" w:ascii="Times New Roman" w:hAnsi="Times New Roman"/>
                <w:color w:val="000000"/>
                <w:szCs w:val="21"/>
              </w:rPr>
              <w:t>20%</w:t>
            </w:r>
          </w:p>
        </w:tc>
        <w:tc>
          <w:tcPr>
            <w:tcW w:w="674" w:type="dxa"/>
            <w:shd w:val="clear" w:color="auto" w:fill="FFFFFF"/>
            <w:noWrap w:val="0"/>
            <w:vAlign w:val="center"/>
          </w:tcPr>
          <w:p>
            <w:pPr>
              <w:jc w:val="center"/>
              <w:rPr>
                <w:rFonts w:ascii="Times New Roman" w:hAnsi="Times New Roman"/>
                <w:color w:val="000000"/>
                <w:szCs w:val="21"/>
              </w:rPr>
            </w:pPr>
            <w:r>
              <w:rPr>
                <w:rFonts w:hint="eastAsia" w:ascii="Times New Roman" w:hAnsi="Times New Roman"/>
                <w:color w:val="000000"/>
                <w:szCs w:val="21"/>
              </w:rPr>
              <w:t>35%</w:t>
            </w:r>
          </w:p>
        </w:tc>
        <w:tc>
          <w:tcPr>
            <w:tcW w:w="673" w:type="dxa"/>
            <w:shd w:val="clear" w:color="auto" w:fill="FFFFFF"/>
            <w:noWrap w:val="0"/>
            <w:vAlign w:val="center"/>
          </w:tcPr>
          <w:p>
            <w:pPr>
              <w:jc w:val="center"/>
              <w:rPr>
                <w:rFonts w:ascii="Times New Roman" w:hAnsi="Times New Roman"/>
                <w:color w:val="000000"/>
                <w:szCs w:val="21"/>
              </w:rPr>
            </w:pPr>
            <w:r>
              <w:rPr>
                <w:rFonts w:hint="eastAsia" w:ascii="Times New Roman" w:hAnsi="Times New Roman"/>
                <w:color w:val="000000"/>
                <w:szCs w:val="21"/>
              </w:rPr>
              <w:t>5%</w:t>
            </w:r>
          </w:p>
        </w:tc>
        <w:tc>
          <w:tcPr>
            <w:tcW w:w="674" w:type="dxa"/>
            <w:shd w:val="clear" w:color="auto" w:fill="FFFFFF"/>
            <w:noWrap w:val="0"/>
            <w:vAlign w:val="center"/>
          </w:tcPr>
          <w:p>
            <w:pPr>
              <w:jc w:val="center"/>
              <w:rPr>
                <w:rFonts w:ascii="Times New Roman" w:hAnsi="Times New Roman"/>
                <w:color w:val="000000"/>
                <w:szCs w:val="21"/>
              </w:rPr>
            </w:pPr>
            <w:r>
              <w:rPr>
                <w:rFonts w:hint="eastAsia" w:ascii="Times New Roman" w:hAnsi="Times New Roman"/>
                <w:color w:val="000000"/>
                <w:szCs w:val="21"/>
              </w:rPr>
              <w:t>40%</w:t>
            </w:r>
          </w:p>
        </w:tc>
      </w:tr>
    </w:tbl>
    <w:p>
      <w:pPr>
        <w:spacing w:line="360" w:lineRule="auto"/>
        <w:rPr>
          <w:rFonts w:ascii="Times New Roman" w:hAnsi="Times New Roman"/>
          <w:color w:val="000000"/>
          <w:sz w:val="24"/>
        </w:rPr>
      </w:pPr>
    </w:p>
    <w:p>
      <w:pPr>
        <w:spacing w:line="360" w:lineRule="auto"/>
        <w:rPr>
          <w:rFonts w:ascii="Times New Roman" w:hAnsi="Times New Roman"/>
          <w:color w:val="000000"/>
          <w:sz w:val="24"/>
        </w:rPr>
      </w:pPr>
      <w:r>
        <w:rPr>
          <w:rFonts w:ascii="Times New Roman" w:hAnsi="Times New Roman"/>
          <w:color w:val="000000"/>
          <w:sz w:val="24"/>
        </w:rPr>
        <w:t>课程目标达成度计算方法如下：</w:t>
      </w:r>
    </w:p>
    <w:p>
      <w:pPr>
        <w:spacing w:line="360" w:lineRule="auto"/>
        <w:rPr>
          <w:rFonts w:ascii="Times New Roman" w:hAnsi="Times New Roman"/>
          <w:sz w:val="24"/>
        </w:rPr>
      </w:pPr>
      <w:r>
        <w:rPr>
          <w:rFonts w:ascii="Times New Roman" w:hAnsi="Times New Roman"/>
          <w:position w:val="-26"/>
          <w:sz w:val="24"/>
        </w:rPr>
        <w:object>
          <v:shape id="_x0000_i1036" o:spt="75" type="#_x0000_t75" style="height:33pt;width:336.65pt;" o:ole="t" filled="f" o:preferrelative="t" stroked="f" coordsize="21600,21600">
            <v:path/>
            <v:fill on="f" focussize="0,0"/>
            <v:stroke on="f"/>
            <v:imagedata r:id="rId20" o:title=""/>
            <o:lock v:ext="edit" aspectratio="t"/>
            <w10:wrap type="none"/>
            <w10:anchorlock/>
          </v:shape>
          <o:OLEObject Type="Embed" ProgID="Equation.DSMT4" ShapeID="_x0000_i1036" DrawAspect="Content" ObjectID="_1468075744" r:id="rId44">
            <o:LockedField>false</o:LockedField>
          </o:OLEObject>
        </w:object>
      </w:r>
    </w:p>
    <w:p>
      <w:pPr>
        <w:spacing w:line="360" w:lineRule="auto"/>
        <w:ind w:firstLine="562" w:firstLineChars="200"/>
        <w:rPr>
          <w:rFonts w:ascii="Times New Roman" w:hAnsi="Times New Roman"/>
          <w:b/>
          <w:sz w:val="28"/>
          <w:szCs w:val="28"/>
        </w:rPr>
      </w:pPr>
      <w:r>
        <w:rPr>
          <w:rFonts w:hint="eastAsia" w:ascii="Times New Roman" w:hAnsi="Times New Roman"/>
          <w:b/>
          <w:sz w:val="28"/>
          <w:szCs w:val="28"/>
        </w:rPr>
        <w:t>六</w:t>
      </w:r>
      <w:r>
        <w:rPr>
          <w:rFonts w:ascii="Times New Roman" w:hAnsi="Times New Roman"/>
          <w:b/>
          <w:sz w:val="28"/>
          <w:szCs w:val="28"/>
        </w:rPr>
        <w:t>、</w:t>
      </w:r>
      <w:r>
        <w:rPr>
          <w:rFonts w:hint="eastAsia" w:ascii="Times New Roman" w:hAnsi="Times New Roman"/>
          <w:b/>
          <w:sz w:val="28"/>
          <w:szCs w:val="28"/>
        </w:rPr>
        <w:t>有关说明</w:t>
      </w:r>
    </w:p>
    <w:p>
      <w:pPr>
        <w:spacing w:line="360" w:lineRule="auto"/>
        <w:ind w:firstLine="482" w:firstLineChars="200"/>
        <w:rPr>
          <w:rFonts w:ascii="Times New Roman" w:hAnsi="Times New Roman"/>
          <w:b/>
          <w:color w:val="000000"/>
          <w:sz w:val="24"/>
        </w:rPr>
      </w:pPr>
      <w:r>
        <w:rPr>
          <w:rFonts w:hint="eastAsia" w:ascii="Times New Roman" w:hAnsi="Times New Roman"/>
          <w:b/>
          <w:color w:val="000000"/>
          <w:sz w:val="24"/>
        </w:rPr>
        <w:t>（一）持续改进</w:t>
      </w:r>
    </w:p>
    <w:p>
      <w:pPr>
        <w:spacing w:line="360" w:lineRule="auto"/>
        <w:ind w:firstLine="480" w:firstLineChars="200"/>
        <w:rPr>
          <w:kern w:val="0"/>
          <w:sz w:val="24"/>
          <w:szCs w:val="21"/>
        </w:rPr>
      </w:pPr>
      <w:r>
        <w:rPr>
          <w:rFonts w:hint="eastAsia" w:ascii="Times New Roman" w:hAnsi="Times New Roman"/>
          <w:color w:val="000000"/>
          <w:sz w:val="24"/>
        </w:rPr>
        <w:t>本设计课程是多课程的综合，涉及内容广，学生因素复杂，需根据实际状况，因材施教施教，不断分析、总结实践环节中不足之处，适时调整考核标准中部分指标和达成度，完善指导书的具体内容等，并在下一轮实践中改进提高，</w:t>
      </w:r>
      <w:r>
        <w:rPr>
          <w:rFonts w:hint="eastAsia"/>
          <w:kern w:val="0"/>
          <w:sz w:val="24"/>
          <w:szCs w:val="21"/>
        </w:rPr>
        <w:t>确保课程内容与教学方式能有效实现课程目标，使得考核结果能够证明课程目标达成。</w:t>
      </w:r>
    </w:p>
    <w:p>
      <w:pPr>
        <w:spacing w:line="360" w:lineRule="auto"/>
        <w:ind w:firstLine="482" w:firstLineChars="200"/>
        <w:rPr>
          <w:rFonts w:ascii="Times New Roman" w:hAnsi="Times New Roman"/>
          <w:b/>
          <w:color w:val="000000"/>
          <w:sz w:val="24"/>
        </w:rPr>
      </w:pPr>
      <w:r>
        <w:rPr>
          <w:rFonts w:hint="eastAsia" w:ascii="Times New Roman" w:hAnsi="Times New Roman"/>
          <w:b/>
          <w:color w:val="000000"/>
          <w:sz w:val="24"/>
        </w:rPr>
        <w:t>（二）</w:t>
      </w:r>
      <w:r>
        <w:rPr>
          <w:rFonts w:ascii="Times New Roman" w:hAnsi="Times New Roman"/>
          <w:b/>
          <w:color w:val="000000"/>
          <w:sz w:val="24"/>
        </w:rPr>
        <w:t>参考书目及学习资料</w:t>
      </w:r>
    </w:p>
    <w:p>
      <w:pPr>
        <w:spacing w:line="312" w:lineRule="auto"/>
        <w:ind w:firstLine="480" w:firstLineChars="200"/>
        <w:rPr>
          <w:rFonts w:ascii="Times New Roman" w:hAnsi="Times New Roman"/>
          <w:kern w:val="0"/>
          <w:sz w:val="24"/>
          <w:szCs w:val="21"/>
        </w:rPr>
      </w:pPr>
      <w:r>
        <w:rPr>
          <w:rFonts w:hint="eastAsia" w:ascii="Times New Roman" w:hAnsi="Times New Roman"/>
          <w:kern w:val="0"/>
          <w:sz w:val="24"/>
          <w:szCs w:val="21"/>
        </w:rPr>
        <w:t>(1)夏海涛等编，物理化学实验，南京大学出版社，2006</w:t>
      </w:r>
    </w:p>
    <w:p>
      <w:pPr>
        <w:spacing w:line="312" w:lineRule="auto"/>
        <w:ind w:firstLine="480" w:firstLineChars="200"/>
        <w:rPr>
          <w:rFonts w:ascii="Times New Roman" w:hAnsi="Times New Roman"/>
          <w:b/>
          <w:color w:val="000000"/>
          <w:sz w:val="24"/>
        </w:rPr>
      </w:pPr>
      <w:r>
        <w:rPr>
          <w:rFonts w:hint="eastAsia" w:ascii="Times New Roman" w:hAnsi="Times New Roman"/>
          <w:kern w:val="0"/>
          <w:sz w:val="24"/>
          <w:szCs w:val="21"/>
        </w:rPr>
        <w:t>(2)陈小明，蔡继问编，单晶结构分析原理与实践，南京大学出版社，2007</w:t>
      </w:r>
    </w:p>
    <w:p>
      <w:pPr>
        <w:autoSpaceDE w:val="0"/>
        <w:autoSpaceDN w:val="0"/>
        <w:adjustRightInd w:val="0"/>
        <w:spacing w:line="360" w:lineRule="auto"/>
        <w:jc w:val="left"/>
        <w:rPr>
          <w:rFonts w:ascii="Times New Roman" w:hAnsi="Times New Roman"/>
          <w:sz w:val="24"/>
        </w:rPr>
      </w:pPr>
    </w:p>
    <w:p>
      <w:pPr>
        <w:autoSpaceDE w:val="0"/>
        <w:autoSpaceDN w:val="0"/>
        <w:adjustRightInd w:val="0"/>
        <w:spacing w:line="360" w:lineRule="auto"/>
        <w:ind w:right="240" w:firstLine="5640" w:firstLineChars="2350"/>
        <w:jc w:val="right"/>
        <w:rPr>
          <w:rFonts w:ascii="Times New Roman" w:hAnsi="Times New Roman"/>
          <w:kern w:val="0"/>
          <w:sz w:val="24"/>
          <w:szCs w:val="21"/>
        </w:rPr>
      </w:pPr>
      <w:r>
        <w:rPr>
          <w:rFonts w:ascii="Times New Roman" w:hAnsi="Times New Roman"/>
          <w:kern w:val="0"/>
          <w:sz w:val="24"/>
          <w:szCs w:val="21"/>
        </w:rPr>
        <w:t>执笔人：</w:t>
      </w:r>
      <w:r>
        <w:rPr>
          <w:rFonts w:hint="eastAsia" w:ascii="Times New Roman" w:hAnsi="Times New Roman"/>
          <w:kern w:val="0"/>
          <w:sz w:val="24"/>
          <w:szCs w:val="21"/>
        </w:rPr>
        <w:t>许鹏</w:t>
      </w:r>
    </w:p>
    <w:p>
      <w:pPr>
        <w:autoSpaceDE w:val="0"/>
        <w:autoSpaceDN w:val="0"/>
        <w:adjustRightInd w:val="0"/>
        <w:spacing w:line="360" w:lineRule="auto"/>
        <w:ind w:firstLine="5640" w:firstLineChars="2350"/>
        <w:jc w:val="right"/>
        <w:rPr>
          <w:rFonts w:ascii="Times New Roman" w:hAnsi="Times New Roman"/>
          <w:kern w:val="0"/>
          <w:sz w:val="24"/>
          <w:szCs w:val="21"/>
        </w:rPr>
      </w:pPr>
      <w:r>
        <w:rPr>
          <w:rFonts w:ascii="Times New Roman" w:hAnsi="Times New Roman"/>
          <w:kern w:val="0"/>
          <w:sz w:val="24"/>
          <w:szCs w:val="21"/>
        </w:rPr>
        <w:t>审定人：</w:t>
      </w:r>
      <w:r>
        <w:rPr>
          <w:rFonts w:hint="eastAsia" w:ascii="Times New Roman" w:hAnsi="Times New Roman"/>
          <w:kern w:val="0"/>
          <w:sz w:val="24"/>
          <w:szCs w:val="21"/>
        </w:rPr>
        <w:t>魏雪娇</w:t>
      </w:r>
    </w:p>
    <w:p>
      <w:pPr>
        <w:autoSpaceDE w:val="0"/>
        <w:autoSpaceDN w:val="0"/>
        <w:adjustRightInd w:val="0"/>
        <w:spacing w:line="360" w:lineRule="auto"/>
        <w:ind w:firstLine="5640" w:firstLineChars="2350"/>
        <w:jc w:val="right"/>
        <w:rPr>
          <w:rFonts w:ascii="Times New Roman" w:hAnsi="Times New Roman"/>
          <w:kern w:val="0"/>
          <w:sz w:val="24"/>
          <w:szCs w:val="21"/>
        </w:rPr>
      </w:pPr>
      <w:r>
        <w:rPr>
          <w:rFonts w:hint="eastAsia" w:ascii="Times New Roman" w:hAnsi="Times New Roman"/>
          <w:kern w:val="0"/>
          <w:sz w:val="24"/>
          <w:szCs w:val="21"/>
        </w:rPr>
        <w:t>审批</w:t>
      </w:r>
      <w:r>
        <w:rPr>
          <w:rFonts w:ascii="Times New Roman" w:hAnsi="Times New Roman"/>
          <w:kern w:val="0"/>
          <w:sz w:val="24"/>
          <w:szCs w:val="21"/>
        </w:rPr>
        <w:t>人：吴泽颖</w:t>
      </w:r>
    </w:p>
    <w:p>
      <w:pPr>
        <w:autoSpaceDE w:val="0"/>
        <w:autoSpaceDN w:val="0"/>
        <w:adjustRightInd w:val="0"/>
        <w:spacing w:line="360" w:lineRule="auto"/>
        <w:ind w:firstLine="5640" w:firstLineChars="2350"/>
        <w:jc w:val="right"/>
        <w:rPr>
          <w:rFonts w:ascii="Times New Roman" w:hAnsi="Times New Roman"/>
          <w:kern w:val="0"/>
          <w:sz w:val="24"/>
          <w:szCs w:val="21"/>
        </w:rPr>
      </w:pPr>
      <w:r>
        <w:rPr>
          <w:rFonts w:hint="eastAsia" w:ascii="Times New Roman" w:hAnsi="Times New Roman"/>
          <w:kern w:val="0"/>
          <w:sz w:val="24"/>
          <w:szCs w:val="21"/>
        </w:rPr>
        <w:t>2021年</w:t>
      </w:r>
      <w:r>
        <w:rPr>
          <w:rFonts w:hint="eastAsia"/>
          <w:kern w:val="0"/>
          <w:sz w:val="24"/>
          <w:szCs w:val="21"/>
          <w:lang w:val="en-US" w:eastAsia="zh-CN"/>
        </w:rPr>
        <w:t>9</w:t>
      </w:r>
      <w:r>
        <w:rPr>
          <w:rFonts w:hint="eastAsia" w:ascii="Times New Roman" w:hAnsi="Times New Roman"/>
          <w:kern w:val="0"/>
          <w:sz w:val="24"/>
          <w:szCs w:val="21"/>
        </w:rPr>
        <w:t>月1日</w:t>
      </w:r>
    </w:p>
    <w:p>
      <w:pPr>
        <w:rPr>
          <w:rFonts w:ascii="Times New Roman" w:hAnsi="Times New Roman"/>
        </w:rPr>
      </w:pPr>
    </w:p>
    <w:p>
      <w:pPr>
        <w:spacing w:line="400" w:lineRule="exact"/>
        <w:ind w:right="240" w:firstLine="5040" w:firstLineChars="2100"/>
        <w:jc w:val="both"/>
        <w:rPr>
          <w:rFonts w:hint="default"/>
          <w:sz w:val="24"/>
          <w:lang w:val="en-US" w:eastAsia="zh-CN"/>
        </w:rPr>
      </w:pPr>
    </w:p>
    <w:p>
      <w:pPr>
        <w:pStyle w:val="3"/>
        <w:bidi w:val="0"/>
        <w:jc w:val="center"/>
      </w:pPr>
      <w:bookmarkStart w:id="326" w:name="_Toc12267"/>
      <w:bookmarkStart w:id="327" w:name="_Toc25594"/>
      <w:r>
        <w:t>毕业设计（论文）教学大纲</w:t>
      </w:r>
      <w:bookmarkEnd w:id="326"/>
      <w:bookmarkEnd w:id="327"/>
    </w:p>
    <w:p>
      <w:pPr>
        <w:jc w:val="center"/>
        <w:rPr>
          <w:rFonts w:ascii="Times New Roman" w:hAnsi="Times New Roman" w:eastAsia="宋体" w:cs="Times New Roman"/>
          <w:sz w:val="30"/>
          <w:szCs w:val="30"/>
        </w:rPr>
      </w:pPr>
      <w:r>
        <w:rPr>
          <w:rFonts w:ascii="Times New Roman" w:hAnsi="Times New Roman" w:eastAsia="宋体" w:cs="Times New Roman"/>
          <w:sz w:val="30"/>
          <w:szCs w:val="30"/>
        </w:rPr>
        <w:t>（Graduation Project (Thesis)）</w:t>
      </w:r>
    </w:p>
    <w:p>
      <w:pPr>
        <w:spacing w:line="360" w:lineRule="auto"/>
        <w:ind w:firstLine="551" w:firstLineChars="196"/>
        <w:rPr>
          <w:rFonts w:ascii="Times New Roman" w:hAnsi="Times New Roman" w:eastAsia="宋体" w:cs="Times New Roman"/>
          <w:b/>
          <w:sz w:val="28"/>
          <w:szCs w:val="28"/>
        </w:rPr>
      </w:pPr>
      <w:r>
        <w:rPr>
          <w:rFonts w:ascii="Times New Roman" w:hAnsi="Times New Roman" w:eastAsia="宋体" w:cs="Times New Roman"/>
          <w:b/>
          <w:sz w:val="28"/>
          <w:szCs w:val="28"/>
        </w:rPr>
        <w:t>一、课程概况</w:t>
      </w:r>
    </w:p>
    <w:p>
      <w:pPr>
        <w:spacing w:line="360" w:lineRule="auto"/>
        <w:ind w:firstLine="482" w:firstLineChars="200"/>
        <w:rPr>
          <w:rFonts w:ascii="Times New Roman" w:hAnsi="Times New Roman" w:eastAsia="宋体" w:cs="Times New Roman"/>
          <w:b/>
          <w:sz w:val="28"/>
          <w:szCs w:val="28"/>
        </w:rPr>
      </w:pPr>
      <w:bookmarkStart w:id="328" w:name="_Hlk56879571"/>
      <w:r>
        <w:rPr>
          <w:rFonts w:ascii="Times New Roman" w:hAnsi="Times New Roman" w:eastAsia="宋体" w:cs="Times New Roman"/>
          <w:b/>
          <w:bCs/>
          <w:kern w:val="0"/>
          <w:sz w:val="24"/>
        </w:rPr>
        <w:t>课程代码</w:t>
      </w:r>
      <w:r>
        <w:rPr>
          <w:rFonts w:ascii="Times New Roman" w:hAnsi="Times New Roman" w:eastAsia="宋体" w:cs="Times New Roman"/>
          <w:b/>
          <w:kern w:val="0"/>
          <w:sz w:val="24"/>
        </w:rPr>
        <w:t>：2501807</w:t>
      </w:r>
    </w:p>
    <w:p>
      <w:pPr>
        <w:spacing w:line="360" w:lineRule="auto"/>
        <w:ind w:firstLine="482" w:firstLineChars="200"/>
        <w:rPr>
          <w:rFonts w:ascii="Times New Roman" w:hAnsi="Times New Roman" w:eastAsia="宋体" w:cs="Times New Roman"/>
          <w:kern w:val="0"/>
          <w:sz w:val="24"/>
        </w:rPr>
      </w:pPr>
      <w:r>
        <w:rPr>
          <w:rFonts w:ascii="Times New Roman" w:hAnsi="Times New Roman" w:eastAsia="宋体" w:cs="Times New Roman"/>
          <w:b/>
          <w:bCs/>
          <w:kern w:val="0"/>
          <w:sz w:val="24"/>
        </w:rPr>
        <w:t>学    分</w:t>
      </w:r>
      <w:r>
        <w:rPr>
          <w:rFonts w:ascii="Times New Roman" w:hAnsi="Times New Roman" w:eastAsia="宋体" w:cs="Times New Roman"/>
          <w:b/>
          <w:kern w:val="0"/>
          <w:sz w:val="24"/>
        </w:rPr>
        <w:t>：16</w:t>
      </w:r>
    </w:p>
    <w:p>
      <w:pPr>
        <w:spacing w:line="360" w:lineRule="auto"/>
        <w:ind w:firstLine="482" w:firstLineChars="200"/>
        <w:rPr>
          <w:rFonts w:ascii="Times New Roman" w:hAnsi="Times New Roman" w:eastAsia="宋体" w:cs="Times New Roman"/>
          <w:kern w:val="0"/>
          <w:sz w:val="24"/>
        </w:rPr>
      </w:pPr>
      <w:r>
        <w:rPr>
          <w:rFonts w:ascii="Times New Roman" w:hAnsi="Times New Roman" w:eastAsia="宋体" w:cs="Times New Roman"/>
          <w:b/>
          <w:bCs/>
          <w:kern w:val="0"/>
          <w:sz w:val="24"/>
        </w:rPr>
        <w:t>学    时</w:t>
      </w:r>
      <w:r>
        <w:rPr>
          <w:rFonts w:ascii="Times New Roman" w:hAnsi="Times New Roman" w:eastAsia="宋体" w:cs="Times New Roman"/>
          <w:b/>
          <w:kern w:val="0"/>
          <w:sz w:val="24"/>
        </w:rPr>
        <w:t>：16周</w:t>
      </w:r>
    </w:p>
    <w:p>
      <w:pPr>
        <w:spacing w:line="360" w:lineRule="auto"/>
        <w:ind w:firstLine="482" w:firstLineChars="200"/>
        <w:rPr>
          <w:rFonts w:ascii="Times New Roman" w:hAnsi="Times New Roman" w:eastAsia="宋体" w:cs="Times New Roman"/>
          <w:bCs/>
          <w:kern w:val="0"/>
          <w:sz w:val="24"/>
        </w:rPr>
      </w:pPr>
      <w:r>
        <w:rPr>
          <w:rFonts w:ascii="Times New Roman" w:hAnsi="Times New Roman" w:eastAsia="宋体" w:cs="Times New Roman"/>
          <w:b/>
          <w:bCs/>
          <w:kern w:val="0"/>
          <w:sz w:val="24"/>
        </w:rPr>
        <w:t>先修课程</w:t>
      </w:r>
      <w:r>
        <w:rPr>
          <w:rFonts w:ascii="Times New Roman" w:hAnsi="Times New Roman" w:eastAsia="宋体" w:cs="Times New Roman"/>
          <w:b/>
          <w:kern w:val="0"/>
          <w:sz w:val="24"/>
        </w:rPr>
        <w:t>：</w:t>
      </w:r>
      <w:r>
        <w:rPr>
          <w:rFonts w:ascii="Times New Roman" w:hAnsi="Times New Roman" w:eastAsia="宋体" w:cs="Times New Roman"/>
          <w:bCs/>
          <w:kern w:val="0"/>
          <w:sz w:val="24"/>
        </w:rPr>
        <w:t>无机化学，分析化学，有机化学，物理化学，化工原理，化工热力学，化学反应工程等</w:t>
      </w:r>
    </w:p>
    <w:bookmarkEnd w:id="328"/>
    <w:p>
      <w:pPr>
        <w:spacing w:line="360" w:lineRule="auto"/>
        <w:ind w:firstLine="482" w:firstLineChars="200"/>
        <w:rPr>
          <w:rFonts w:ascii="Times New Roman" w:hAnsi="Times New Roman" w:eastAsia="宋体" w:cs="Times New Roman"/>
          <w:kern w:val="0"/>
          <w:sz w:val="24"/>
        </w:rPr>
      </w:pPr>
      <w:r>
        <w:rPr>
          <w:rFonts w:ascii="Times New Roman" w:hAnsi="Times New Roman" w:eastAsia="宋体" w:cs="Times New Roman"/>
          <w:b/>
          <w:bCs/>
          <w:kern w:val="0"/>
          <w:sz w:val="24"/>
        </w:rPr>
        <w:t>适用专业</w:t>
      </w:r>
      <w:r>
        <w:rPr>
          <w:rFonts w:ascii="Times New Roman" w:hAnsi="Times New Roman" w:eastAsia="宋体" w:cs="Times New Roman"/>
          <w:b/>
          <w:kern w:val="0"/>
          <w:sz w:val="24"/>
        </w:rPr>
        <w:t>：</w:t>
      </w:r>
      <w:r>
        <w:rPr>
          <w:rFonts w:ascii="Times New Roman" w:hAnsi="Times New Roman" w:eastAsia="宋体" w:cs="Times New Roman"/>
          <w:sz w:val="24"/>
        </w:rPr>
        <w:t>化学工程与工艺专业、应用化学专业</w:t>
      </w:r>
    </w:p>
    <w:p>
      <w:pPr>
        <w:spacing w:line="360" w:lineRule="auto"/>
        <w:ind w:firstLine="482" w:firstLineChars="200"/>
        <w:rPr>
          <w:rFonts w:ascii="Times New Roman" w:hAnsi="Times New Roman" w:eastAsia="宋体" w:cs="Times New Roman"/>
          <w:kern w:val="0"/>
          <w:sz w:val="24"/>
        </w:rPr>
      </w:pPr>
      <w:r>
        <w:rPr>
          <w:rFonts w:ascii="Times New Roman" w:hAnsi="Times New Roman" w:eastAsia="宋体" w:cs="Times New Roman"/>
          <w:b/>
          <w:bCs/>
          <w:kern w:val="0"/>
          <w:sz w:val="24"/>
        </w:rPr>
        <w:t>教    材：</w:t>
      </w:r>
      <w:r>
        <w:rPr>
          <w:rFonts w:ascii="Times New Roman" w:hAnsi="Times New Roman" w:eastAsia="宋体" w:cs="Times New Roman"/>
          <w:kern w:val="0"/>
          <w:sz w:val="24"/>
        </w:rPr>
        <w:t>无</w:t>
      </w:r>
    </w:p>
    <w:p>
      <w:pPr>
        <w:spacing w:line="360" w:lineRule="auto"/>
        <w:ind w:firstLine="482" w:firstLineChars="200"/>
        <w:rPr>
          <w:rFonts w:ascii="Times New Roman" w:hAnsi="Times New Roman" w:eastAsia="宋体" w:cs="Times New Roman"/>
          <w:kern w:val="0"/>
          <w:sz w:val="24"/>
        </w:rPr>
      </w:pPr>
      <w:r>
        <w:rPr>
          <w:rFonts w:ascii="Times New Roman" w:hAnsi="Times New Roman" w:eastAsia="宋体" w:cs="Times New Roman"/>
          <w:b/>
          <w:bCs/>
          <w:kern w:val="0"/>
          <w:sz w:val="24"/>
        </w:rPr>
        <w:t>课程归口：</w:t>
      </w:r>
      <w:r>
        <w:rPr>
          <w:rFonts w:ascii="Times New Roman" w:hAnsi="Times New Roman" w:eastAsia="宋体" w:cs="Times New Roman"/>
          <w:bCs/>
          <w:kern w:val="0"/>
          <w:sz w:val="24"/>
        </w:rPr>
        <w:t>化工与材料学院</w:t>
      </w:r>
    </w:p>
    <w:p>
      <w:pPr>
        <w:spacing w:line="360" w:lineRule="auto"/>
        <w:ind w:firstLine="482" w:firstLineChars="200"/>
        <w:rPr>
          <w:rFonts w:ascii="Times New Roman" w:hAnsi="Times New Roman" w:eastAsia="宋体" w:cs="Times New Roman"/>
          <w:kern w:val="0"/>
          <w:sz w:val="24"/>
        </w:rPr>
      </w:pPr>
      <w:r>
        <w:rPr>
          <w:rFonts w:ascii="Times New Roman" w:hAnsi="Times New Roman" w:eastAsia="宋体" w:cs="Times New Roman"/>
          <w:b/>
          <w:bCs/>
          <w:kern w:val="0"/>
          <w:sz w:val="24"/>
        </w:rPr>
        <w:t>课程性质与任务：</w:t>
      </w:r>
      <w:r>
        <w:rPr>
          <w:rFonts w:ascii="Times New Roman" w:hAnsi="Times New Roman" w:eastAsia="宋体" w:cs="Times New Roman"/>
          <w:kern w:val="0"/>
          <w:sz w:val="24"/>
        </w:rPr>
        <w:t>毕业设计（论文）是在学生完成教学计划规定的专业基础课及专业课程的基础上，为增强学生的理论知识与实际相结合的能力，培养学生运用所学理论知识分析和解决实际问题的能力而安排的一次重要的实践性教学环节，是化学工程与工艺专业和应用化学专业教学计划的一个重要组成部分。</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kern w:val="0"/>
          <w:sz w:val="24"/>
        </w:rPr>
        <w:t>通过毕业设计（论文）工作，使学生理论联系实际，培养和提高学生观察问题、分析问题和解决问题的能力，为今后从事化学工艺、化学工程、应用化学及相关领域的生产和科研或继续深造打下一定的基础。</w:t>
      </w:r>
    </w:p>
    <w:p>
      <w:pPr>
        <w:spacing w:line="360" w:lineRule="auto"/>
        <w:rPr>
          <w:rFonts w:ascii="Times New Roman" w:hAnsi="Times New Roman" w:eastAsia="宋体" w:cs="Times New Roman"/>
          <w:b/>
          <w:sz w:val="28"/>
          <w:szCs w:val="28"/>
        </w:rPr>
      </w:pPr>
      <w:r>
        <w:rPr>
          <w:rFonts w:ascii="Times New Roman" w:hAnsi="Times New Roman" w:eastAsia="宋体" w:cs="Times New Roman"/>
          <w:b/>
          <w:sz w:val="28"/>
          <w:szCs w:val="28"/>
        </w:rPr>
        <w:t>二、课程目标及对毕业要求观测点的支撑</w:t>
      </w:r>
    </w:p>
    <w:tbl>
      <w:tblPr>
        <w:tblStyle w:val="1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3"/>
        <w:gridCol w:w="2787"/>
        <w:gridCol w:w="2481"/>
        <w:gridCol w:w="3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573" w:type="dxa"/>
            <w:noWrap/>
            <w:vAlign w:val="center"/>
          </w:tcPr>
          <w:p>
            <w:pPr>
              <w:widowControl/>
              <w:jc w:val="center"/>
              <w:rPr>
                <w:rFonts w:ascii="Times New Roman" w:hAnsi="Times New Roman" w:eastAsia="宋体" w:cs="Times New Roman"/>
                <w:b/>
                <w:bCs/>
                <w:kern w:val="0"/>
                <w:szCs w:val="21"/>
              </w:rPr>
            </w:pPr>
            <w:r>
              <w:rPr>
                <w:rFonts w:ascii="Times New Roman" w:hAnsi="Times New Roman" w:eastAsia="宋体" w:cs="Times New Roman"/>
                <w:b/>
                <w:bCs/>
                <w:kern w:val="0"/>
                <w:szCs w:val="21"/>
              </w:rPr>
              <w:t>序号</w:t>
            </w:r>
          </w:p>
        </w:tc>
        <w:tc>
          <w:tcPr>
            <w:tcW w:w="2787" w:type="dxa"/>
            <w:noWrap/>
            <w:vAlign w:val="center"/>
          </w:tcPr>
          <w:p>
            <w:pPr>
              <w:widowControl/>
              <w:jc w:val="center"/>
              <w:rPr>
                <w:rFonts w:ascii="Times New Roman" w:hAnsi="Times New Roman" w:eastAsia="宋体" w:cs="Times New Roman"/>
                <w:b/>
                <w:bCs/>
                <w:kern w:val="0"/>
                <w:szCs w:val="21"/>
              </w:rPr>
            </w:pPr>
            <w:r>
              <w:rPr>
                <w:rFonts w:ascii="Times New Roman" w:hAnsi="Times New Roman" w:eastAsia="宋体" w:cs="Times New Roman"/>
                <w:b/>
                <w:bCs/>
                <w:kern w:val="0"/>
                <w:szCs w:val="21"/>
              </w:rPr>
              <w:t>课程目标</w:t>
            </w:r>
          </w:p>
        </w:tc>
        <w:tc>
          <w:tcPr>
            <w:tcW w:w="2481" w:type="dxa"/>
            <w:noWrap/>
            <w:vAlign w:val="center"/>
          </w:tcPr>
          <w:p>
            <w:pPr>
              <w:widowControl/>
              <w:jc w:val="center"/>
              <w:rPr>
                <w:rFonts w:ascii="Times New Roman" w:hAnsi="Times New Roman" w:eastAsia="宋体" w:cs="Times New Roman"/>
                <w:b/>
                <w:bCs/>
                <w:kern w:val="0"/>
                <w:szCs w:val="21"/>
              </w:rPr>
            </w:pPr>
            <w:r>
              <w:rPr>
                <w:rFonts w:ascii="Times New Roman" w:hAnsi="Times New Roman" w:eastAsia="宋体" w:cs="Times New Roman"/>
                <w:b/>
                <w:bCs/>
                <w:kern w:val="0"/>
                <w:szCs w:val="21"/>
              </w:rPr>
              <w:t>支撑毕业要求指标点</w:t>
            </w:r>
          </w:p>
        </w:tc>
        <w:tc>
          <w:tcPr>
            <w:tcW w:w="3373" w:type="dxa"/>
            <w:noWrap/>
            <w:vAlign w:val="center"/>
          </w:tcPr>
          <w:p>
            <w:pPr>
              <w:widowControl/>
              <w:jc w:val="center"/>
              <w:rPr>
                <w:rFonts w:ascii="Times New Roman" w:hAnsi="Times New Roman" w:eastAsia="宋体" w:cs="Times New Roman"/>
                <w:b/>
                <w:bCs/>
                <w:kern w:val="0"/>
                <w:szCs w:val="21"/>
              </w:rPr>
            </w:pPr>
            <w:r>
              <w:rPr>
                <w:rFonts w:ascii="Times New Roman" w:hAnsi="Times New Roman" w:eastAsia="宋体" w:cs="Times New Roman"/>
                <w:b/>
                <w:bCs/>
                <w:kern w:val="0"/>
                <w:szCs w:val="21"/>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573" w:type="dxa"/>
            <w:noWrap/>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Cs w:val="21"/>
              </w:rPr>
              <w:t>1</w:t>
            </w:r>
          </w:p>
        </w:tc>
        <w:tc>
          <w:tcPr>
            <w:tcW w:w="2787" w:type="dxa"/>
            <w:noWrap/>
            <w:vAlign w:val="center"/>
          </w:tcPr>
          <w:p>
            <w:pPr>
              <w:widowControl/>
              <w:rPr>
                <w:rFonts w:ascii="Times New Roman" w:hAnsi="Times New Roman" w:eastAsia="宋体" w:cs="Times New Roman"/>
                <w:bCs/>
                <w:szCs w:val="21"/>
              </w:rPr>
            </w:pPr>
            <w:r>
              <w:rPr>
                <w:rFonts w:ascii="Times New Roman" w:hAnsi="Times New Roman" w:eastAsia="宋体" w:cs="Times New Roman"/>
                <w:b/>
                <w:bCs/>
                <w:szCs w:val="21"/>
              </w:rPr>
              <w:t>目标1</w:t>
            </w:r>
            <w:r>
              <w:rPr>
                <w:rFonts w:ascii="Times New Roman" w:hAnsi="Times New Roman" w:eastAsia="宋体" w:cs="Times New Roman"/>
                <w:bCs/>
                <w:szCs w:val="21"/>
              </w:rPr>
              <w:t>：通过参加科研工作实践，使学生能够运用所学的基础理论与专业知识解决科研和生产中的实际问题，从而提高学生独立思考和独立工作的能力，为科研工作和生产提供有参考价值的技术资料</w:t>
            </w:r>
          </w:p>
        </w:tc>
        <w:tc>
          <w:tcPr>
            <w:tcW w:w="2481" w:type="dxa"/>
            <w:noWrap/>
            <w:vAlign w:val="center"/>
          </w:tcPr>
          <w:p>
            <w:pPr>
              <w:widowControl/>
              <w:rPr>
                <w:rFonts w:ascii="Times New Roman" w:hAnsi="Times New Roman" w:eastAsia="宋体" w:cs="Times New Roman"/>
                <w:kern w:val="0"/>
                <w:szCs w:val="21"/>
              </w:rPr>
            </w:pPr>
            <w:r>
              <w:rPr>
                <w:rFonts w:ascii="Times New Roman" w:hAnsi="Times New Roman" w:eastAsia="宋体" w:cs="Times New Roman"/>
                <w:b/>
                <w:szCs w:val="21"/>
              </w:rPr>
              <w:t>分解指标点2-3</w:t>
            </w:r>
            <w:r>
              <w:rPr>
                <w:rFonts w:ascii="Times New Roman" w:hAnsi="Times New Roman" w:eastAsia="宋体" w:cs="Times New Roman"/>
                <w:szCs w:val="21"/>
              </w:rPr>
              <w:t>：能够正确表达一个化学工程问题的解决方案。</w:t>
            </w:r>
          </w:p>
        </w:tc>
        <w:tc>
          <w:tcPr>
            <w:tcW w:w="3373" w:type="dxa"/>
            <w:noWrap/>
            <w:vAlign w:val="center"/>
          </w:tcPr>
          <w:p>
            <w:pPr>
              <w:widowControl/>
              <w:rPr>
                <w:rFonts w:ascii="Times New Roman" w:hAnsi="Times New Roman" w:eastAsia="宋体" w:cs="Times New Roman"/>
                <w:kern w:val="0"/>
                <w:szCs w:val="21"/>
              </w:rPr>
            </w:pPr>
            <w:r>
              <w:rPr>
                <w:rFonts w:ascii="Times New Roman" w:hAnsi="Times New Roman" w:eastAsia="宋体" w:cs="Times New Roman"/>
                <w:b/>
                <w:kern w:val="0"/>
                <w:szCs w:val="21"/>
              </w:rPr>
              <w:t>毕业要求</w:t>
            </w:r>
            <w:r>
              <w:rPr>
                <w:rFonts w:ascii="Times New Roman" w:hAnsi="Times New Roman" w:eastAsia="宋体" w:cs="Times New Roman"/>
                <w:b/>
                <w:szCs w:val="21"/>
              </w:rPr>
              <w:t>2问题分析：</w:t>
            </w:r>
            <w:r>
              <w:rPr>
                <w:rFonts w:ascii="Times New Roman" w:hAnsi="Times New Roman" w:eastAsia="宋体" w:cs="Times New Roman"/>
                <w:color w:val="000000"/>
                <w:kern w:val="0"/>
              </w:rPr>
              <w:t>能够应用数学、自然科学和工程科学的基本原理，识别、表达、并通过文献研究分析</w:t>
            </w:r>
            <w:r>
              <w:rPr>
                <w:rFonts w:ascii="Times New Roman" w:hAnsi="Times New Roman" w:eastAsia="宋体" w:cs="Times New Roman"/>
                <w:szCs w:val="21"/>
              </w:rPr>
              <w:t>化学工程与工艺领域</w:t>
            </w:r>
            <w:r>
              <w:rPr>
                <w:rFonts w:ascii="Times New Roman" w:hAnsi="Times New Roman" w:eastAsia="宋体" w:cs="Times New Roman"/>
                <w:color w:val="000000"/>
                <w:kern w:val="0"/>
              </w:rPr>
              <w:t>复杂工程问题，以获得有效结论。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573" w:type="dxa"/>
            <w:noWrap/>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Cs w:val="21"/>
              </w:rPr>
              <w:t>2</w:t>
            </w:r>
          </w:p>
        </w:tc>
        <w:tc>
          <w:tcPr>
            <w:tcW w:w="2787" w:type="dxa"/>
            <w:noWrap/>
            <w:vAlign w:val="center"/>
          </w:tcPr>
          <w:p>
            <w:pPr>
              <w:widowControl/>
              <w:rPr>
                <w:rFonts w:ascii="Times New Roman" w:hAnsi="Times New Roman" w:eastAsia="宋体" w:cs="Times New Roman"/>
                <w:kern w:val="0"/>
                <w:szCs w:val="21"/>
              </w:rPr>
            </w:pPr>
            <w:r>
              <w:rPr>
                <w:rFonts w:ascii="Times New Roman" w:hAnsi="Times New Roman" w:eastAsia="宋体" w:cs="Times New Roman"/>
                <w:b/>
                <w:bCs/>
                <w:szCs w:val="21"/>
              </w:rPr>
              <w:t>目标2</w:t>
            </w:r>
            <w:r>
              <w:rPr>
                <w:rFonts w:ascii="Times New Roman" w:hAnsi="Times New Roman" w:eastAsia="宋体" w:cs="Times New Roman"/>
                <w:bCs/>
                <w:szCs w:val="21"/>
              </w:rPr>
              <w:t>：能根据与本专业有关的相关文献或工程设计技术规范，正确撰写毕业论文或编写设计说明书，掌握必要的化工工艺制图的基础知识。</w:t>
            </w:r>
          </w:p>
        </w:tc>
        <w:tc>
          <w:tcPr>
            <w:tcW w:w="2481" w:type="dxa"/>
            <w:noWrap/>
            <w:vAlign w:val="center"/>
          </w:tcPr>
          <w:p>
            <w:pPr>
              <w:widowControl/>
              <w:rPr>
                <w:rFonts w:ascii="Times New Roman" w:hAnsi="Times New Roman" w:eastAsia="宋体" w:cs="Times New Roman"/>
                <w:kern w:val="0"/>
                <w:szCs w:val="21"/>
              </w:rPr>
            </w:pPr>
            <w:r>
              <w:rPr>
                <w:rFonts w:ascii="Times New Roman" w:hAnsi="Times New Roman" w:eastAsia="宋体" w:cs="Times New Roman"/>
                <w:b/>
                <w:szCs w:val="21"/>
              </w:rPr>
              <w:t>分解指标点3-4</w:t>
            </w:r>
            <w:r>
              <w:rPr>
                <w:rFonts w:ascii="Times New Roman" w:hAnsi="Times New Roman" w:eastAsia="宋体" w:cs="Times New Roman"/>
                <w:szCs w:val="21"/>
              </w:rPr>
              <w:t>：能够用图纸、设计说明书等形式呈现设计结果。</w:t>
            </w:r>
          </w:p>
        </w:tc>
        <w:tc>
          <w:tcPr>
            <w:tcW w:w="3373" w:type="dxa"/>
            <w:noWrap/>
            <w:vAlign w:val="center"/>
          </w:tcPr>
          <w:p>
            <w:pPr>
              <w:widowControl/>
              <w:rPr>
                <w:rFonts w:ascii="Times New Roman" w:hAnsi="Times New Roman" w:eastAsia="宋体" w:cs="Times New Roman"/>
                <w:kern w:val="0"/>
                <w:szCs w:val="21"/>
              </w:rPr>
            </w:pPr>
            <w:r>
              <w:rPr>
                <w:rFonts w:ascii="Times New Roman" w:hAnsi="Times New Roman" w:eastAsia="宋体" w:cs="Times New Roman"/>
                <w:b/>
                <w:kern w:val="0"/>
                <w:szCs w:val="21"/>
              </w:rPr>
              <w:t>毕业要求</w:t>
            </w:r>
            <w:r>
              <w:rPr>
                <w:rFonts w:ascii="Times New Roman" w:hAnsi="Times New Roman" w:eastAsia="宋体" w:cs="Times New Roman"/>
                <w:b/>
                <w:bCs/>
                <w:kern w:val="0"/>
                <w:szCs w:val="21"/>
              </w:rPr>
              <w:t>3设计/开发解决方案</w:t>
            </w:r>
            <w:r>
              <w:rPr>
                <w:rFonts w:ascii="Times New Roman" w:hAnsi="Times New Roman" w:eastAsia="宋体" w:cs="Times New Roman"/>
                <w:b/>
                <w:kern w:val="0"/>
                <w:szCs w:val="21"/>
              </w:rPr>
              <w:t>：</w:t>
            </w:r>
            <w:r>
              <w:rPr>
                <w:rFonts w:ascii="Times New Roman" w:hAnsi="Times New Roman" w:eastAsia="宋体" w:cs="Times New Roman"/>
                <w:color w:val="000000"/>
              </w:rPr>
              <w:t>能够设计针对</w:t>
            </w:r>
            <w:r>
              <w:rPr>
                <w:rFonts w:ascii="Times New Roman" w:hAnsi="Times New Roman" w:eastAsia="宋体" w:cs="Times New Roman"/>
                <w:szCs w:val="21"/>
              </w:rPr>
              <w:t>化学工程与工艺领域</w:t>
            </w:r>
            <w:r>
              <w:rPr>
                <w:rFonts w:ascii="Times New Roman" w:hAnsi="Times New Roman" w:eastAsia="宋体" w:cs="Times New Roman"/>
                <w:color w:val="000000"/>
              </w:rPr>
              <w:t>复杂工程问题的解决方案，设计满足特定需求的系统、单元（部件）或工艺流程，并能够在设计环节中体现创新意识，考虑社会、健康、安全、法律、文化以及环境等因素。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573" w:type="dxa"/>
            <w:noWrap/>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Cs w:val="21"/>
              </w:rPr>
              <w:t>3</w:t>
            </w:r>
          </w:p>
        </w:tc>
        <w:tc>
          <w:tcPr>
            <w:tcW w:w="2787" w:type="dxa"/>
            <w:noWrap/>
            <w:vAlign w:val="center"/>
          </w:tcPr>
          <w:p>
            <w:pPr>
              <w:widowControl/>
              <w:rPr>
                <w:rFonts w:ascii="Times New Roman" w:hAnsi="Times New Roman" w:eastAsia="宋体" w:cs="Times New Roman"/>
                <w:kern w:val="0"/>
                <w:szCs w:val="21"/>
              </w:rPr>
            </w:pPr>
            <w:r>
              <w:rPr>
                <w:rFonts w:ascii="Times New Roman" w:hAnsi="Times New Roman" w:eastAsia="宋体" w:cs="Times New Roman"/>
                <w:b/>
                <w:bCs/>
                <w:szCs w:val="21"/>
              </w:rPr>
              <w:t>目标3</w:t>
            </w:r>
            <w:r>
              <w:rPr>
                <w:rFonts w:ascii="Times New Roman" w:hAnsi="Times New Roman" w:eastAsia="宋体" w:cs="Times New Roman"/>
                <w:bCs/>
                <w:szCs w:val="21"/>
              </w:rPr>
              <w:t>：学习新技术，提高学生操作技能水平，并增强查阅文献和使用工具书的能力，同时了解与本专题有关的国内外科学技术发展水平。</w:t>
            </w:r>
          </w:p>
        </w:tc>
        <w:tc>
          <w:tcPr>
            <w:tcW w:w="2481" w:type="dxa"/>
            <w:noWrap/>
            <w:vAlign w:val="center"/>
          </w:tcPr>
          <w:p>
            <w:pPr>
              <w:widowControl/>
              <w:rPr>
                <w:rFonts w:ascii="Times New Roman" w:hAnsi="Times New Roman" w:eastAsia="宋体" w:cs="Times New Roman"/>
                <w:szCs w:val="21"/>
              </w:rPr>
            </w:pPr>
            <w:r>
              <w:rPr>
                <w:rFonts w:ascii="Times New Roman" w:hAnsi="Times New Roman" w:eastAsia="宋体" w:cs="Times New Roman"/>
                <w:b/>
                <w:szCs w:val="21"/>
              </w:rPr>
              <w:t>分解指标点5-2</w:t>
            </w:r>
            <w:r>
              <w:rPr>
                <w:rFonts w:ascii="Times New Roman" w:hAnsi="Times New Roman" w:eastAsia="宋体" w:cs="Times New Roman"/>
                <w:szCs w:val="21"/>
              </w:rPr>
              <w:t>：能够针对化工产品开发、化工单元设计、化工过程设计等复杂化工问题，选用合适的现代仪器、信息技术工具、工程工具和模拟软件，进行分析、计算与设计.</w:t>
            </w:r>
          </w:p>
        </w:tc>
        <w:tc>
          <w:tcPr>
            <w:tcW w:w="3373" w:type="dxa"/>
            <w:noWrap/>
            <w:vAlign w:val="center"/>
          </w:tcPr>
          <w:p>
            <w:pPr>
              <w:widowControl/>
              <w:rPr>
                <w:rFonts w:ascii="Times New Roman" w:hAnsi="Times New Roman" w:eastAsia="宋体" w:cs="Times New Roman"/>
                <w:kern w:val="0"/>
                <w:szCs w:val="21"/>
              </w:rPr>
            </w:pPr>
            <w:r>
              <w:rPr>
                <w:rFonts w:ascii="Times New Roman" w:hAnsi="Times New Roman" w:eastAsia="宋体" w:cs="Times New Roman"/>
                <w:b/>
                <w:kern w:val="0"/>
                <w:szCs w:val="21"/>
              </w:rPr>
              <w:t>毕业要求</w:t>
            </w:r>
            <w:r>
              <w:rPr>
                <w:rFonts w:ascii="Times New Roman" w:hAnsi="Times New Roman" w:eastAsia="宋体" w:cs="Times New Roman"/>
                <w:b/>
                <w:bCs/>
                <w:kern w:val="0"/>
                <w:szCs w:val="21"/>
              </w:rPr>
              <w:t>5使用现代工具</w:t>
            </w:r>
            <w:r>
              <w:rPr>
                <w:rFonts w:ascii="Times New Roman" w:hAnsi="Times New Roman" w:eastAsia="宋体" w:cs="Times New Roman"/>
                <w:b/>
                <w:kern w:val="0"/>
                <w:szCs w:val="21"/>
              </w:rPr>
              <w:t>：</w:t>
            </w:r>
            <w:r>
              <w:rPr>
                <w:rFonts w:ascii="Times New Roman" w:hAnsi="Times New Roman" w:eastAsia="宋体" w:cs="Times New Roman"/>
                <w:color w:val="000000"/>
              </w:rPr>
              <w:t>能够针对</w:t>
            </w:r>
            <w:r>
              <w:rPr>
                <w:rFonts w:ascii="Times New Roman" w:hAnsi="Times New Roman" w:eastAsia="宋体" w:cs="Times New Roman"/>
                <w:szCs w:val="21"/>
              </w:rPr>
              <w:t>化学工程与工艺领域</w:t>
            </w:r>
            <w:r>
              <w:rPr>
                <w:rFonts w:ascii="Times New Roman" w:hAnsi="Times New Roman" w:eastAsia="宋体" w:cs="Times New Roman"/>
                <w:color w:val="000000"/>
                <w:szCs w:val="21"/>
              </w:rPr>
              <w:t>复杂工</w:t>
            </w:r>
            <w:r>
              <w:rPr>
                <w:rFonts w:ascii="Times New Roman" w:hAnsi="Times New Roman" w:eastAsia="宋体" w:cs="Times New Roman"/>
                <w:color w:val="000000"/>
              </w:rPr>
              <w:t>程问题，开发、选择与使用恰当的技术、资源、现代工程工具和信息技术工具，包括对复杂工程问题的预测与模拟，并能够理解其局限性.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573" w:type="dxa"/>
            <w:noWrap/>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Cs w:val="21"/>
              </w:rPr>
              <w:t>4</w:t>
            </w:r>
          </w:p>
        </w:tc>
        <w:tc>
          <w:tcPr>
            <w:tcW w:w="2787" w:type="dxa"/>
            <w:noWrap/>
            <w:vAlign w:val="center"/>
          </w:tcPr>
          <w:p>
            <w:pPr>
              <w:widowControl/>
              <w:rPr>
                <w:rFonts w:ascii="Times New Roman" w:hAnsi="Times New Roman" w:eastAsia="宋体" w:cs="Times New Roman"/>
                <w:kern w:val="0"/>
                <w:szCs w:val="21"/>
              </w:rPr>
            </w:pPr>
            <w:r>
              <w:rPr>
                <w:rFonts w:ascii="Times New Roman" w:hAnsi="Times New Roman" w:eastAsia="宋体" w:cs="Times New Roman"/>
                <w:b/>
                <w:bCs/>
                <w:szCs w:val="21"/>
              </w:rPr>
              <w:t>目标4</w:t>
            </w:r>
            <w:r>
              <w:rPr>
                <w:rFonts w:ascii="Times New Roman" w:hAnsi="Times New Roman" w:eastAsia="宋体" w:cs="Times New Roman"/>
                <w:bCs/>
                <w:szCs w:val="21"/>
              </w:rPr>
              <w:t>：树立学生的大局意识，培养</w:t>
            </w:r>
            <w:r>
              <w:rPr>
                <w:rFonts w:ascii="Times New Roman" w:hAnsi="Times New Roman" w:eastAsia="宋体" w:cs="Times New Roman"/>
                <w:kern w:val="0"/>
                <w:szCs w:val="21"/>
              </w:rPr>
              <w:t>学生运用辩证唯物主义的方法论要求客观评价化工领域对社会的作用和影响。</w:t>
            </w:r>
          </w:p>
        </w:tc>
        <w:tc>
          <w:tcPr>
            <w:tcW w:w="2481" w:type="dxa"/>
            <w:noWrap/>
            <w:vAlign w:val="center"/>
          </w:tcPr>
          <w:p>
            <w:pPr>
              <w:widowControl/>
              <w:rPr>
                <w:rFonts w:ascii="Times New Roman" w:hAnsi="Times New Roman" w:eastAsia="宋体" w:cs="Times New Roman"/>
                <w:kern w:val="0"/>
                <w:szCs w:val="21"/>
              </w:rPr>
            </w:pPr>
            <w:r>
              <w:rPr>
                <w:rFonts w:ascii="Times New Roman" w:hAnsi="Times New Roman" w:eastAsia="宋体" w:cs="Times New Roman"/>
                <w:b/>
                <w:szCs w:val="21"/>
              </w:rPr>
              <w:t>分解指标点6-4</w:t>
            </w:r>
            <w:r>
              <w:rPr>
                <w:rFonts w:ascii="Times New Roman" w:hAnsi="Times New Roman" w:eastAsia="宋体" w:cs="Times New Roman"/>
                <w:szCs w:val="21"/>
              </w:rPr>
              <w:t>：能够客观评价化工生产对社会、健康、安全、法律以及文化的影响。</w:t>
            </w:r>
          </w:p>
        </w:tc>
        <w:tc>
          <w:tcPr>
            <w:tcW w:w="3373" w:type="dxa"/>
            <w:noWrap/>
            <w:vAlign w:val="center"/>
          </w:tcPr>
          <w:p>
            <w:pPr>
              <w:widowControl/>
              <w:rPr>
                <w:rFonts w:ascii="Times New Roman" w:hAnsi="Times New Roman" w:eastAsia="宋体" w:cs="Times New Roman"/>
                <w:kern w:val="0"/>
                <w:szCs w:val="21"/>
              </w:rPr>
            </w:pPr>
            <w:r>
              <w:rPr>
                <w:rFonts w:ascii="Times New Roman" w:hAnsi="Times New Roman" w:eastAsia="宋体" w:cs="Times New Roman"/>
                <w:b/>
                <w:kern w:val="0"/>
                <w:szCs w:val="21"/>
              </w:rPr>
              <w:t>毕业要求</w:t>
            </w:r>
            <w:r>
              <w:rPr>
                <w:rFonts w:ascii="Times New Roman" w:hAnsi="Times New Roman" w:eastAsia="宋体" w:cs="Times New Roman"/>
                <w:b/>
                <w:bCs/>
                <w:kern w:val="0"/>
                <w:szCs w:val="21"/>
              </w:rPr>
              <w:t>6工程与社会</w:t>
            </w:r>
            <w:r>
              <w:rPr>
                <w:rFonts w:ascii="Times New Roman" w:hAnsi="Times New Roman" w:eastAsia="宋体" w:cs="Times New Roman"/>
                <w:b/>
                <w:kern w:val="0"/>
                <w:szCs w:val="21"/>
              </w:rPr>
              <w:t>：</w:t>
            </w:r>
            <w:r>
              <w:rPr>
                <w:rFonts w:ascii="Times New Roman" w:hAnsi="Times New Roman" w:eastAsia="宋体" w:cs="Times New Roman"/>
                <w:color w:val="000000"/>
              </w:rPr>
              <w:t>能够基于</w:t>
            </w:r>
            <w:r>
              <w:rPr>
                <w:rFonts w:ascii="Times New Roman" w:hAnsi="Times New Roman" w:eastAsia="宋体" w:cs="Times New Roman"/>
                <w:szCs w:val="21"/>
              </w:rPr>
              <w:t>化学工程与工艺领域</w:t>
            </w:r>
            <w:r>
              <w:rPr>
                <w:rFonts w:ascii="Times New Roman" w:hAnsi="Times New Roman" w:eastAsia="宋体" w:cs="Times New Roman"/>
                <w:color w:val="000000"/>
              </w:rPr>
              <w:t>工程相关背景知识进行合理分析，评价专业工程实践和复杂工程问题解决方案对社会、健康、安全、法律以及文化的影响，并理解应承担的责任。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573" w:type="dxa"/>
            <w:noWrap/>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Cs w:val="21"/>
              </w:rPr>
              <w:t>5</w:t>
            </w:r>
          </w:p>
        </w:tc>
        <w:tc>
          <w:tcPr>
            <w:tcW w:w="2787" w:type="dxa"/>
            <w:noWrap/>
            <w:vAlign w:val="center"/>
          </w:tcPr>
          <w:p>
            <w:pPr>
              <w:widowControl/>
              <w:rPr>
                <w:rFonts w:ascii="Times New Roman" w:hAnsi="Times New Roman" w:eastAsia="宋体" w:cs="Times New Roman"/>
                <w:b/>
                <w:bCs/>
                <w:szCs w:val="21"/>
              </w:rPr>
            </w:pPr>
            <w:r>
              <w:rPr>
                <w:rFonts w:ascii="Times New Roman" w:hAnsi="Times New Roman" w:eastAsia="宋体" w:cs="Times New Roman"/>
                <w:b/>
                <w:bCs/>
                <w:szCs w:val="21"/>
              </w:rPr>
              <w:t>目标5：</w:t>
            </w:r>
            <w:r>
              <w:rPr>
                <w:rFonts w:ascii="Times New Roman" w:hAnsi="Times New Roman" w:eastAsia="宋体" w:cs="Times New Roman"/>
                <w:szCs w:val="21"/>
              </w:rPr>
              <w:t>根据绿色化学理念，教育和引导学生在今后从事本专业学习、科研和工作中应时刻把环保要求放在首位，将“绿水青山就是金山银山”的理念根植学生心中。</w:t>
            </w:r>
          </w:p>
        </w:tc>
        <w:tc>
          <w:tcPr>
            <w:tcW w:w="2481" w:type="dxa"/>
            <w:noWrap/>
            <w:vAlign w:val="center"/>
          </w:tcPr>
          <w:p>
            <w:pPr>
              <w:widowControl/>
              <w:rPr>
                <w:rFonts w:ascii="Times New Roman" w:hAnsi="Times New Roman" w:eastAsia="宋体" w:cs="Times New Roman"/>
                <w:b/>
                <w:szCs w:val="21"/>
              </w:rPr>
            </w:pPr>
            <w:r>
              <w:rPr>
                <w:rFonts w:ascii="Times New Roman" w:hAnsi="Times New Roman" w:eastAsia="宋体" w:cs="Times New Roman"/>
                <w:b/>
                <w:szCs w:val="21"/>
              </w:rPr>
              <w:t>分解指标点7-3</w:t>
            </w:r>
            <w:r>
              <w:rPr>
                <w:rFonts w:ascii="Times New Roman" w:hAnsi="Times New Roman" w:eastAsia="宋体" w:cs="Times New Roman"/>
                <w:szCs w:val="21"/>
              </w:rPr>
              <w:t>：能够针对实际化工项目，评价其资源利用效率、污染物处置方案和安全防范措施，判断产品周期中可能对人类和环境造成损害的隐患。</w:t>
            </w:r>
          </w:p>
        </w:tc>
        <w:tc>
          <w:tcPr>
            <w:tcW w:w="3373" w:type="dxa"/>
            <w:noWrap/>
            <w:vAlign w:val="center"/>
          </w:tcPr>
          <w:p>
            <w:pPr>
              <w:widowControl/>
              <w:rPr>
                <w:rFonts w:ascii="Times New Roman" w:hAnsi="Times New Roman" w:eastAsia="宋体" w:cs="Times New Roman"/>
                <w:b/>
                <w:kern w:val="0"/>
                <w:szCs w:val="21"/>
              </w:rPr>
            </w:pPr>
            <w:r>
              <w:rPr>
                <w:rFonts w:ascii="Times New Roman" w:hAnsi="Times New Roman" w:eastAsia="宋体" w:cs="Times New Roman"/>
                <w:b/>
                <w:bCs/>
                <w:color w:val="000000"/>
                <w:kern w:val="0"/>
              </w:rPr>
              <w:t>毕业要求7环境和可持续发展：</w:t>
            </w:r>
            <w:r>
              <w:rPr>
                <w:rFonts w:ascii="Times New Roman" w:hAnsi="Times New Roman" w:eastAsia="宋体" w:cs="Times New Roman"/>
                <w:color w:val="000000"/>
                <w:kern w:val="0"/>
              </w:rPr>
              <w:t>能够理解和评价针对</w:t>
            </w:r>
            <w:r>
              <w:rPr>
                <w:rFonts w:ascii="Times New Roman" w:hAnsi="Times New Roman" w:eastAsia="宋体" w:cs="Times New Roman"/>
                <w:szCs w:val="21"/>
              </w:rPr>
              <w:t>化学工程与工艺领域</w:t>
            </w:r>
            <w:r>
              <w:rPr>
                <w:rFonts w:ascii="Times New Roman" w:hAnsi="Times New Roman" w:eastAsia="宋体" w:cs="Times New Roman"/>
                <w:color w:val="000000"/>
                <w:kern w:val="0"/>
              </w:rPr>
              <w:t>复杂工程问题的工程实践对环境、社会可持续发展的影响。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573" w:type="dxa"/>
            <w:noWrap/>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Cs w:val="21"/>
              </w:rPr>
              <w:t>6</w:t>
            </w:r>
          </w:p>
        </w:tc>
        <w:tc>
          <w:tcPr>
            <w:tcW w:w="2787" w:type="dxa"/>
            <w:noWrap/>
            <w:vAlign w:val="center"/>
          </w:tcPr>
          <w:p>
            <w:pPr>
              <w:widowControl/>
              <w:rPr>
                <w:rFonts w:ascii="Times New Roman" w:hAnsi="Times New Roman" w:eastAsia="宋体" w:cs="Times New Roman"/>
                <w:b/>
                <w:bCs/>
                <w:szCs w:val="21"/>
              </w:rPr>
            </w:pPr>
            <w:r>
              <w:rPr>
                <w:rFonts w:ascii="Times New Roman" w:hAnsi="Times New Roman" w:eastAsia="宋体" w:cs="Times New Roman"/>
                <w:b/>
                <w:bCs/>
                <w:szCs w:val="21"/>
              </w:rPr>
              <w:t>目标6：</w:t>
            </w:r>
            <w:r>
              <w:rPr>
                <w:rFonts w:ascii="Times New Roman" w:hAnsi="Times New Roman" w:eastAsia="宋体" w:cs="Times New Roman"/>
                <w:szCs w:val="21"/>
              </w:rPr>
              <w:t>能以口头和书面方式就毕业设计（论文）的主要工作和主要结果做有效的表述，并能与专业人员进行有效沟通和交流。</w:t>
            </w:r>
          </w:p>
        </w:tc>
        <w:tc>
          <w:tcPr>
            <w:tcW w:w="2481" w:type="dxa"/>
            <w:noWrap/>
            <w:vAlign w:val="center"/>
          </w:tcPr>
          <w:p>
            <w:pPr>
              <w:widowControl/>
              <w:rPr>
                <w:rFonts w:ascii="Times New Roman" w:hAnsi="Times New Roman" w:eastAsia="宋体" w:cs="Times New Roman"/>
                <w:b/>
                <w:szCs w:val="21"/>
              </w:rPr>
            </w:pPr>
            <w:r>
              <w:rPr>
                <w:rFonts w:ascii="Times New Roman" w:hAnsi="Times New Roman" w:eastAsia="宋体" w:cs="Times New Roman"/>
                <w:b/>
                <w:szCs w:val="21"/>
              </w:rPr>
              <w:t>分解指标点10-2</w:t>
            </w:r>
            <w:r>
              <w:rPr>
                <w:rFonts w:ascii="Times New Roman" w:hAnsi="Times New Roman" w:eastAsia="宋体" w:cs="Times New Roman"/>
                <w:szCs w:val="21"/>
              </w:rPr>
              <w:t>：能规范撰写化工方面的报告和设计文稿。</w:t>
            </w:r>
          </w:p>
        </w:tc>
        <w:tc>
          <w:tcPr>
            <w:tcW w:w="3373" w:type="dxa"/>
            <w:noWrap/>
            <w:vAlign w:val="center"/>
          </w:tcPr>
          <w:p>
            <w:pPr>
              <w:widowControl/>
              <w:rPr>
                <w:rFonts w:ascii="Times New Roman" w:hAnsi="Times New Roman" w:eastAsia="宋体" w:cs="Times New Roman"/>
                <w:b/>
                <w:kern w:val="0"/>
                <w:szCs w:val="21"/>
              </w:rPr>
            </w:pPr>
            <w:r>
              <w:rPr>
                <w:rFonts w:ascii="Times New Roman" w:hAnsi="Times New Roman" w:eastAsia="宋体" w:cs="Times New Roman"/>
                <w:b/>
                <w:bCs/>
                <w:color w:val="000000"/>
                <w:kern w:val="0"/>
              </w:rPr>
              <w:t>毕业要求10沟通：</w:t>
            </w:r>
            <w:r>
              <w:rPr>
                <w:rFonts w:ascii="Times New Roman" w:hAnsi="Times New Roman" w:eastAsia="宋体" w:cs="Times New Roman"/>
                <w:color w:val="000000"/>
                <w:kern w:val="0"/>
              </w:rPr>
              <w:t>能够就</w:t>
            </w:r>
            <w:r>
              <w:rPr>
                <w:rFonts w:ascii="Times New Roman" w:hAnsi="Times New Roman" w:eastAsia="宋体" w:cs="Times New Roman"/>
                <w:szCs w:val="21"/>
              </w:rPr>
              <w:t>化学工程与工艺领域</w:t>
            </w:r>
            <w:r>
              <w:rPr>
                <w:rFonts w:ascii="Times New Roman" w:hAnsi="Times New Roman" w:eastAsia="宋体" w:cs="Times New Roman"/>
                <w:color w:val="000000"/>
                <w:kern w:val="0"/>
              </w:rPr>
              <w:t>复杂工程问题与业界同行及社会公众进行有效沟通和交流，包括撰写报告和设计文稿、陈述发言、清晰表达或回应指令。并具备一定的国际视野，能够在跨文化背景下进行沟通和交流。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573" w:type="dxa"/>
            <w:noWrap/>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Cs w:val="21"/>
              </w:rPr>
              <w:t>7</w:t>
            </w:r>
          </w:p>
        </w:tc>
        <w:tc>
          <w:tcPr>
            <w:tcW w:w="2787" w:type="dxa"/>
            <w:noWrap/>
            <w:vAlign w:val="center"/>
          </w:tcPr>
          <w:p>
            <w:pPr>
              <w:widowControl/>
              <w:rPr>
                <w:rFonts w:ascii="Times New Roman" w:hAnsi="Times New Roman" w:eastAsia="宋体" w:cs="Times New Roman"/>
                <w:b/>
                <w:bCs/>
                <w:szCs w:val="21"/>
              </w:rPr>
            </w:pPr>
            <w:r>
              <w:rPr>
                <w:rFonts w:ascii="Times New Roman" w:hAnsi="Times New Roman" w:eastAsia="宋体" w:cs="Times New Roman"/>
                <w:b/>
                <w:bCs/>
                <w:szCs w:val="21"/>
              </w:rPr>
              <w:t>目标7：</w:t>
            </w:r>
            <w:r>
              <w:rPr>
                <w:rFonts w:ascii="Times New Roman" w:hAnsi="Times New Roman" w:eastAsia="宋体" w:cs="Times New Roman"/>
                <w:szCs w:val="21"/>
              </w:rPr>
              <w:t>使学生熟悉科研工作的一般过程、掌握科研工作方法，生产观点和经济观点，树立实事求是的设计思想和严肃认真的工作作风。</w:t>
            </w:r>
          </w:p>
        </w:tc>
        <w:tc>
          <w:tcPr>
            <w:tcW w:w="2481" w:type="dxa"/>
            <w:noWrap/>
            <w:vAlign w:val="center"/>
          </w:tcPr>
          <w:p>
            <w:pPr>
              <w:widowControl/>
              <w:rPr>
                <w:rFonts w:ascii="Times New Roman" w:hAnsi="Times New Roman" w:eastAsia="宋体" w:cs="Times New Roman"/>
                <w:b/>
                <w:szCs w:val="21"/>
              </w:rPr>
            </w:pPr>
            <w:r>
              <w:rPr>
                <w:rFonts w:ascii="Times New Roman" w:hAnsi="Times New Roman" w:eastAsia="宋体" w:cs="Times New Roman"/>
                <w:b/>
                <w:szCs w:val="21"/>
              </w:rPr>
              <w:t>分解指标点11-2</w:t>
            </w:r>
            <w:r>
              <w:rPr>
                <w:rFonts w:ascii="Times New Roman" w:hAnsi="Times New Roman" w:eastAsia="宋体" w:cs="Times New Roman"/>
                <w:szCs w:val="21"/>
              </w:rPr>
              <w:t>：在化学工程问题分析中运用工程管理与经济决策方法。</w:t>
            </w:r>
          </w:p>
        </w:tc>
        <w:tc>
          <w:tcPr>
            <w:tcW w:w="3373" w:type="dxa"/>
            <w:noWrap/>
            <w:vAlign w:val="center"/>
          </w:tcPr>
          <w:p>
            <w:pPr>
              <w:widowControl/>
              <w:rPr>
                <w:rFonts w:ascii="Times New Roman" w:hAnsi="Times New Roman" w:eastAsia="宋体" w:cs="Times New Roman"/>
                <w:b/>
                <w:kern w:val="0"/>
                <w:szCs w:val="21"/>
              </w:rPr>
            </w:pPr>
            <w:r>
              <w:rPr>
                <w:rFonts w:ascii="Times New Roman" w:hAnsi="Times New Roman" w:eastAsia="宋体" w:cs="Times New Roman"/>
                <w:b/>
                <w:bCs/>
                <w:color w:val="000000"/>
                <w:kern w:val="0"/>
              </w:rPr>
              <w:t>毕业要求11项目管理：</w:t>
            </w:r>
            <w:r>
              <w:rPr>
                <w:rFonts w:ascii="Times New Roman" w:hAnsi="Times New Roman" w:eastAsia="宋体" w:cs="Times New Roman"/>
                <w:color w:val="000000"/>
                <w:kern w:val="0"/>
              </w:rPr>
              <w:t>理解并掌握</w:t>
            </w:r>
            <w:r>
              <w:rPr>
                <w:rFonts w:ascii="Times New Roman" w:hAnsi="Times New Roman" w:eastAsia="宋体" w:cs="Times New Roman"/>
                <w:szCs w:val="21"/>
              </w:rPr>
              <w:t>化学工程与工艺领域</w:t>
            </w:r>
            <w:r>
              <w:rPr>
                <w:rFonts w:ascii="Times New Roman" w:hAnsi="Times New Roman" w:eastAsia="宋体" w:cs="Times New Roman"/>
                <w:color w:val="000000"/>
                <w:kern w:val="0"/>
              </w:rPr>
              <w:t>工程管理原理与经济决策方法，并能在多学科环境中应用。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573" w:type="dxa"/>
            <w:noWrap/>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Cs w:val="21"/>
              </w:rPr>
              <w:t>8</w:t>
            </w:r>
          </w:p>
        </w:tc>
        <w:tc>
          <w:tcPr>
            <w:tcW w:w="2787" w:type="dxa"/>
            <w:noWrap/>
            <w:vAlign w:val="center"/>
          </w:tcPr>
          <w:p>
            <w:pPr>
              <w:widowControl/>
              <w:rPr>
                <w:rFonts w:ascii="Times New Roman" w:hAnsi="Times New Roman" w:eastAsia="宋体" w:cs="Times New Roman"/>
                <w:b/>
                <w:bCs/>
                <w:szCs w:val="21"/>
              </w:rPr>
            </w:pPr>
            <w:r>
              <w:rPr>
                <w:rFonts w:ascii="Times New Roman" w:hAnsi="Times New Roman" w:eastAsia="宋体" w:cs="Times New Roman"/>
                <w:b/>
                <w:szCs w:val="21"/>
              </w:rPr>
              <w:t>目标8：</w:t>
            </w:r>
            <w:r>
              <w:rPr>
                <w:rFonts w:ascii="Times New Roman" w:hAnsi="Times New Roman" w:eastAsia="宋体" w:cs="Times New Roman"/>
                <w:szCs w:val="21"/>
              </w:rPr>
              <w:t>通过论文课题或设计任务，以培养学生创新思维和主动学习能力为主要引导方法，引导学生主动追踪学科前沿，拓宽学生能力架构，从而适应社会发展。</w:t>
            </w:r>
          </w:p>
        </w:tc>
        <w:tc>
          <w:tcPr>
            <w:tcW w:w="2481" w:type="dxa"/>
            <w:noWrap/>
            <w:vAlign w:val="center"/>
          </w:tcPr>
          <w:p>
            <w:pPr>
              <w:widowControl/>
              <w:rPr>
                <w:rFonts w:ascii="Times New Roman" w:hAnsi="Times New Roman" w:eastAsia="宋体" w:cs="Times New Roman"/>
                <w:b/>
                <w:szCs w:val="21"/>
              </w:rPr>
            </w:pPr>
            <w:r>
              <w:rPr>
                <w:rFonts w:ascii="Times New Roman" w:hAnsi="Times New Roman" w:eastAsia="宋体" w:cs="Times New Roman"/>
                <w:b/>
                <w:szCs w:val="21"/>
              </w:rPr>
              <w:t>分解指标点12-2</w:t>
            </w:r>
            <w:r>
              <w:rPr>
                <w:rFonts w:ascii="Times New Roman" w:hAnsi="Times New Roman" w:eastAsia="宋体" w:cs="Times New Roman"/>
                <w:szCs w:val="21"/>
              </w:rPr>
              <w:t>：具备终身学习的知识基础，掌握自主学习的方法，了解拓展知识和能力的途径，能够自主学习，适应社会和职业发展。</w:t>
            </w:r>
          </w:p>
        </w:tc>
        <w:tc>
          <w:tcPr>
            <w:tcW w:w="3373" w:type="dxa"/>
            <w:noWrap/>
            <w:vAlign w:val="center"/>
          </w:tcPr>
          <w:p>
            <w:pPr>
              <w:widowControl/>
              <w:rPr>
                <w:rFonts w:ascii="Times New Roman" w:hAnsi="Times New Roman" w:eastAsia="宋体" w:cs="Times New Roman"/>
                <w:b/>
                <w:kern w:val="0"/>
                <w:szCs w:val="21"/>
              </w:rPr>
            </w:pPr>
            <w:r>
              <w:rPr>
                <w:rFonts w:ascii="Times New Roman" w:hAnsi="Times New Roman" w:eastAsia="宋体" w:cs="Times New Roman"/>
                <w:b/>
                <w:bCs/>
                <w:color w:val="000000"/>
                <w:kern w:val="0"/>
              </w:rPr>
              <w:t>毕业要求12终身学习：</w:t>
            </w:r>
            <w:r>
              <w:rPr>
                <w:rFonts w:ascii="Times New Roman" w:hAnsi="Times New Roman" w:eastAsia="宋体" w:cs="Times New Roman"/>
                <w:color w:val="000000"/>
                <w:kern w:val="0"/>
              </w:rPr>
              <w:t>具有自主学习和终身学习的意识，能够追踪</w:t>
            </w:r>
            <w:r>
              <w:rPr>
                <w:rFonts w:ascii="Times New Roman" w:hAnsi="Times New Roman" w:eastAsia="宋体" w:cs="Times New Roman"/>
                <w:szCs w:val="21"/>
              </w:rPr>
              <w:t>化学工程与工艺相关领域的发展动态，</w:t>
            </w:r>
            <w:r>
              <w:rPr>
                <w:rFonts w:ascii="Times New Roman" w:hAnsi="Times New Roman" w:eastAsia="宋体" w:cs="Times New Roman"/>
                <w:color w:val="000000"/>
                <w:kern w:val="0"/>
              </w:rPr>
              <w:t>有不断学习和适应发展的能力。</w:t>
            </w:r>
          </w:p>
        </w:tc>
      </w:tr>
    </w:tbl>
    <w:p>
      <w:pPr>
        <w:spacing w:line="360" w:lineRule="auto"/>
        <w:rPr>
          <w:rFonts w:ascii="Times New Roman" w:hAnsi="Times New Roman" w:eastAsia="宋体" w:cs="Times New Roman"/>
          <w:b/>
          <w:sz w:val="28"/>
          <w:szCs w:val="28"/>
        </w:rPr>
      </w:pPr>
    </w:p>
    <w:p>
      <w:pPr>
        <w:spacing w:line="360" w:lineRule="auto"/>
        <w:rPr>
          <w:rFonts w:ascii="Times New Roman" w:hAnsi="Times New Roman" w:eastAsia="宋体" w:cs="Times New Roman"/>
          <w:sz w:val="24"/>
        </w:rPr>
      </w:pPr>
      <w:r>
        <w:rPr>
          <w:rFonts w:ascii="Times New Roman" w:hAnsi="Times New Roman" w:eastAsia="宋体" w:cs="Times New Roman"/>
          <w:b/>
          <w:sz w:val="28"/>
          <w:szCs w:val="28"/>
        </w:rPr>
        <w:t>三、课程内容及要求</w:t>
      </w:r>
    </w:p>
    <w:p>
      <w:pPr>
        <w:spacing w:line="360" w:lineRule="auto"/>
        <w:ind w:firstLine="482" w:firstLineChars="200"/>
        <w:rPr>
          <w:rFonts w:ascii="Times New Roman" w:hAnsi="Times New Roman" w:eastAsia="宋体" w:cs="Times New Roman"/>
          <w:b/>
          <w:sz w:val="24"/>
        </w:rPr>
      </w:pPr>
      <w:r>
        <w:rPr>
          <w:rFonts w:ascii="Times New Roman" w:hAnsi="Times New Roman" w:eastAsia="宋体" w:cs="Times New Roman"/>
          <w:b/>
          <w:sz w:val="24"/>
        </w:rPr>
        <w:t>（一）总体要求</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（1）相关人员要求</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毕业设计（论文）的指导教师必须具有讲师（或相当于讲师）以上职称或具有硕士、博士学位。</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要善于教书育人、因材施教、启发引导，充分发挥学生的主动性和积极性，注重培养学生的实践能力和创新能力。应提前掌握自己所指导的课题内容，了解、熟悉有关资料，并作好指导毕业设计（论文）相关准备工作。严格要求学生，关心学生的思想和生活；教师应严格要求自己，以身作则，做学生的良师益友，及时纠正学生的不良思想和言行，对违纪学生要及时进行帮助教育。应安排充足的时间与学生交流，对每位学生的指导和答疑时间每周不少于2次。</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提出毕业设计（论文）题目，交系讨论。根据课题的性质和要求，编写任务书，定期检查学生的工作进度。指导学生进行调查研究、文献查阅、方案制定、实验研究、上机运算、撰写论文、论文装订、毕业答辩等各项工作，并对以上工作提出具体要求。认真审阅学生的毕业设计（论文）初稿，并提出具体的修改意见。指导学生做好毕业设计（论文）答辩工作。指导学生对毕业设计（论文）材料进行整理，并将学生的毕业设计（论文）材料交学院归档。</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参加毕业设计（论文）的学生必须修完所学专业教学计划规定的相关课程，并达到学校规定的学分，特殊情况须经教务处批准。</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接受毕业设计（论文）任务后，在指导教师指导下写出开题报告，拟定出毕业设计（论文）工作方案。认真按照工作计划进行文献查阅、资料收集、实习调查、实验研究等，并按时完成各个阶段的任务。认真撰写毕业设计（论文）初稿，并在规定时间内送交指导教师评阅；按照指导教师要求，对毕业设计（论文）进行认真修改，直至指导教师认可后定稿。认真做好答辩前的各项准备工作，按时参加毕业设计（论文）答辩。</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在毕业设计（论文）期间，严格遵守纪律，在指导教师指定的地点进行毕业设计（论文）。刻苦钻研，勇于创新，尊敬老师，团结合作，虚心接受教师及有关工程技术人员的指导。主动并定期（每周1～2次）向指导教师汇报毕业设计（论文）的进展情况，主动接受指导教师的检查和指导。</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（2）选题</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1．毕业设计（论文）选题，由具有讲师（或相当于讲师）以上职称或具有硕士、博士学位的教师，根据学科建设、专业教学要求，紧密结合科研及生产实际需要提出。</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2．选题应首先考虑满足本专业教学大纲要求，力求有利于巩固、深化和拓展学生所学知识，使学生在毕业设计（论文）中得到符合专业培养目标要求的基本训练和科学研究能力的培养。</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3．课题类型应多样化，要有一定的深度和广度，难度大小与工作量要适当。选题应尽可能是在研的科研立项课题。设计类题目要具有实用意义，切忌脱离实际；论文类题目要具有一定理论与现实意义，论文要体现一定的学术价值。</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4．课题可以由一个学生独立进行，也可以由多名学生采取分项负责的办法，共同完成一个大课题，还可以前后几届学生连续攻关共同完成，但每学年选题必须更新1/3以上。</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5．课题确定后，通过师生双向选择，再由系部协商平衡，确定每个学生的毕业设计（论文）题目及指导教师，以便更好地发挥学生的特长，调动学生的积极性。</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（3）下达任务书</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指导教师要在规定时间内向学生下达毕业设计（论文）任务书。任务书内容包括：研究课题题目、题目来源、论文主要条件及技术参数、设计（论文）内容及工作量、进度与安排等。</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（4）文献调研及开题答辩</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1．在毕业设计（论文）任务书下达后两周内，学生要着手查找、收集各种资料（中英文文献数量不少于20篇），对毕业设计（论文）所选题目的意义和研究现状、研究目标和内容、研究方法和步骤、文献资料查阅情况进行综述。毕业设计的学生应撰写文献综述。</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2．所有学生应填写毕业设计（论文）开题报告交指导教师审阅。</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3. 学生应选择与本设计（论文）题目相关的外文文献，译成中文，字数不少于3000字。</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4．组织开题论证。化工系组织相关专家考察课题的实用性、科学性、先进性和可行性等情况。</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w:t>
      </w:r>
      <w:r>
        <w:rPr>
          <w:rFonts w:hint="eastAsia" w:ascii="Times New Roman" w:hAnsi="Times New Roman" w:eastAsia="宋体" w:cs="Times New Roman"/>
          <w:bCs/>
          <w:sz w:val="24"/>
        </w:rPr>
        <w:t>4</w:t>
      </w:r>
      <w:r>
        <w:rPr>
          <w:rFonts w:ascii="Times New Roman" w:hAnsi="Times New Roman" w:eastAsia="宋体" w:cs="Times New Roman"/>
          <w:bCs/>
          <w:sz w:val="24"/>
        </w:rPr>
        <w:t>）设计（论文）过程</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学生应在开题结束后按照毕业设计要求采集数据，教师按照任务书规定的进度分阶段考察学生工作完成情况。学生和教师应填写中期检查表，准备任务书、文献检索笔记、文献综述、外文翻译和设计笔记等材料备查。</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w:t>
      </w:r>
      <w:r>
        <w:rPr>
          <w:rFonts w:hint="eastAsia" w:ascii="Times New Roman" w:hAnsi="Times New Roman" w:eastAsia="宋体" w:cs="Times New Roman"/>
          <w:bCs/>
          <w:sz w:val="24"/>
        </w:rPr>
        <w:t>5</w:t>
      </w:r>
      <w:r>
        <w:rPr>
          <w:rFonts w:ascii="Times New Roman" w:hAnsi="Times New Roman" w:eastAsia="宋体" w:cs="Times New Roman"/>
          <w:bCs/>
          <w:sz w:val="24"/>
        </w:rPr>
        <w:t>）设计（论文）资料撰写</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学生应按照常州工学院毕业设计（论文）工作管理办法要求撰写毕业设计（论文）资料。</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1．毕业设计资料</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bCs/>
          <w:sz w:val="24"/>
        </w:rPr>
        <w:t>毕业设计全套材料包括文献综述、设计说明书、设计计算书、图纸、任务书、开题报告、外文文献翻译与原文、中期检查表、指导教师意见、评阅教师意见、答辩情况记录、成绩综合评定表。其中：</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w:t>
      </w:r>
      <w:r>
        <w:rPr>
          <w:rFonts w:hint="eastAsia" w:ascii="Times New Roman" w:hAnsi="Times New Roman" w:eastAsia="宋体" w:cs="Times New Roman"/>
          <w:bCs/>
          <w:sz w:val="24"/>
        </w:rPr>
        <w:t>a</w:t>
      </w:r>
      <w:r>
        <w:rPr>
          <w:rFonts w:ascii="Times New Roman" w:hAnsi="Times New Roman" w:eastAsia="宋体" w:cs="Times New Roman"/>
          <w:bCs/>
          <w:sz w:val="24"/>
        </w:rPr>
        <w:t>）文献综述</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检索与阅读相关的文献资料，对检索到的文献资料进行归纳、整理，写出文献综述报告。</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w:t>
      </w:r>
      <w:r>
        <w:rPr>
          <w:rFonts w:hint="eastAsia" w:ascii="Times New Roman" w:hAnsi="Times New Roman" w:eastAsia="宋体" w:cs="Times New Roman"/>
          <w:bCs/>
          <w:sz w:val="24"/>
        </w:rPr>
        <w:t>b</w:t>
      </w:r>
      <w:r>
        <w:rPr>
          <w:rFonts w:ascii="Times New Roman" w:hAnsi="Times New Roman" w:eastAsia="宋体" w:cs="Times New Roman"/>
          <w:bCs/>
          <w:sz w:val="24"/>
        </w:rPr>
        <w:t>）外文文献翻译</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选择与本设计题目相关的外文文献，译成中文，字数不少于3000字，并与原文装订在一起。</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w:t>
      </w:r>
      <w:r>
        <w:rPr>
          <w:rFonts w:hint="eastAsia" w:ascii="Times New Roman" w:hAnsi="Times New Roman" w:eastAsia="宋体" w:cs="Times New Roman"/>
          <w:bCs/>
          <w:sz w:val="24"/>
        </w:rPr>
        <w:t>c</w:t>
      </w:r>
      <w:r>
        <w:rPr>
          <w:rFonts w:ascii="Times New Roman" w:hAnsi="Times New Roman" w:eastAsia="宋体" w:cs="Times New Roman"/>
          <w:bCs/>
          <w:sz w:val="24"/>
        </w:rPr>
        <w:t>）设计说明书、设计计算书</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设计说明书的内容包括：说明设计的依据、指导思想、车间原料、产品概况、生产状况、工艺流程叙述、经济技术分析、装置布置、运输、供水、供电等等，字数应在15000－20000；设计计算书的内容包括：物料衡算、热量计算和设备计算等。</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w:t>
      </w:r>
      <w:r>
        <w:rPr>
          <w:rFonts w:hint="eastAsia" w:ascii="Times New Roman" w:hAnsi="Times New Roman" w:eastAsia="宋体" w:cs="Times New Roman"/>
          <w:bCs/>
          <w:sz w:val="24"/>
        </w:rPr>
        <w:t>d</w:t>
      </w:r>
      <w:r>
        <w:rPr>
          <w:rFonts w:ascii="Times New Roman" w:hAnsi="Times New Roman" w:eastAsia="宋体" w:cs="Times New Roman"/>
          <w:bCs/>
          <w:sz w:val="24"/>
        </w:rPr>
        <w:t>）图纸</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要求用计算机绘图4－7张，包括工艺流程图、车间布置图等。</w:t>
      </w:r>
    </w:p>
    <w:p>
      <w:pPr>
        <w:spacing w:line="360" w:lineRule="auto"/>
        <w:ind w:firstLine="241" w:firstLineChars="100"/>
        <w:rPr>
          <w:color w:val="000000"/>
          <w:sz w:val="24"/>
        </w:rPr>
      </w:pPr>
      <w:r>
        <w:rPr>
          <w:rFonts w:hint="eastAsia"/>
          <w:b/>
          <w:color w:val="000000"/>
          <w:sz w:val="24"/>
        </w:rPr>
        <w:t>（二）教学内容与</w:t>
      </w:r>
      <w:r>
        <w:rPr>
          <w:b/>
          <w:color w:val="000000"/>
          <w:sz w:val="24"/>
        </w:rPr>
        <w:t>课程目标的</w:t>
      </w:r>
      <w:r>
        <w:rPr>
          <w:rFonts w:hint="eastAsia"/>
          <w:b/>
          <w:color w:val="000000"/>
          <w:sz w:val="24"/>
        </w:rPr>
        <w:t>对应关系及</w:t>
      </w:r>
      <w:r>
        <w:rPr>
          <w:b/>
          <w:color w:val="000000"/>
          <w:sz w:val="24"/>
        </w:rPr>
        <w:t>学时分配</w:t>
      </w:r>
    </w:p>
    <w:tbl>
      <w:tblPr>
        <w:tblStyle w:val="10"/>
        <w:tblW w:w="9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1780"/>
        <w:gridCol w:w="2167"/>
        <w:gridCol w:w="1841"/>
        <w:gridCol w:w="706"/>
        <w:gridCol w:w="974"/>
        <w:gridCol w:w="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b/>
                <w:bCs/>
                <w:szCs w:val="21"/>
              </w:rPr>
            </w:pPr>
            <w:r>
              <w:rPr>
                <w:b/>
                <w:bCs/>
                <w:szCs w:val="21"/>
              </w:rPr>
              <w:t>序号</w:t>
            </w:r>
          </w:p>
        </w:tc>
        <w:tc>
          <w:tcPr>
            <w:tcW w:w="1782" w:type="dxa"/>
            <w:noWrap w:val="0"/>
            <w:vAlign w:val="center"/>
          </w:tcPr>
          <w:p>
            <w:pPr>
              <w:jc w:val="center"/>
              <w:rPr>
                <w:b/>
                <w:bCs/>
                <w:szCs w:val="21"/>
              </w:rPr>
            </w:pPr>
            <w:r>
              <w:rPr>
                <w:b/>
                <w:bCs/>
                <w:szCs w:val="21"/>
              </w:rPr>
              <w:t>教学内容</w:t>
            </w:r>
          </w:p>
        </w:tc>
        <w:tc>
          <w:tcPr>
            <w:tcW w:w="2169" w:type="dxa"/>
            <w:noWrap w:val="0"/>
            <w:vAlign w:val="center"/>
          </w:tcPr>
          <w:p>
            <w:pPr>
              <w:jc w:val="center"/>
              <w:rPr>
                <w:b/>
                <w:bCs/>
                <w:szCs w:val="21"/>
              </w:rPr>
            </w:pPr>
            <w:r>
              <w:rPr>
                <w:b/>
                <w:bCs/>
                <w:szCs w:val="21"/>
              </w:rPr>
              <w:t>思政元素</w:t>
            </w:r>
          </w:p>
        </w:tc>
        <w:tc>
          <w:tcPr>
            <w:tcW w:w="1843" w:type="dxa"/>
            <w:noWrap w:val="0"/>
            <w:vAlign w:val="center"/>
          </w:tcPr>
          <w:p>
            <w:pPr>
              <w:jc w:val="center"/>
              <w:rPr>
                <w:b/>
                <w:bCs/>
                <w:szCs w:val="21"/>
              </w:rPr>
            </w:pPr>
            <w:r>
              <w:rPr>
                <w:b/>
                <w:bCs/>
                <w:szCs w:val="21"/>
              </w:rPr>
              <w:t>预期学习成果</w:t>
            </w:r>
          </w:p>
        </w:tc>
        <w:tc>
          <w:tcPr>
            <w:tcW w:w="699" w:type="dxa"/>
            <w:noWrap w:val="0"/>
            <w:vAlign w:val="center"/>
          </w:tcPr>
          <w:p>
            <w:pPr>
              <w:jc w:val="center"/>
              <w:rPr>
                <w:b/>
                <w:bCs/>
                <w:szCs w:val="21"/>
              </w:rPr>
            </w:pPr>
            <w:r>
              <w:rPr>
                <w:b/>
                <w:bCs/>
                <w:szCs w:val="21"/>
              </w:rPr>
              <w:t>教学学时</w:t>
            </w:r>
          </w:p>
        </w:tc>
        <w:tc>
          <w:tcPr>
            <w:tcW w:w="975" w:type="dxa"/>
            <w:noWrap w:val="0"/>
            <w:vAlign w:val="center"/>
          </w:tcPr>
          <w:p>
            <w:pPr>
              <w:jc w:val="center"/>
              <w:rPr>
                <w:b/>
                <w:bCs/>
                <w:szCs w:val="21"/>
              </w:rPr>
            </w:pPr>
            <w:r>
              <w:rPr>
                <w:b/>
                <w:bCs/>
                <w:szCs w:val="21"/>
              </w:rPr>
              <w:t>教学方式</w:t>
            </w:r>
          </w:p>
        </w:tc>
        <w:tc>
          <w:tcPr>
            <w:tcW w:w="925" w:type="dxa"/>
            <w:noWrap w:val="0"/>
            <w:vAlign w:val="center"/>
          </w:tcPr>
          <w:p>
            <w:pPr>
              <w:jc w:val="center"/>
              <w:rPr>
                <w:b/>
                <w:bCs/>
                <w:szCs w:val="21"/>
              </w:rPr>
            </w:pPr>
            <w:r>
              <w:rPr>
                <w:b/>
                <w:bCs/>
                <w:szCs w:val="21"/>
              </w:rPr>
              <w:t>支撑课程目标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szCs w:val="21"/>
              </w:rPr>
            </w:pPr>
            <w:r>
              <w:rPr>
                <w:szCs w:val="21"/>
              </w:rPr>
              <w:t>1</w:t>
            </w:r>
          </w:p>
        </w:tc>
        <w:tc>
          <w:tcPr>
            <w:tcW w:w="1782" w:type="dxa"/>
            <w:noWrap w:val="0"/>
            <w:vAlign w:val="center"/>
          </w:tcPr>
          <w:p>
            <w:pPr>
              <w:rPr>
                <w:kern w:val="0"/>
                <w:szCs w:val="21"/>
              </w:rPr>
            </w:pPr>
            <w:r>
              <w:rPr>
                <w:rFonts w:hint="eastAsia"/>
                <w:kern w:val="0"/>
                <w:szCs w:val="21"/>
              </w:rPr>
              <w:t>教师指导学生完成选题工作，向学生下达任务书。并指导学生进行文献调研、整理和综述工作，同时制定实验方案，准备实验仪器和药品，完成开题答辩工作。</w:t>
            </w:r>
          </w:p>
        </w:tc>
        <w:tc>
          <w:tcPr>
            <w:tcW w:w="2169" w:type="dxa"/>
            <w:noWrap w:val="0"/>
            <w:vAlign w:val="center"/>
          </w:tcPr>
          <w:p>
            <w:pPr>
              <w:autoSpaceDE w:val="0"/>
              <w:autoSpaceDN w:val="0"/>
              <w:adjustRightInd w:val="0"/>
              <w:rPr>
                <w:kern w:val="0"/>
                <w:szCs w:val="21"/>
              </w:rPr>
            </w:pPr>
            <w:r>
              <w:rPr>
                <w:rFonts w:hint="eastAsia"/>
                <w:kern w:val="0"/>
                <w:szCs w:val="21"/>
              </w:rPr>
              <w:t>通过选题及文献调研这一环节，引导学生树立爱国主义情怀，并培养基本的职业道德素养，在坚持可持续发展理念的同时，将生态文明建设作为选题的一项重要参考标准。</w:t>
            </w:r>
          </w:p>
        </w:tc>
        <w:tc>
          <w:tcPr>
            <w:tcW w:w="1843" w:type="dxa"/>
            <w:noWrap w:val="0"/>
            <w:vAlign w:val="center"/>
          </w:tcPr>
          <w:p>
            <w:pPr>
              <w:rPr>
                <w:kern w:val="0"/>
                <w:szCs w:val="21"/>
              </w:rPr>
            </w:pPr>
            <w:r>
              <w:rPr>
                <w:rFonts w:hint="eastAsia"/>
                <w:kern w:val="0"/>
                <w:szCs w:val="21"/>
              </w:rPr>
              <w:t>通过选题完成对该学科或领域的全面了解，通过文献调研等工作掌握课题研究价值和科学前沿，并自主制定试验方案和研究计划，并与指导教师沟通讨论其可行性。</w:t>
            </w:r>
          </w:p>
        </w:tc>
        <w:tc>
          <w:tcPr>
            <w:tcW w:w="699" w:type="dxa"/>
            <w:noWrap w:val="0"/>
            <w:vAlign w:val="center"/>
          </w:tcPr>
          <w:p>
            <w:pPr>
              <w:jc w:val="center"/>
              <w:rPr>
                <w:szCs w:val="21"/>
              </w:rPr>
            </w:pPr>
            <w:r>
              <w:rPr>
                <w:rFonts w:hint="eastAsia"/>
                <w:szCs w:val="21"/>
              </w:rPr>
              <w:t>1-2周</w:t>
            </w:r>
          </w:p>
        </w:tc>
        <w:tc>
          <w:tcPr>
            <w:tcW w:w="975" w:type="dxa"/>
            <w:noWrap w:val="0"/>
            <w:vAlign w:val="center"/>
          </w:tcPr>
          <w:p>
            <w:pPr>
              <w:rPr>
                <w:szCs w:val="21"/>
              </w:rPr>
            </w:pPr>
            <w:r>
              <w:rPr>
                <w:szCs w:val="21"/>
              </w:rPr>
              <w:t>讲授/</w:t>
            </w:r>
            <w:r>
              <w:rPr>
                <w:rFonts w:hint="eastAsia"/>
                <w:szCs w:val="21"/>
              </w:rPr>
              <w:t>实验</w:t>
            </w:r>
            <w:r>
              <w:rPr>
                <w:szCs w:val="21"/>
              </w:rPr>
              <w:t>等</w:t>
            </w:r>
          </w:p>
        </w:tc>
        <w:tc>
          <w:tcPr>
            <w:tcW w:w="925" w:type="dxa"/>
            <w:noWrap w:val="0"/>
            <w:vAlign w:val="center"/>
          </w:tcPr>
          <w:p>
            <w:pPr>
              <w:jc w:val="center"/>
              <w:rPr>
                <w:szCs w:val="21"/>
              </w:rPr>
            </w:pPr>
            <w:r>
              <w:rPr>
                <w:rFonts w:hint="eastAsia"/>
                <w:szCs w:val="21"/>
              </w:rPr>
              <w:t>目标1</w:t>
            </w:r>
          </w:p>
          <w:p>
            <w:pPr>
              <w:jc w:val="center"/>
              <w:rPr>
                <w:szCs w:val="21"/>
              </w:rPr>
            </w:pPr>
            <w:r>
              <w:rPr>
                <w:rFonts w:hint="eastAsia"/>
                <w:szCs w:val="21"/>
              </w:rPr>
              <w:t>目标3</w:t>
            </w:r>
          </w:p>
          <w:p>
            <w:pPr>
              <w:jc w:val="center"/>
              <w:rPr>
                <w:szCs w:val="21"/>
              </w:rPr>
            </w:pPr>
            <w:r>
              <w:rPr>
                <w:rFonts w:hint="eastAsia"/>
                <w:szCs w:val="21"/>
              </w:rPr>
              <w:t>目标8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szCs w:val="21"/>
              </w:rPr>
            </w:pPr>
            <w:r>
              <w:rPr>
                <w:szCs w:val="21"/>
              </w:rPr>
              <w:t>2</w:t>
            </w:r>
          </w:p>
        </w:tc>
        <w:tc>
          <w:tcPr>
            <w:tcW w:w="1782" w:type="dxa"/>
            <w:noWrap w:val="0"/>
            <w:vAlign w:val="center"/>
          </w:tcPr>
          <w:p>
            <w:pPr>
              <w:rPr>
                <w:kern w:val="0"/>
                <w:szCs w:val="21"/>
              </w:rPr>
            </w:pPr>
            <w:r>
              <w:rPr>
                <w:rFonts w:hint="eastAsia"/>
                <w:kern w:val="0"/>
                <w:szCs w:val="21"/>
              </w:rPr>
              <w:t>在教师的监督和指导下学生独立完成毕业</w:t>
            </w:r>
            <w:r>
              <w:rPr>
                <w:kern w:val="0"/>
                <w:szCs w:val="21"/>
              </w:rPr>
              <w:t>设计</w:t>
            </w:r>
            <w:r>
              <w:rPr>
                <w:rFonts w:hint="eastAsia"/>
                <w:kern w:val="0"/>
                <w:szCs w:val="21"/>
              </w:rPr>
              <w:t>（设计说明书）或论文（毕业论文）的相关实验或计算工作。</w:t>
            </w:r>
          </w:p>
        </w:tc>
        <w:tc>
          <w:tcPr>
            <w:tcW w:w="2169" w:type="dxa"/>
            <w:noWrap w:val="0"/>
            <w:vAlign w:val="center"/>
          </w:tcPr>
          <w:p>
            <w:pPr>
              <w:rPr>
                <w:szCs w:val="21"/>
              </w:rPr>
            </w:pPr>
            <w:r>
              <w:rPr>
                <w:rFonts w:hint="eastAsia"/>
                <w:szCs w:val="21"/>
              </w:rPr>
              <w:t>秉着实事求是的原则，引导学生严守职业操守和职业道德素养，将社会主义核心价值观贯穿始终，实验过程中遵循可持续发展和环保理念，将“爱国、爱校、爱专业”的“三爱”情怀植入学生心中。</w:t>
            </w:r>
          </w:p>
        </w:tc>
        <w:tc>
          <w:tcPr>
            <w:tcW w:w="1843" w:type="dxa"/>
            <w:noWrap w:val="0"/>
            <w:vAlign w:val="center"/>
          </w:tcPr>
          <w:p>
            <w:pPr>
              <w:rPr>
                <w:szCs w:val="21"/>
              </w:rPr>
            </w:pPr>
            <w:r>
              <w:rPr>
                <w:rFonts w:hint="eastAsia"/>
                <w:szCs w:val="21"/>
              </w:rPr>
              <w:t>掌握课题涉及到的实验操作或者设计思路，了解学科领域的最新研究动态和实验方法，从中学会学以致用，将知识应用到实际操作或设计过程。</w:t>
            </w:r>
          </w:p>
        </w:tc>
        <w:tc>
          <w:tcPr>
            <w:tcW w:w="699" w:type="dxa"/>
            <w:noWrap w:val="0"/>
            <w:vAlign w:val="center"/>
          </w:tcPr>
          <w:p>
            <w:pPr>
              <w:jc w:val="center"/>
              <w:rPr>
                <w:szCs w:val="21"/>
              </w:rPr>
            </w:pPr>
            <w:r>
              <w:rPr>
                <w:rFonts w:hint="eastAsia"/>
                <w:szCs w:val="21"/>
              </w:rPr>
              <w:t>3-13周</w:t>
            </w:r>
          </w:p>
        </w:tc>
        <w:tc>
          <w:tcPr>
            <w:tcW w:w="975" w:type="dxa"/>
            <w:noWrap w:val="0"/>
            <w:vAlign w:val="center"/>
          </w:tcPr>
          <w:p>
            <w:pPr>
              <w:rPr>
                <w:szCs w:val="21"/>
              </w:rPr>
            </w:pPr>
            <w:r>
              <w:rPr>
                <w:szCs w:val="21"/>
              </w:rPr>
              <w:t>讲授/</w:t>
            </w:r>
            <w:r>
              <w:rPr>
                <w:rFonts w:hint="eastAsia"/>
                <w:szCs w:val="21"/>
              </w:rPr>
              <w:t>实验</w:t>
            </w:r>
            <w:r>
              <w:rPr>
                <w:szCs w:val="21"/>
              </w:rPr>
              <w:t>等</w:t>
            </w:r>
          </w:p>
        </w:tc>
        <w:tc>
          <w:tcPr>
            <w:tcW w:w="925" w:type="dxa"/>
            <w:noWrap w:val="0"/>
            <w:vAlign w:val="center"/>
          </w:tcPr>
          <w:p>
            <w:pPr>
              <w:jc w:val="center"/>
              <w:rPr>
                <w:szCs w:val="21"/>
              </w:rPr>
            </w:pPr>
            <w:r>
              <w:rPr>
                <w:rFonts w:hint="eastAsia"/>
                <w:szCs w:val="21"/>
              </w:rPr>
              <w:t>目标4</w:t>
            </w:r>
          </w:p>
          <w:p>
            <w:pPr>
              <w:jc w:val="center"/>
              <w:rPr>
                <w:szCs w:val="21"/>
              </w:rPr>
            </w:pPr>
            <w:r>
              <w:rPr>
                <w:rFonts w:hint="eastAsia"/>
                <w:szCs w:val="21"/>
              </w:rPr>
              <w:t>目标5</w:t>
            </w:r>
          </w:p>
          <w:p>
            <w:pPr>
              <w:jc w:val="center"/>
              <w:rPr>
                <w:szCs w:val="21"/>
              </w:rPr>
            </w:pPr>
            <w:r>
              <w:rPr>
                <w:rFonts w:hint="eastAsia"/>
                <w:szCs w:val="21"/>
              </w:rPr>
              <w:t>目标7</w:t>
            </w:r>
          </w:p>
          <w:p>
            <w:pPr>
              <w:jc w:val="center"/>
              <w:rPr>
                <w:szCs w:val="21"/>
              </w:rPr>
            </w:pPr>
            <w:r>
              <w:rPr>
                <w:rFonts w:hint="eastAsia"/>
                <w:szCs w:val="21"/>
              </w:rPr>
              <w:t>目标8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szCs w:val="21"/>
              </w:rPr>
            </w:pPr>
            <w:r>
              <w:rPr>
                <w:szCs w:val="21"/>
              </w:rPr>
              <w:t>3</w:t>
            </w:r>
          </w:p>
        </w:tc>
        <w:tc>
          <w:tcPr>
            <w:tcW w:w="1782" w:type="dxa"/>
            <w:noWrap w:val="0"/>
            <w:vAlign w:val="center"/>
          </w:tcPr>
          <w:p>
            <w:pPr>
              <w:rPr>
                <w:kern w:val="0"/>
                <w:szCs w:val="21"/>
              </w:rPr>
            </w:pPr>
            <w:r>
              <w:rPr>
                <w:rFonts w:hint="eastAsia"/>
                <w:kern w:val="0"/>
                <w:szCs w:val="21"/>
              </w:rPr>
              <w:t>整理和汇总毕业设计（论文）全部资料并交指导教师审核审阅，指导教师提出修改意见。学生按照意见进行修改和完善。</w:t>
            </w:r>
          </w:p>
        </w:tc>
        <w:tc>
          <w:tcPr>
            <w:tcW w:w="2169" w:type="dxa"/>
            <w:noWrap w:val="0"/>
            <w:vAlign w:val="center"/>
          </w:tcPr>
          <w:p>
            <w:pPr>
              <w:rPr>
                <w:szCs w:val="21"/>
              </w:rPr>
            </w:pPr>
            <w:r>
              <w:rPr>
                <w:rFonts w:hint="eastAsia"/>
                <w:szCs w:val="21"/>
              </w:rPr>
              <w:t>通过数据整理，将社会主义核心价值观和职业道德素养有机结合，培养学生职业操守，并通过典型案例，将中华优秀传统文化教育渗透其中。引导学生厚植“三爱”情怀。</w:t>
            </w:r>
          </w:p>
        </w:tc>
        <w:tc>
          <w:tcPr>
            <w:tcW w:w="1843" w:type="dxa"/>
            <w:noWrap w:val="0"/>
            <w:vAlign w:val="center"/>
          </w:tcPr>
          <w:p>
            <w:pPr>
              <w:rPr>
                <w:szCs w:val="21"/>
              </w:rPr>
            </w:pPr>
            <w:r>
              <w:rPr>
                <w:rFonts w:hint="eastAsia"/>
                <w:kern w:val="0"/>
                <w:szCs w:val="21"/>
              </w:rPr>
              <w:t>掌握数据整理和数据处理的基本方法，并掌握毕业设计说明书或毕业论文的撰写方法和书写规范。</w:t>
            </w:r>
          </w:p>
        </w:tc>
        <w:tc>
          <w:tcPr>
            <w:tcW w:w="699" w:type="dxa"/>
            <w:noWrap w:val="0"/>
            <w:vAlign w:val="center"/>
          </w:tcPr>
          <w:p>
            <w:pPr>
              <w:jc w:val="center"/>
              <w:rPr>
                <w:szCs w:val="21"/>
              </w:rPr>
            </w:pPr>
            <w:r>
              <w:rPr>
                <w:rFonts w:hint="eastAsia"/>
                <w:szCs w:val="21"/>
              </w:rPr>
              <w:t>14-15周</w:t>
            </w:r>
          </w:p>
        </w:tc>
        <w:tc>
          <w:tcPr>
            <w:tcW w:w="975" w:type="dxa"/>
            <w:noWrap w:val="0"/>
            <w:vAlign w:val="center"/>
          </w:tcPr>
          <w:p>
            <w:pPr>
              <w:rPr>
                <w:szCs w:val="21"/>
              </w:rPr>
            </w:pPr>
            <w:r>
              <w:rPr>
                <w:szCs w:val="21"/>
              </w:rPr>
              <w:t>讲授/</w:t>
            </w:r>
            <w:r>
              <w:rPr>
                <w:rFonts w:hint="eastAsia"/>
                <w:szCs w:val="21"/>
              </w:rPr>
              <w:t>实验</w:t>
            </w:r>
            <w:r>
              <w:rPr>
                <w:szCs w:val="21"/>
              </w:rPr>
              <w:t>等</w:t>
            </w:r>
          </w:p>
        </w:tc>
        <w:tc>
          <w:tcPr>
            <w:tcW w:w="925" w:type="dxa"/>
            <w:noWrap w:val="0"/>
            <w:vAlign w:val="center"/>
          </w:tcPr>
          <w:p>
            <w:pPr>
              <w:jc w:val="center"/>
              <w:rPr>
                <w:szCs w:val="21"/>
              </w:rPr>
            </w:pPr>
            <w:r>
              <w:rPr>
                <w:rFonts w:hint="eastAsia"/>
                <w:szCs w:val="21"/>
              </w:rPr>
              <w:t>目标2</w:t>
            </w:r>
          </w:p>
          <w:p>
            <w:pPr>
              <w:jc w:val="center"/>
              <w:rPr>
                <w:szCs w:val="21"/>
              </w:rPr>
            </w:pPr>
            <w:r>
              <w:rPr>
                <w:rFonts w:hint="eastAsia"/>
                <w:szCs w:val="21"/>
              </w:rPr>
              <w:t>目标8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noWrap w:val="0"/>
            <w:vAlign w:val="center"/>
          </w:tcPr>
          <w:p>
            <w:pPr>
              <w:jc w:val="center"/>
              <w:rPr>
                <w:szCs w:val="21"/>
              </w:rPr>
            </w:pPr>
            <w:r>
              <w:rPr>
                <w:szCs w:val="21"/>
              </w:rPr>
              <w:t>4</w:t>
            </w:r>
          </w:p>
        </w:tc>
        <w:tc>
          <w:tcPr>
            <w:tcW w:w="1782" w:type="dxa"/>
            <w:noWrap w:val="0"/>
            <w:vAlign w:val="center"/>
          </w:tcPr>
          <w:p>
            <w:pPr>
              <w:rPr>
                <w:bCs/>
                <w:kern w:val="0"/>
                <w:szCs w:val="21"/>
              </w:rPr>
            </w:pPr>
            <w:r>
              <w:rPr>
                <w:rFonts w:hint="eastAsia"/>
                <w:bCs/>
                <w:kern w:val="0"/>
                <w:szCs w:val="21"/>
              </w:rPr>
              <w:t>完成毕业答辩及成绩评定。</w:t>
            </w:r>
          </w:p>
        </w:tc>
        <w:tc>
          <w:tcPr>
            <w:tcW w:w="2169" w:type="dxa"/>
            <w:noWrap w:val="0"/>
            <w:vAlign w:val="center"/>
          </w:tcPr>
          <w:p>
            <w:pPr>
              <w:autoSpaceDE w:val="0"/>
              <w:autoSpaceDN w:val="0"/>
              <w:adjustRightInd w:val="0"/>
              <w:rPr>
                <w:szCs w:val="21"/>
              </w:rPr>
            </w:pPr>
            <w:r>
              <w:rPr>
                <w:rFonts w:hint="eastAsia"/>
                <w:szCs w:val="21"/>
              </w:rPr>
              <w:t>以“四个意识”和“四个自信”为引领，提高学生对学校的自信和对专业的自信。</w:t>
            </w:r>
          </w:p>
        </w:tc>
        <w:tc>
          <w:tcPr>
            <w:tcW w:w="1843" w:type="dxa"/>
            <w:noWrap w:val="0"/>
            <w:vAlign w:val="center"/>
          </w:tcPr>
          <w:p>
            <w:pPr>
              <w:autoSpaceDE w:val="0"/>
              <w:autoSpaceDN w:val="0"/>
              <w:adjustRightInd w:val="0"/>
              <w:rPr>
                <w:szCs w:val="21"/>
              </w:rPr>
            </w:pPr>
            <w:r>
              <w:rPr>
                <w:rFonts w:hint="eastAsia"/>
                <w:szCs w:val="21"/>
              </w:rPr>
              <w:t>掌握将主要成果或结果</w:t>
            </w:r>
            <w:r>
              <w:rPr>
                <w:rFonts w:ascii="Times New Roman" w:hAnsi="Times New Roman" w:eastAsia="宋体" w:cs="Times New Roman"/>
                <w:szCs w:val="21"/>
              </w:rPr>
              <w:t>做有效的表述</w:t>
            </w:r>
            <w:r>
              <w:rPr>
                <w:rFonts w:hint="eastAsia" w:ascii="Times New Roman" w:hAnsi="Times New Roman" w:eastAsia="宋体" w:cs="Times New Roman"/>
                <w:szCs w:val="21"/>
              </w:rPr>
              <w:t>的能力，提高语言表达和沟通能力。</w:t>
            </w:r>
          </w:p>
        </w:tc>
        <w:tc>
          <w:tcPr>
            <w:tcW w:w="699" w:type="dxa"/>
            <w:noWrap w:val="0"/>
            <w:vAlign w:val="center"/>
          </w:tcPr>
          <w:p>
            <w:pPr>
              <w:jc w:val="center"/>
              <w:rPr>
                <w:szCs w:val="21"/>
              </w:rPr>
            </w:pPr>
            <w:r>
              <w:rPr>
                <w:rFonts w:hint="eastAsia"/>
                <w:szCs w:val="21"/>
              </w:rPr>
              <w:t>16周</w:t>
            </w:r>
          </w:p>
        </w:tc>
        <w:tc>
          <w:tcPr>
            <w:tcW w:w="975" w:type="dxa"/>
            <w:noWrap w:val="0"/>
            <w:vAlign w:val="center"/>
          </w:tcPr>
          <w:p>
            <w:pPr>
              <w:rPr>
                <w:szCs w:val="21"/>
              </w:rPr>
            </w:pPr>
            <w:r>
              <w:rPr>
                <w:szCs w:val="21"/>
              </w:rPr>
              <w:t>讲授/</w:t>
            </w:r>
            <w:r>
              <w:rPr>
                <w:rFonts w:hint="eastAsia"/>
                <w:szCs w:val="21"/>
              </w:rPr>
              <w:t>实验</w:t>
            </w:r>
            <w:r>
              <w:rPr>
                <w:szCs w:val="21"/>
              </w:rPr>
              <w:t>等</w:t>
            </w:r>
          </w:p>
        </w:tc>
        <w:tc>
          <w:tcPr>
            <w:tcW w:w="925" w:type="dxa"/>
            <w:noWrap w:val="0"/>
            <w:vAlign w:val="center"/>
          </w:tcPr>
          <w:p>
            <w:pPr>
              <w:jc w:val="center"/>
              <w:rPr>
                <w:szCs w:val="21"/>
              </w:rPr>
            </w:pPr>
            <w:r>
              <w:rPr>
                <w:rFonts w:hint="eastAsia"/>
                <w:szCs w:val="21"/>
              </w:rPr>
              <w:t>目标6</w:t>
            </w:r>
          </w:p>
          <w:p>
            <w:pPr>
              <w:jc w:val="center"/>
              <w:rPr>
                <w:szCs w:val="21"/>
              </w:rPr>
            </w:pPr>
            <w:r>
              <w:rPr>
                <w:rFonts w:hint="eastAsia"/>
                <w:szCs w:val="21"/>
              </w:rPr>
              <w:t>目标8</w:t>
            </w:r>
          </w:p>
        </w:tc>
      </w:tr>
    </w:tbl>
    <w:p>
      <w:pPr>
        <w:spacing w:line="360" w:lineRule="auto"/>
        <w:ind w:firstLine="562" w:firstLineChars="200"/>
        <w:rPr>
          <w:rFonts w:ascii="Times New Roman" w:hAnsi="Times New Roman" w:eastAsia="宋体" w:cs="Times New Roman"/>
          <w:b/>
          <w:sz w:val="28"/>
          <w:szCs w:val="28"/>
        </w:rPr>
      </w:pPr>
      <w:r>
        <w:rPr>
          <w:rFonts w:ascii="Times New Roman" w:hAnsi="Times New Roman" w:eastAsia="宋体" w:cs="Times New Roman"/>
          <w:b/>
          <w:sz w:val="28"/>
          <w:szCs w:val="28"/>
        </w:rPr>
        <w:t>四、课程实施</w:t>
      </w:r>
    </w:p>
    <w:p>
      <w:pPr>
        <w:spacing w:line="360" w:lineRule="auto"/>
        <w:ind w:firstLine="482" w:firstLineChars="200"/>
        <w:rPr>
          <w:rFonts w:ascii="Times New Roman" w:hAnsi="Times New Roman" w:eastAsia="宋体" w:cs="Times New Roman"/>
          <w:b/>
          <w:sz w:val="24"/>
        </w:rPr>
      </w:pPr>
      <w:r>
        <w:rPr>
          <w:rFonts w:ascii="Times New Roman" w:hAnsi="Times New Roman" w:eastAsia="宋体" w:cs="Times New Roman"/>
          <w:b/>
          <w:sz w:val="24"/>
        </w:rPr>
        <w:t>（一）时间安排</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1．指导教师须在论文开始之前完成毕业设计（论文）的选题工作；</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2．化工系组织课题审批，通过教师和学生的双向选择，确定每个学生的毕业设计（论文）题目及指导教师，此项工作在第七学期16周前完成；</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3．第17-19周教师指导学生调研文献；</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4．第八学期开学，教师向学生下达任务书。毕业环节开始第1-</w:t>
      </w:r>
      <w:r>
        <w:rPr>
          <w:rFonts w:hint="eastAsia" w:ascii="Times New Roman" w:hAnsi="Times New Roman" w:eastAsia="宋体" w:cs="Times New Roman"/>
          <w:bCs/>
          <w:sz w:val="24"/>
        </w:rPr>
        <w:t>2</w:t>
      </w:r>
      <w:r>
        <w:rPr>
          <w:rFonts w:ascii="Times New Roman" w:hAnsi="Times New Roman" w:eastAsia="宋体" w:cs="Times New Roman"/>
          <w:bCs/>
          <w:sz w:val="24"/>
        </w:rPr>
        <w:t>周进行文献调研、整理和综述工作，同时制定实验方案，准备实验仪器和药品；</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5．第</w:t>
      </w:r>
      <w:r>
        <w:rPr>
          <w:rFonts w:hint="eastAsia" w:ascii="Times New Roman" w:hAnsi="Times New Roman" w:eastAsia="宋体" w:cs="Times New Roman"/>
          <w:bCs/>
          <w:sz w:val="24"/>
        </w:rPr>
        <w:t>2</w:t>
      </w:r>
      <w:r>
        <w:rPr>
          <w:rFonts w:ascii="Times New Roman" w:hAnsi="Times New Roman" w:eastAsia="宋体" w:cs="Times New Roman"/>
          <w:bCs/>
          <w:sz w:val="24"/>
        </w:rPr>
        <w:t>周前，完成开题答辩工作；</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6．第</w:t>
      </w:r>
      <w:r>
        <w:rPr>
          <w:rFonts w:hint="eastAsia" w:ascii="Times New Roman" w:hAnsi="Times New Roman" w:eastAsia="宋体" w:cs="Times New Roman"/>
          <w:bCs/>
          <w:sz w:val="24"/>
        </w:rPr>
        <w:t>3</w:t>
      </w:r>
      <w:r>
        <w:rPr>
          <w:rFonts w:ascii="Times New Roman" w:hAnsi="Times New Roman" w:eastAsia="宋体" w:cs="Times New Roman"/>
          <w:bCs/>
          <w:sz w:val="24"/>
        </w:rPr>
        <w:t>-13周，学生进行设计和相关计算工作；</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7．第14-15周，准备毕业设计（论文）全部资料；学生在论文答辩前一周，应将毕业设计交指导教师审核审阅，指导教师提出修改意见。在毕业答辩前，学生需提交完整的毕业论文资料。</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bCs/>
          <w:sz w:val="24"/>
        </w:rPr>
        <w:t>8．第16周，进行毕业答辩，完成毕业设计（论文）成绩的评定。</w:t>
      </w:r>
    </w:p>
    <w:p>
      <w:pPr>
        <w:spacing w:line="360" w:lineRule="auto"/>
        <w:ind w:firstLine="482" w:firstLineChars="200"/>
        <w:rPr>
          <w:rFonts w:ascii="Times New Roman" w:hAnsi="Times New Roman" w:eastAsia="宋体" w:cs="Times New Roman"/>
          <w:b/>
          <w:sz w:val="24"/>
        </w:rPr>
      </w:pPr>
      <w:r>
        <w:rPr>
          <w:rFonts w:ascii="Times New Roman" w:hAnsi="Times New Roman" w:eastAsia="宋体" w:cs="Times New Roman"/>
          <w:b/>
          <w:sz w:val="24"/>
        </w:rPr>
        <w:t>（二）“课程思政”元素及融入方式</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教师以“立德树人”为己任，通过课题实验实施、企业走访实习、工程教育培训等方式将理想信念教育、社会主义核心价值观教育、中华优秀传统文化教育、职业素养教育以及生态文明教育等思政元素融入到此实验教学的全过程，根据教学大纲和专业标准将本实践教学环节的目标进行总结，再将思政元素所对应的典型案例进行系统分析，利用结构化思维手段，将“课程思政”元素与课程教学目标相对应，建立两者结构化立体逻辑关系，让学生在学习专业知识和理解思想政治理论之间形成协同效应，潜移默化地对学生的思想意识、行为举止产生影响，培养学生“爱国、爱校、爱专业”的“三爱”情怀，积极引导学生树立正确的国家观、民族观、历史观、文化观和专业观。</w:t>
      </w:r>
    </w:p>
    <w:p>
      <w:pPr>
        <w:spacing w:line="360" w:lineRule="auto"/>
        <w:ind w:firstLine="480" w:firstLineChars="200"/>
        <w:rPr>
          <w:rFonts w:ascii="Times New Roman" w:hAnsi="Times New Roman" w:eastAsia="宋体" w:cs="Times New Roman"/>
          <w:bCs/>
          <w:sz w:val="24"/>
        </w:rPr>
      </w:pPr>
    </w:p>
    <w:tbl>
      <w:tblPr>
        <w:tblStyle w:val="10"/>
        <w:tblW w:w="8483"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70"/>
        <w:gridCol w:w="859"/>
        <w:gridCol w:w="859"/>
        <w:gridCol w:w="859"/>
        <w:gridCol w:w="859"/>
        <w:gridCol w:w="859"/>
        <w:gridCol w:w="859"/>
        <w:gridCol w:w="927"/>
        <w:gridCol w:w="826"/>
        <w:gridCol w:w="6"/>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4" w:hRule="atLeast"/>
          <w:jc w:val="center"/>
        </w:trPr>
        <w:tc>
          <w:tcPr>
            <w:tcW w:w="1570" w:type="dxa"/>
            <w:vMerge w:val="restart"/>
            <w:shd w:val="clear" w:color="auto" w:fill="FFFFFF"/>
            <w:noWrap w:val="0"/>
            <w:vAlign w:val="center"/>
          </w:tcPr>
          <w:p>
            <w:pPr>
              <w:widowControl/>
              <w:jc w:val="center"/>
              <w:rPr>
                <w:rFonts w:ascii="Times New Roman" w:hAnsi="Times New Roman" w:eastAsia="宋体" w:cs="Times New Roman"/>
                <w:kern w:val="0"/>
                <w:sz w:val="22"/>
              </w:rPr>
            </w:pPr>
            <w:r>
              <w:rPr>
                <w:rFonts w:ascii="Times New Roman" w:hAnsi="Times New Roman" w:eastAsia="宋体" w:cs="Times New Roman"/>
                <w:kern w:val="0"/>
                <w:sz w:val="22"/>
              </w:rPr>
              <w:t>思政元素</w:t>
            </w:r>
          </w:p>
        </w:tc>
        <w:tc>
          <w:tcPr>
            <w:tcW w:w="6913" w:type="dxa"/>
            <w:gridSpan w:val="9"/>
            <w:shd w:val="clear" w:color="auto" w:fill="FFFFFF"/>
            <w:noWrap w:val="0"/>
            <w:vAlign w:val="center"/>
          </w:tcPr>
          <w:p>
            <w:pPr>
              <w:widowControl/>
              <w:jc w:val="center"/>
              <w:rPr>
                <w:rFonts w:ascii="Times New Roman" w:hAnsi="Times New Roman" w:eastAsia="宋体" w:cs="Times New Roman"/>
                <w:kern w:val="0"/>
                <w:sz w:val="22"/>
              </w:rPr>
            </w:pPr>
            <w:r>
              <w:rPr>
                <w:rFonts w:ascii="Times New Roman" w:hAnsi="Times New Roman" w:eastAsia="宋体" w:cs="Times New Roman"/>
                <w:kern w:val="0"/>
                <w:sz w:val="22"/>
              </w:rPr>
              <w:t>课程目标</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500" w:hRule="atLeast"/>
          <w:jc w:val="center"/>
        </w:trPr>
        <w:tc>
          <w:tcPr>
            <w:tcW w:w="1570" w:type="dxa"/>
            <w:vMerge w:val="continue"/>
            <w:tcBorders>
              <w:bottom w:val="single" w:color="auto" w:sz="4" w:space="0"/>
            </w:tcBorders>
            <w:shd w:val="clear" w:color="auto" w:fill="FFFFFF"/>
            <w:noWrap w:val="0"/>
            <w:vAlign w:val="center"/>
          </w:tcPr>
          <w:p>
            <w:pPr>
              <w:widowControl/>
              <w:jc w:val="center"/>
              <w:rPr>
                <w:rFonts w:ascii="Times New Roman" w:hAnsi="Times New Roman" w:eastAsia="宋体" w:cs="Times New Roman"/>
                <w:kern w:val="0"/>
                <w:sz w:val="22"/>
              </w:rPr>
            </w:pPr>
          </w:p>
        </w:tc>
        <w:tc>
          <w:tcPr>
            <w:tcW w:w="859" w:type="dxa"/>
            <w:tcBorders>
              <w:top w:val="single" w:color="auto" w:sz="4" w:space="0"/>
              <w:bottom w:val="single" w:color="auto" w:sz="4" w:space="0"/>
            </w:tcBorders>
            <w:shd w:val="clear" w:color="auto" w:fill="FFFFFF"/>
            <w:noWrap w:val="0"/>
            <w:vAlign w:val="center"/>
          </w:tcPr>
          <w:p>
            <w:pPr>
              <w:widowControl/>
              <w:jc w:val="center"/>
              <w:rPr>
                <w:rFonts w:ascii="Times New Roman" w:hAnsi="Times New Roman" w:eastAsia="宋体" w:cs="Times New Roman"/>
                <w:kern w:val="0"/>
                <w:sz w:val="22"/>
              </w:rPr>
            </w:pPr>
            <w:r>
              <w:rPr>
                <w:rFonts w:ascii="Times New Roman" w:hAnsi="Times New Roman" w:eastAsia="宋体" w:cs="Times New Roman"/>
                <w:kern w:val="0"/>
                <w:sz w:val="22"/>
              </w:rPr>
              <w:t>目标1</w:t>
            </w:r>
          </w:p>
        </w:tc>
        <w:tc>
          <w:tcPr>
            <w:tcW w:w="859" w:type="dxa"/>
            <w:tcBorders>
              <w:top w:val="single" w:color="auto" w:sz="4" w:space="0"/>
              <w:bottom w:val="single" w:color="auto" w:sz="4" w:space="0"/>
            </w:tcBorders>
            <w:shd w:val="clear" w:color="auto" w:fill="FFFFFF"/>
            <w:noWrap w:val="0"/>
            <w:vAlign w:val="center"/>
          </w:tcPr>
          <w:p>
            <w:pPr>
              <w:widowControl/>
              <w:jc w:val="center"/>
              <w:rPr>
                <w:rFonts w:ascii="Times New Roman" w:hAnsi="Times New Roman" w:eastAsia="宋体" w:cs="Times New Roman"/>
                <w:kern w:val="0"/>
                <w:sz w:val="22"/>
              </w:rPr>
            </w:pPr>
            <w:r>
              <w:rPr>
                <w:rFonts w:ascii="Times New Roman" w:hAnsi="Times New Roman" w:eastAsia="宋体" w:cs="Times New Roman"/>
                <w:kern w:val="0"/>
                <w:sz w:val="22"/>
              </w:rPr>
              <w:t>目标2</w:t>
            </w:r>
          </w:p>
        </w:tc>
        <w:tc>
          <w:tcPr>
            <w:tcW w:w="859" w:type="dxa"/>
            <w:tcBorders>
              <w:top w:val="single" w:color="auto" w:sz="4" w:space="0"/>
              <w:bottom w:val="single" w:color="auto" w:sz="4" w:space="0"/>
            </w:tcBorders>
            <w:shd w:val="clear" w:color="auto" w:fill="FFFFFF"/>
            <w:noWrap w:val="0"/>
            <w:vAlign w:val="center"/>
          </w:tcPr>
          <w:p>
            <w:pPr>
              <w:widowControl/>
              <w:jc w:val="center"/>
              <w:rPr>
                <w:rFonts w:ascii="Times New Roman" w:hAnsi="Times New Roman" w:eastAsia="宋体" w:cs="Times New Roman"/>
                <w:kern w:val="0"/>
                <w:sz w:val="22"/>
              </w:rPr>
            </w:pPr>
            <w:r>
              <w:rPr>
                <w:rFonts w:ascii="Times New Roman" w:hAnsi="Times New Roman" w:eastAsia="宋体" w:cs="Times New Roman"/>
                <w:kern w:val="0"/>
                <w:sz w:val="22"/>
              </w:rPr>
              <w:t>目标3</w:t>
            </w:r>
          </w:p>
        </w:tc>
        <w:tc>
          <w:tcPr>
            <w:tcW w:w="859" w:type="dxa"/>
            <w:tcBorders>
              <w:top w:val="single" w:color="auto" w:sz="4" w:space="0"/>
              <w:bottom w:val="single" w:color="auto" w:sz="4" w:space="0"/>
            </w:tcBorders>
            <w:shd w:val="clear" w:color="auto" w:fill="FFFFFF"/>
            <w:noWrap w:val="0"/>
            <w:vAlign w:val="center"/>
          </w:tcPr>
          <w:p>
            <w:pPr>
              <w:widowControl/>
              <w:jc w:val="center"/>
              <w:rPr>
                <w:rFonts w:ascii="Times New Roman" w:hAnsi="Times New Roman" w:eastAsia="宋体" w:cs="Times New Roman"/>
                <w:kern w:val="0"/>
                <w:sz w:val="22"/>
              </w:rPr>
            </w:pPr>
            <w:r>
              <w:rPr>
                <w:rFonts w:ascii="Times New Roman" w:hAnsi="Times New Roman" w:eastAsia="宋体" w:cs="Times New Roman"/>
                <w:kern w:val="0"/>
                <w:sz w:val="22"/>
              </w:rPr>
              <w:t>目标4</w:t>
            </w:r>
          </w:p>
        </w:tc>
        <w:tc>
          <w:tcPr>
            <w:tcW w:w="859" w:type="dxa"/>
            <w:tcBorders>
              <w:top w:val="single" w:color="auto" w:sz="4" w:space="0"/>
              <w:bottom w:val="single" w:color="auto" w:sz="4" w:space="0"/>
            </w:tcBorders>
            <w:shd w:val="clear" w:color="auto" w:fill="FFFFFF"/>
            <w:noWrap w:val="0"/>
            <w:vAlign w:val="center"/>
          </w:tcPr>
          <w:p>
            <w:pPr>
              <w:widowControl/>
              <w:jc w:val="center"/>
              <w:rPr>
                <w:rFonts w:ascii="Times New Roman" w:hAnsi="Times New Roman" w:eastAsia="宋体" w:cs="Times New Roman"/>
                <w:kern w:val="0"/>
                <w:sz w:val="22"/>
              </w:rPr>
            </w:pPr>
            <w:r>
              <w:rPr>
                <w:rFonts w:ascii="Times New Roman" w:hAnsi="Times New Roman" w:eastAsia="宋体" w:cs="Times New Roman"/>
                <w:kern w:val="0"/>
                <w:sz w:val="22"/>
              </w:rPr>
              <w:t>目标5</w:t>
            </w:r>
          </w:p>
        </w:tc>
        <w:tc>
          <w:tcPr>
            <w:tcW w:w="859" w:type="dxa"/>
            <w:tcBorders>
              <w:top w:val="single" w:color="auto" w:sz="4" w:space="0"/>
              <w:bottom w:val="single" w:color="auto" w:sz="4" w:space="0"/>
            </w:tcBorders>
            <w:shd w:val="clear" w:color="auto" w:fill="FFFFFF"/>
            <w:noWrap w:val="0"/>
            <w:vAlign w:val="center"/>
          </w:tcPr>
          <w:p>
            <w:pPr>
              <w:widowControl/>
              <w:jc w:val="center"/>
              <w:rPr>
                <w:rFonts w:ascii="Times New Roman" w:hAnsi="Times New Roman" w:eastAsia="宋体" w:cs="Times New Roman"/>
                <w:kern w:val="0"/>
                <w:sz w:val="22"/>
              </w:rPr>
            </w:pPr>
            <w:r>
              <w:rPr>
                <w:rFonts w:ascii="Times New Roman" w:hAnsi="Times New Roman" w:eastAsia="宋体" w:cs="Times New Roman"/>
                <w:kern w:val="0"/>
                <w:sz w:val="22"/>
              </w:rPr>
              <w:t>目标6</w:t>
            </w:r>
          </w:p>
        </w:tc>
        <w:tc>
          <w:tcPr>
            <w:tcW w:w="927" w:type="dxa"/>
            <w:tcBorders>
              <w:top w:val="single" w:color="auto" w:sz="4" w:space="0"/>
              <w:bottom w:val="single" w:color="auto" w:sz="4" w:space="0"/>
            </w:tcBorders>
            <w:shd w:val="clear" w:color="auto" w:fill="FFFFFF"/>
            <w:noWrap w:val="0"/>
            <w:vAlign w:val="center"/>
          </w:tcPr>
          <w:p>
            <w:pPr>
              <w:widowControl/>
              <w:jc w:val="center"/>
              <w:rPr>
                <w:rFonts w:ascii="Times New Roman" w:hAnsi="Times New Roman" w:eastAsia="宋体" w:cs="Times New Roman"/>
                <w:kern w:val="0"/>
                <w:sz w:val="22"/>
              </w:rPr>
            </w:pPr>
            <w:r>
              <w:rPr>
                <w:rFonts w:ascii="Times New Roman" w:hAnsi="Times New Roman" w:eastAsia="宋体" w:cs="Times New Roman"/>
                <w:kern w:val="0"/>
                <w:sz w:val="22"/>
              </w:rPr>
              <w:t>目标7</w:t>
            </w:r>
          </w:p>
        </w:tc>
        <w:tc>
          <w:tcPr>
            <w:tcW w:w="826" w:type="dxa"/>
            <w:tcBorders>
              <w:top w:val="single" w:color="auto" w:sz="4" w:space="0"/>
              <w:bottom w:val="single" w:color="auto" w:sz="4" w:space="0"/>
            </w:tcBorders>
            <w:shd w:val="clear" w:color="auto" w:fill="FFFFFF"/>
            <w:noWrap w:val="0"/>
            <w:vAlign w:val="center"/>
          </w:tcPr>
          <w:p>
            <w:pPr>
              <w:widowControl/>
              <w:jc w:val="center"/>
              <w:rPr>
                <w:rFonts w:ascii="Times New Roman" w:hAnsi="Times New Roman" w:eastAsia="宋体" w:cs="Times New Roman"/>
                <w:kern w:val="0"/>
                <w:sz w:val="22"/>
              </w:rPr>
            </w:pPr>
            <w:r>
              <w:rPr>
                <w:rFonts w:ascii="Times New Roman" w:hAnsi="Times New Roman" w:eastAsia="宋体" w:cs="Times New Roman"/>
                <w:kern w:val="0"/>
                <w:sz w:val="22"/>
              </w:rPr>
              <w:t>目标8</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490" w:hRule="atLeast"/>
          <w:jc w:val="center"/>
        </w:trPr>
        <w:tc>
          <w:tcPr>
            <w:tcW w:w="1570" w:type="dxa"/>
            <w:tcBorders>
              <w:top w:val="single" w:color="auto" w:sz="4" w:space="0"/>
            </w:tcBorders>
            <w:noWrap w:val="0"/>
            <w:vAlign w:val="center"/>
          </w:tcPr>
          <w:p>
            <w:pPr>
              <w:widowControl/>
              <w:jc w:val="center"/>
              <w:rPr>
                <w:rFonts w:ascii="Times New Roman" w:hAnsi="Times New Roman" w:eastAsia="宋体" w:cs="Times New Roman"/>
                <w:kern w:val="0"/>
                <w:sz w:val="22"/>
              </w:rPr>
            </w:pPr>
            <w:r>
              <w:rPr>
                <w:rFonts w:ascii="Times New Roman" w:hAnsi="Times New Roman" w:eastAsia="宋体" w:cs="Times New Roman"/>
                <w:kern w:val="0"/>
                <w:sz w:val="22"/>
              </w:rPr>
              <w:t>理想信念教育</w:t>
            </w:r>
          </w:p>
        </w:tc>
        <w:tc>
          <w:tcPr>
            <w:tcW w:w="859" w:type="dxa"/>
            <w:tcBorders>
              <w:top w:val="single" w:color="auto" w:sz="4" w:space="0"/>
            </w:tcBorders>
            <w:noWrap w:val="0"/>
            <w:vAlign w:val="center"/>
          </w:tcPr>
          <w:p>
            <w:pPr>
              <w:widowControl/>
              <w:jc w:val="center"/>
              <w:rPr>
                <w:rFonts w:ascii="Times New Roman" w:hAnsi="Times New Roman" w:eastAsia="宋体" w:cs="Times New Roman"/>
                <w:b/>
                <w:bCs/>
                <w:kern w:val="0"/>
                <w:sz w:val="22"/>
              </w:rPr>
            </w:pPr>
          </w:p>
        </w:tc>
        <w:tc>
          <w:tcPr>
            <w:tcW w:w="859" w:type="dxa"/>
            <w:tcBorders>
              <w:top w:val="single" w:color="auto" w:sz="4" w:space="0"/>
            </w:tcBorders>
            <w:noWrap w:val="0"/>
            <w:vAlign w:val="center"/>
          </w:tcPr>
          <w:p>
            <w:pPr>
              <w:widowControl/>
              <w:jc w:val="center"/>
              <w:rPr>
                <w:rFonts w:ascii="Times New Roman" w:hAnsi="Times New Roman" w:eastAsia="宋体" w:cs="Times New Roman"/>
                <w:b/>
                <w:bCs/>
                <w:kern w:val="0"/>
                <w:sz w:val="22"/>
              </w:rPr>
            </w:pPr>
          </w:p>
        </w:tc>
        <w:tc>
          <w:tcPr>
            <w:tcW w:w="859" w:type="dxa"/>
            <w:tcBorders>
              <w:top w:val="single" w:color="auto" w:sz="4" w:space="0"/>
            </w:tcBorders>
            <w:noWrap w:val="0"/>
            <w:vAlign w:val="center"/>
          </w:tcPr>
          <w:p>
            <w:pPr>
              <w:widowControl/>
              <w:jc w:val="center"/>
              <w:rPr>
                <w:rFonts w:ascii="Times New Roman" w:hAnsi="Times New Roman" w:eastAsia="宋体" w:cs="Times New Roman"/>
                <w:b/>
                <w:bCs/>
                <w:kern w:val="0"/>
                <w:sz w:val="22"/>
              </w:rPr>
            </w:pPr>
            <w:r>
              <w:rPr>
                <w:rFonts w:ascii="Times New Roman" w:hAnsi="Times New Roman" w:eastAsia="宋体" w:cs="Times New Roman"/>
                <w:b/>
                <w:bCs/>
                <w:kern w:val="0"/>
                <w:sz w:val="22"/>
              </w:rPr>
              <w:t>√</w:t>
            </w:r>
          </w:p>
        </w:tc>
        <w:tc>
          <w:tcPr>
            <w:tcW w:w="859" w:type="dxa"/>
            <w:tcBorders>
              <w:top w:val="single" w:color="auto" w:sz="4" w:space="0"/>
            </w:tcBorders>
            <w:noWrap w:val="0"/>
            <w:vAlign w:val="center"/>
          </w:tcPr>
          <w:p>
            <w:pPr>
              <w:widowControl/>
              <w:jc w:val="center"/>
              <w:rPr>
                <w:rFonts w:ascii="Times New Roman" w:hAnsi="Times New Roman" w:eastAsia="宋体" w:cs="Times New Roman"/>
                <w:b/>
                <w:bCs/>
                <w:kern w:val="0"/>
                <w:sz w:val="22"/>
              </w:rPr>
            </w:pPr>
            <w:r>
              <w:rPr>
                <w:rFonts w:ascii="Times New Roman" w:hAnsi="Times New Roman" w:eastAsia="宋体" w:cs="Times New Roman"/>
                <w:b/>
                <w:bCs/>
                <w:kern w:val="0"/>
                <w:sz w:val="22"/>
              </w:rPr>
              <w:t>√</w:t>
            </w:r>
          </w:p>
        </w:tc>
        <w:tc>
          <w:tcPr>
            <w:tcW w:w="859" w:type="dxa"/>
            <w:tcBorders>
              <w:top w:val="single" w:color="auto" w:sz="4" w:space="0"/>
            </w:tcBorders>
            <w:noWrap w:val="0"/>
            <w:vAlign w:val="center"/>
          </w:tcPr>
          <w:p>
            <w:pPr>
              <w:widowControl/>
              <w:jc w:val="center"/>
              <w:rPr>
                <w:rFonts w:ascii="Times New Roman" w:hAnsi="Times New Roman" w:eastAsia="宋体" w:cs="Times New Roman"/>
                <w:b/>
                <w:bCs/>
                <w:kern w:val="0"/>
                <w:sz w:val="22"/>
              </w:rPr>
            </w:pPr>
            <w:r>
              <w:rPr>
                <w:rFonts w:ascii="Times New Roman" w:hAnsi="Times New Roman" w:eastAsia="宋体" w:cs="Times New Roman"/>
                <w:b/>
                <w:bCs/>
                <w:kern w:val="0"/>
                <w:sz w:val="22"/>
              </w:rPr>
              <w:t>√</w:t>
            </w:r>
          </w:p>
        </w:tc>
        <w:tc>
          <w:tcPr>
            <w:tcW w:w="859" w:type="dxa"/>
            <w:tcBorders>
              <w:top w:val="single" w:color="auto" w:sz="4" w:space="0"/>
            </w:tcBorders>
            <w:noWrap w:val="0"/>
            <w:vAlign w:val="center"/>
          </w:tcPr>
          <w:p>
            <w:pPr>
              <w:widowControl/>
              <w:jc w:val="center"/>
              <w:rPr>
                <w:rFonts w:ascii="Times New Roman" w:hAnsi="Times New Roman" w:eastAsia="宋体" w:cs="Times New Roman"/>
                <w:b/>
                <w:bCs/>
                <w:kern w:val="0"/>
                <w:sz w:val="22"/>
              </w:rPr>
            </w:pPr>
          </w:p>
        </w:tc>
        <w:tc>
          <w:tcPr>
            <w:tcW w:w="927" w:type="dxa"/>
            <w:tcBorders>
              <w:top w:val="single" w:color="auto" w:sz="4" w:space="0"/>
            </w:tcBorders>
            <w:noWrap w:val="0"/>
            <w:vAlign w:val="center"/>
          </w:tcPr>
          <w:p>
            <w:pPr>
              <w:widowControl/>
              <w:jc w:val="center"/>
              <w:rPr>
                <w:rFonts w:ascii="Times New Roman" w:hAnsi="Times New Roman" w:eastAsia="宋体" w:cs="Times New Roman"/>
                <w:b/>
                <w:bCs/>
                <w:kern w:val="0"/>
                <w:sz w:val="22"/>
              </w:rPr>
            </w:pPr>
          </w:p>
        </w:tc>
        <w:tc>
          <w:tcPr>
            <w:tcW w:w="826" w:type="dxa"/>
            <w:tcBorders>
              <w:top w:val="single" w:color="auto" w:sz="4" w:space="0"/>
            </w:tcBorders>
            <w:noWrap w:val="0"/>
            <w:vAlign w:val="center"/>
          </w:tcPr>
          <w:p>
            <w:pPr>
              <w:widowControl/>
              <w:jc w:val="center"/>
              <w:rPr>
                <w:rFonts w:ascii="Times New Roman" w:hAnsi="Times New Roman" w:eastAsia="宋体" w:cs="Times New Roman"/>
                <w:b/>
                <w:bCs/>
                <w:kern w:val="0"/>
                <w:sz w:val="22"/>
              </w:rPr>
            </w:pPr>
            <w:r>
              <w:rPr>
                <w:rFonts w:ascii="Times New Roman" w:hAnsi="Times New Roman" w:eastAsia="宋体" w:cs="Times New Roman"/>
                <w:b/>
                <w:bCs/>
                <w:kern w:val="0"/>
                <w:sz w:val="22"/>
              </w:rPr>
              <w:t>√</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490" w:hRule="atLeast"/>
          <w:jc w:val="center"/>
        </w:trPr>
        <w:tc>
          <w:tcPr>
            <w:tcW w:w="1570" w:type="dxa"/>
            <w:noWrap w:val="0"/>
            <w:vAlign w:val="center"/>
          </w:tcPr>
          <w:p>
            <w:pPr>
              <w:widowControl/>
              <w:jc w:val="center"/>
              <w:rPr>
                <w:rFonts w:ascii="Times New Roman" w:hAnsi="Times New Roman" w:eastAsia="宋体" w:cs="Times New Roman"/>
                <w:kern w:val="0"/>
                <w:sz w:val="22"/>
              </w:rPr>
            </w:pPr>
            <w:r>
              <w:rPr>
                <w:rFonts w:ascii="Times New Roman" w:hAnsi="Times New Roman" w:eastAsia="宋体" w:cs="Times New Roman"/>
                <w:kern w:val="0"/>
                <w:sz w:val="22"/>
              </w:rPr>
              <w:t>社会主义核心价值观教育</w:t>
            </w:r>
          </w:p>
        </w:tc>
        <w:tc>
          <w:tcPr>
            <w:tcW w:w="859" w:type="dxa"/>
            <w:noWrap w:val="0"/>
            <w:vAlign w:val="center"/>
          </w:tcPr>
          <w:p>
            <w:pPr>
              <w:widowControl/>
              <w:jc w:val="center"/>
              <w:rPr>
                <w:rFonts w:ascii="Times New Roman" w:hAnsi="Times New Roman" w:eastAsia="宋体" w:cs="Times New Roman"/>
                <w:b/>
                <w:bCs/>
                <w:kern w:val="0"/>
                <w:sz w:val="22"/>
              </w:rPr>
            </w:pPr>
            <w:r>
              <w:rPr>
                <w:rFonts w:ascii="Times New Roman" w:hAnsi="Times New Roman" w:eastAsia="宋体" w:cs="Times New Roman"/>
                <w:b/>
                <w:bCs/>
                <w:kern w:val="0"/>
                <w:sz w:val="22"/>
              </w:rPr>
              <w:t>√</w:t>
            </w:r>
          </w:p>
        </w:tc>
        <w:tc>
          <w:tcPr>
            <w:tcW w:w="859" w:type="dxa"/>
            <w:noWrap w:val="0"/>
            <w:vAlign w:val="center"/>
          </w:tcPr>
          <w:p>
            <w:pPr>
              <w:widowControl/>
              <w:jc w:val="center"/>
              <w:rPr>
                <w:rFonts w:ascii="Times New Roman" w:hAnsi="Times New Roman" w:eastAsia="宋体" w:cs="Times New Roman"/>
                <w:b/>
                <w:bCs/>
                <w:kern w:val="0"/>
                <w:sz w:val="22"/>
              </w:rPr>
            </w:pPr>
          </w:p>
        </w:tc>
        <w:tc>
          <w:tcPr>
            <w:tcW w:w="859" w:type="dxa"/>
            <w:noWrap w:val="0"/>
            <w:vAlign w:val="center"/>
          </w:tcPr>
          <w:p>
            <w:pPr>
              <w:widowControl/>
              <w:jc w:val="center"/>
              <w:rPr>
                <w:rFonts w:ascii="Times New Roman" w:hAnsi="Times New Roman" w:eastAsia="宋体" w:cs="Times New Roman"/>
                <w:b/>
                <w:bCs/>
                <w:kern w:val="0"/>
                <w:sz w:val="22"/>
              </w:rPr>
            </w:pPr>
            <w:r>
              <w:rPr>
                <w:rFonts w:ascii="Times New Roman" w:hAnsi="Times New Roman" w:eastAsia="宋体" w:cs="Times New Roman"/>
                <w:b/>
                <w:bCs/>
                <w:kern w:val="0"/>
                <w:sz w:val="22"/>
              </w:rPr>
              <w:t>√</w:t>
            </w:r>
          </w:p>
        </w:tc>
        <w:tc>
          <w:tcPr>
            <w:tcW w:w="859" w:type="dxa"/>
            <w:noWrap w:val="0"/>
            <w:vAlign w:val="center"/>
          </w:tcPr>
          <w:p>
            <w:pPr>
              <w:widowControl/>
              <w:jc w:val="center"/>
              <w:rPr>
                <w:rFonts w:ascii="Times New Roman" w:hAnsi="Times New Roman" w:eastAsia="宋体" w:cs="Times New Roman"/>
                <w:b/>
                <w:bCs/>
                <w:kern w:val="0"/>
                <w:sz w:val="22"/>
              </w:rPr>
            </w:pPr>
            <w:r>
              <w:rPr>
                <w:rFonts w:ascii="Times New Roman" w:hAnsi="Times New Roman" w:eastAsia="宋体" w:cs="Times New Roman"/>
                <w:b/>
                <w:bCs/>
                <w:kern w:val="0"/>
                <w:sz w:val="22"/>
              </w:rPr>
              <w:t>√</w:t>
            </w:r>
          </w:p>
        </w:tc>
        <w:tc>
          <w:tcPr>
            <w:tcW w:w="859" w:type="dxa"/>
            <w:noWrap w:val="0"/>
            <w:vAlign w:val="center"/>
          </w:tcPr>
          <w:p>
            <w:pPr>
              <w:widowControl/>
              <w:jc w:val="center"/>
              <w:rPr>
                <w:rFonts w:ascii="Times New Roman" w:hAnsi="Times New Roman" w:eastAsia="宋体" w:cs="Times New Roman"/>
                <w:b/>
                <w:bCs/>
                <w:kern w:val="0"/>
                <w:sz w:val="22"/>
              </w:rPr>
            </w:pPr>
          </w:p>
        </w:tc>
        <w:tc>
          <w:tcPr>
            <w:tcW w:w="859" w:type="dxa"/>
            <w:noWrap w:val="0"/>
            <w:vAlign w:val="center"/>
          </w:tcPr>
          <w:p>
            <w:pPr>
              <w:widowControl/>
              <w:jc w:val="center"/>
              <w:rPr>
                <w:rFonts w:ascii="Times New Roman" w:hAnsi="Times New Roman" w:eastAsia="宋体" w:cs="Times New Roman"/>
                <w:b/>
                <w:bCs/>
                <w:kern w:val="0"/>
                <w:sz w:val="22"/>
              </w:rPr>
            </w:pPr>
            <w:r>
              <w:rPr>
                <w:rFonts w:ascii="Times New Roman" w:hAnsi="Times New Roman" w:eastAsia="宋体" w:cs="Times New Roman"/>
                <w:b/>
                <w:bCs/>
                <w:kern w:val="0"/>
                <w:sz w:val="22"/>
              </w:rPr>
              <w:t>√</w:t>
            </w:r>
          </w:p>
        </w:tc>
        <w:tc>
          <w:tcPr>
            <w:tcW w:w="927" w:type="dxa"/>
            <w:noWrap w:val="0"/>
            <w:vAlign w:val="center"/>
          </w:tcPr>
          <w:p>
            <w:pPr>
              <w:widowControl/>
              <w:jc w:val="center"/>
              <w:rPr>
                <w:rFonts w:ascii="Times New Roman" w:hAnsi="Times New Roman" w:eastAsia="宋体" w:cs="Times New Roman"/>
                <w:b/>
                <w:bCs/>
                <w:kern w:val="0"/>
                <w:sz w:val="22"/>
              </w:rPr>
            </w:pPr>
          </w:p>
        </w:tc>
        <w:tc>
          <w:tcPr>
            <w:tcW w:w="826" w:type="dxa"/>
            <w:noWrap w:val="0"/>
            <w:vAlign w:val="center"/>
          </w:tcPr>
          <w:p>
            <w:pPr>
              <w:widowControl/>
              <w:jc w:val="center"/>
              <w:rPr>
                <w:rFonts w:ascii="Times New Roman" w:hAnsi="Times New Roman" w:eastAsia="宋体" w:cs="Times New Roman"/>
                <w:b/>
                <w:bCs/>
                <w:kern w:val="0"/>
                <w:sz w:val="22"/>
              </w:rPr>
            </w:pP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490" w:hRule="atLeast"/>
          <w:jc w:val="center"/>
        </w:trPr>
        <w:tc>
          <w:tcPr>
            <w:tcW w:w="1570" w:type="dxa"/>
            <w:noWrap w:val="0"/>
            <w:vAlign w:val="center"/>
          </w:tcPr>
          <w:p>
            <w:pPr>
              <w:widowControl/>
              <w:jc w:val="center"/>
              <w:rPr>
                <w:rFonts w:ascii="Times New Roman" w:hAnsi="Times New Roman" w:eastAsia="宋体" w:cs="Times New Roman"/>
                <w:kern w:val="0"/>
                <w:sz w:val="22"/>
              </w:rPr>
            </w:pPr>
            <w:r>
              <w:rPr>
                <w:rFonts w:ascii="Times New Roman" w:hAnsi="Times New Roman" w:eastAsia="宋体" w:cs="Times New Roman"/>
                <w:kern w:val="0"/>
                <w:sz w:val="22"/>
              </w:rPr>
              <w:t>中华优秀传统文化教育</w:t>
            </w:r>
          </w:p>
        </w:tc>
        <w:tc>
          <w:tcPr>
            <w:tcW w:w="859" w:type="dxa"/>
            <w:noWrap w:val="0"/>
            <w:vAlign w:val="center"/>
          </w:tcPr>
          <w:p>
            <w:pPr>
              <w:widowControl/>
              <w:jc w:val="center"/>
              <w:rPr>
                <w:rFonts w:ascii="Times New Roman" w:hAnsi="Times New Roman" w:eastAsia="宋体" w:cs="Times New Roman"/>
                <w:b/>
                <w:bCs/>
                <w:kern w:val="0"/>
                <w:sz w:val="22"/>
              </w:rPr>
            </w:pPr>
          </w:p>
        </w:tc>
        <w:tc>
          <w:tcPr>
            <w:tcW w:w="859" w:type="dxa"/>
            <w:noWrap w:val="0"/>
            <w:vAlign w:val="center"/>
          </w:tcPr>
          <w:p>
            <w:pPr>
              <w:widowControl/>
              <w:jc w:val="center"/>
              <w:rPr>
                <w:rFonts w:ascii="Times New Roman" w:hAnsi="Times New Roman" w:eastAsia="宋体" w:cs="Times New Roman"/>
                <w:b/>
                <w:bCs/>
                <w:kern w:val="0"/>
                <w:sz w:val="22"/>
              </w:rPr>
            </w:pPr>
            <w:r>
              <w:rPr>
                <w:rFonts w:ascii="Times New Roman" w:hAnsi="Times New Roman" w:eastAsia="宋体" w:cs="Times New Roman"/>
                <w:b/>
                <w:bCs/>
                <w:kern w:val="0"/>
                <w:sz w:val="22"/>
              </w:rPr>
              <w:t>√</w:t>
            </w:r>
          </w:p>
        </w:tc>
        <w:tc>
          <w:tcPr>
            <w:tcW w:w="859" w:type="dxa"/>
            <w:noWrap w:val="0"/>
            <w:vAlign w:val="center"/>
          </w:tcPr>
          <w:p>
            <w:pPr>
              <w:widowControl/>
              <w:jc w:val="center"/>
              <w:rPr>
                <w:rFonts w:ascii="Times New Roman" w:hAnsi="Times New Roman" w:eastAsia="宋体" w:cs="Times New Roman"/>
                <w:b/>
                <w:bCs/>
                <w:kern w:val="0"/>
                <w:sz w:val="22"/>
              </w:rPr>
            </w:pPr>
          </w:p>
        </w:tc>
        <w:tc>
          <w:tcPr>
            <w:tcW w:w="859" w:type="dxa"/>
            <w:noWrap w:val="0"/>
            <w:vAlign w:val="center"/>
          </w:tcPr>
          <w:p>
            <w:pPr>
              <w:widowControl/>
              <w:jc w:val="center"/>
              <w:rPr>
                <w:rFonts w:ascii="Times New Roman" w:hAnsi="Times New Roman" w:eastAsia="宋体" w:cs="Times New Roman"/>
                <w:b/>
                <w:bCs/>
                <w:kern w:val="0"/>
                <w:sz w:val="22"/>
              </w:rPr>
            </w:pPr>
            <w:r>
              <w:rPr>
                <w:rFonts w:ascii="Times New Roman" w:hAnsi="Times New Roman" w:eastAsia="宋体" w:cs="Times New Roman"/>
                <w:b/>
                <w:bCs/>
                <w:kern w:val="0"/>
                <w:sz w:val="22"/>
              </w:rPr>
              <w:t>√</w:t>
            </w:r>
          </w:p>
        </w:tc>
        <w:tc>
          <w:tcPr>
            <w:tcW w:w="859" w:type="dxa"/>
            <w:noWrap w:val="0"/>
            <w:vAlign w:val="center"/>
          </w:tcPr>
          <w:p>
            <w:pPr>
              <w:widowControl/>
              <w:jc w:val="center"/>
              <w:rPr>
                <w:rFonts w:ascii="Times New Roman" w:hAnsi="Times New Roman" w:eastAsia="宋体" w:cs="Times New Roman"/>
                <w:b/>
                <w:bCs/>
                <w:kern w:val="0"/>
                <w:sz w:val="22"/>
              </w:rPr>
            </w:pPr>
          </w:p>
        </w:tc>
        <w:tc>
          <w:tcPr>
            <w:tcW w:w="859" w:type="dxa"/>
            <w:noWrap w:val="0"/>
            <w:vAlign w:val="center"/>
          </w:tcPr>
          <w:p>
            <w:pPr>
              <w:widowControl/>
              <w:jc w:val="center"/>
              <w:rPr>
                <w:rFonts w:ascii="Times New Roman" w:hAnsi="Times New Roman" w:eastAsia="宋体" w:cs="Times New Roman"/>
                <w:b/>
                <w:bCs/>
                <w:kern w:val="0"/>
                <w:sz w:val="22"/>
              </w:rPr>
            </w:pPr>
            <w:r>
              <w:rPr>
                <w:rFonts w:ascii="Times New Roman" w:hAnsi="Times New Roman" w:eastAsia="宋体" w:cs="Times New Roman"/>
                <w:b/>
                <w:bCs/>
                <w:kern w:val="0"/>
                <w:sz w:val="22"/>
              </w:rPr>
              <w:t>√</w:t>
            </w:r>
          </w:p>
        </w:tc>
        <w:tc>
          <w:tcPr>
            <w:tcW w:w="927" w:type="dxa"/>
            <w:noWrap w:val="0"/>
            <w:vAlign w:val="center"/>
          </w:tcPr>
          <w:p>
            <w:pPr>
              <w:widowControl/>
              <w:jc w:val="center"/>
              <w:rPr>
                <w:rFonts w:ascii="Times New Roman" w:hAnsi="Times New Roman" w:eastAsia="宋体" w:cs="Times New Roman"/>
                <w:b/>
                <w:bCs/>
                <w:kern w:val="0"/>
                <w:sz w:val="22"/>
              </w:rPr>
            </w:pPr>
            <w:r>
              <w:rPr>
                <w:rFonts w:ascii="Times New Roman" w:hAnsi="Times New Roman" w:eastAsia="宋体" w:cs="Times New Roman"/>
                <w:b/>
                <w:bCs/>
                <w:kern w:val="0"/>
                <w:sz w:val="22"/>
              </w:rPr>
              <w:t>√</w:t>
            </w:r>
          </w:p>
        </w:tc>
        <w:tc>
          <w:tcPr>
            <w:tcW w:w="826" w:type="dxa"/>
            <w:noWrap w:val="0"/>
            <w:vAlign w:val="center"/>
          </w:tcPr>
          <w:p>
            <w:pPr>
              <w:widowControl/>
              <w:jc w:val="center"/>
              <w:rPr>
                <w:rFonts w:ascii="Times New Roman" w:hAnsi="Times New Roman" w:eastAsia="宋体" w:cs="Times New Roman"/>
                <w:b/>
                <w:bCs/>
                <w:kern w:val="0"/>
                <w:sz w:val="22"/>
              </w:rPr>
            </w:pP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490" w:hRule="atLeast"/>
          <w:jc w:val="center"/>
        </w:trPr>
        <w:tc>
          <w:tcPr>
            <w:tcW w:w="1570" w:type="dxa"/>
            <w:noWrap w:val="0"/>
            <w:vAlign w:val="center"/>
          </w:tcPr>
          <w:p>
            <w:pPr>
              <w:widowControl/>
              <w:jc w:val="center"/>
              <w:rPr>
                <w:rFonts w:ascii="Times New Roman" w:hAnsi="Times New Roman" w:eastAsia="宋体" w:cs="Times New Roman"/>
                <w:kern w:val="0"/>
                <w:sz w:val="22"/>
              </w:rPr>
            </w:pPr>
            <w:r>
              <w:rPr>
                <w:rFonts w:ascii="Times New Roman" w:hAnsi="Times New Roman" w:eastAsia="宋体" w:cs="Times New Roman"/>
                <w:kern w:val="0"/>
                <w:sz w:val="22"/>
              </w:rPr>
              <w:t>职业素养教育</w:t>
            </w:r>
          </w:p>
        </w:tc>
        <w:tc>
          <w:tcPr>
            <w:tcW w:w="859" w:type="dxa"/>
            <w:noWrap w:val="0"/>
            <w:vAlign w:val="center"/>
          </w:tcPr>
          <w:p>
            <w:pPr>
              <w:widowControl/>
              <w:jc w:val="center"/>
              <w:rPr>
                <w:rFonts w:ascii="Times New Roman" w:hAnsi="Times New Roman" w:eastAsia="宋体" w:cs="Times New Roman"/>
                <w:b/>
                <w:bCs/>
                <w:kern w:val="0"/>
                <w:sz w:val="22"/>
              </w:rPr>
            </w:pPr>
            <w:r>
              <w:rPr>
                <w:rFonts w:ascii="Times New Roman" w:hAnsi="Times New Roman" w:eastAsia="宋体" w:cs="Times New Roman"/>
                <w:b/>
                <w:bCs/>
                <w:kern w:val="0"/>
                <w:sz w:val="22"/>
              </w:rPr>
              <w:t>√</w:t>
            </w:r>
          </w:p>
        </w:tc>
        <w:tc>
          <w:tcPr>
            <w:tcW w:w="859" w:type="dxa"/>
            <w:noWrap w:val="0"/>
            <w:vAlign w:val="center"/>
          </w:tcPr>
          <w:p>
            <w:pPr>
              <w:widowControl/>
              <w:jc w:val="center"/>
              <w:rPr>
                <w:rFonts w:ascii="Times New Roman" w:hAnsi="Times New Roman" w:eastAsia="宋体" w:cs="Times New Roman"/>
                <w:b/>
                <w:bCs/>
                <w:kern w:val="0"/>
                <w:sz w:val="22"/>
              </w:rPr>
            </w:pPr>
            <w:r>
              <w:rPr>
                <w:rFonts w:ascii="Times New Roman" w:hAnsi="Times New Roman" w:eastAsia="宋体" w:cs="Times New Roman"/>
                <w:b/>
                <w:bCs/>
                <w:kern w:val="0"/>
                <w:sz w:val="22"/>
              </w:rPr>
              <w:t>√</w:t>
            </w:r>
          </w:p>
        </w:tc>
        <w:tc>
          <w:tcPr>
            <w:tcW w:w="859" w:type="dxa"/>
            <w:noWrap w:val="0"/>
            <w:vAlign w:val="center"/>
          </w:tcPr>
          <w:p>
            <w:pPr>
              <w:widowControl/>
              <w:jc w:val="center"/>
              <w:rPr>
                <w:rFonts w:ascii="Times New Roman" w:hAnsi="Times New Roman" w:eastAsia="宋体" w:cs="Times New Roman"/>
                <w:b/>
                <w:bCs/>
                <w:kern w:val="0"/>
                <w:sz w:val="22"/>
              </w:rPr>
            </w:pPr>
            <w:r>
              <w:rPr>
                <w:rFonts w:ascii="Times New Roman" w:hAnsi="Times New Roman" w:eastAsia="宋体" w:cs="Times New Roman"/>
                <w:b/>
                <w:bCs/>
                <w:kern w:val="0"/>
                <w:sz w:val="22"/>
              </w:rPr>
              <w:t>√</w:t>
            </w:r>
          </w:p>
        </w:tc>
        <w:tc>
          <w:tcPr>
            <w:tcW w:w="859" w:type="dxa"/>
            <w:noWrap w:val="0"/>
            <w:vAlign w:val="center"/>
          </w:tcPr>
          <w:p>
            <w:pPr>
              <w:widowControl/>
              <w:jc w:val="center"/>
              <w:rPr>
                <w:rFonts w:ascii="Times New Roman" w:hAnsi="Times New Roman" w:eastAsia="宋体" w:cs="Times New Roman"/>
                <w:b/>
                <w:bCs/>
                <w:kern w:val="0"/>
                <w:sz w:val="22"/>
              </w:rPr>
            </w:pPr>
            <w:r>
              <w:rPr>
                <w:rFonts w:ascii="Times New Roman" w:hAnsi="Times New Roman" w:eastAsia="宋体" w:cs="Times New Roman"/>
                <w:b/>
                <w:bCs/>
                <w:kern w:val="0"/>
                <w:sz w:val="22"/>
              </w:rPr>
              <w:t>√</w:t>
            </w:r>
          </w:p>
        </w:tc>
        <w:tc>
          <w:tcPr>
            <w:tcW w:w="859" w:type="dxa"/>
            <w:noWrap w:val="0"/>
            <w:vAlign w:val="center"/>
          </w:tcPr>
          <w:p>
            <w:pPr>
              <w:widowControl/>
              <w:jc w:val="center"/>
              <w:rPr>
                <w:rFonts w:ascii="Times New Roman" w:hAnsi="Times New Roman" w:eastAsia="宋体" w:cs="Times New Roman"/>
                <w:b/>
                <w:bCs/>
                <w:kern w:val="0"/>
                <w:sz w:val="22"/>
              </w:rPr>
            </w:pPr>
            <w:r>
              <w:rPr>
                <w:rFonts w:ascii="Times New Roman" w:hAnsi="Times New Roman" w:eastAsia="宋体" w:cs="Times New Roman"/>
                <w:b/>
                <w:bCs/>
                <w:kern w:val="0"/>
                <w:sz w:val="22"/>
              </w:rPr>
              <w:t>√</w:t>
            </w:r>
          </w:p>
        </w:tc>
        <w:tc>
          <w:tcPr>
            <w:tcW w:w="859" w:type="dxa"/>
            <w:noWrap w:val="0"/>
            <w:vAlign w:val="center"/>
          </w:tcPr>
          <w:p>
            <w:pPr>
              <w:widowControl/>
              <w:jc w:val="center"/>
              <w:rPr>
                <w:rFonts w:ascii="Times New Roman" w:hAnsi="Times New Roman" w:eastAsia="宋体" w:cs="Times New Roman"/>
                <w:b/>
                <w:bCs/>
                <w:kern w:val="0"/>
                <w:sz w:val="22"/>
              </w:rPr>
            </w:pPr>
            <w:r>
              <w:rPr>
                <w:rFonts w:ascii="Times New Roman" w:hAnsi="Times New Roman" w:eastAsia="宋体" w:cs="Times New Roman"/>
                <w:b/>
                <w:bCs/>
                <w:kern w:val="0"/>
                <w:sz w:val="22"/>
              </w:rPr>
              <w:t>√</w:t>
            </w:r>
          </w:p>
        </w:tc>
        <w:tc>
          <w:tcPr>
            <w:tcW w:w="927" w:type="dxa"/>
            <w:noWrap w:val="0"/>
            <w:vAlign w:val="center"/>
          </w:tcPr>
          <w:p>
            <w:pPr>
              <w:widowControl/>
              <w:jc w:val="center"/>
              <w:rPr>
                <w:rFonts w:ascii="Times New Roman" w:hAnsi="Times New Roman" w:eastAsia="宋体" w:cs="Times New Roman"/>
                <w:b/>
                <w:bCs/>
                <w:kern w:val="0"/>
                <w:sz w:val="22"/>
              </w:rPr>
            </w:pPr>
            <w:r>
              <w:rPr>
                <w:rFonts w:ascii="Times New Roman" w:hAnsi="Times New Roman" w:eastAsia="宋体" w:cs="Times New Roman"/>
                <w:b/>
                <w:bCs/>
                <w:kern w:val="0"/>
                <w:sz w:val="22"/>
              </w:rPr>
              <w:t>√</w:t>
            </w:r>
          </w:p>
        </w:tc>
        <w:tc>
          <w:tcPr>
            <w:tcW w:w="826" w:type="dxa"/>
            <w:noWrap w:val="0"/>
            <w:vAlign w:val="center"/>
          </w:tcPr>
          <w:p>
            <w:pPr>
              <w:widowControl/>
              <w:jc w:val="center"/>
              <w:rPr>
                <w:rFonts w:ascii="Times New Roman" w:hAnsi="Times New Roman" w:eastAsia="宋体" w:cs="Times New Roman"/>
                <w:b/>
                <w:bCs/>
                <w:kern w:val="0"/>
                <w:sz w:val="22"/>
              </w:rPr>
            </w:pPr>
            <w:r>
              <w:rPr>
                <w:rFonts w:ascii="Times New Roman" w:hAnsi="Times New Roman" w:eastAsia="宋体" w:cs="Times New Roman"/>
                <w:b/>
                <w:bCs/>
                <w:kern w:val="0"/>
                <w:sz w:val="22"/>
              </w:rPr>
              <w:t>√</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490" w:hRule="atLeast"/>
          <w:jc w:val="center"/>
        </w:trPr>
        <w:tc>
          <w:tcPr>
            <w:tcW w:w="1570" w:type="dxa"/>
            <w:noWrap w:val="0"/>
            <w:vAlign w:val="center"/>
          </w:tcPr>
          <w:p>
            <w:pPr>
              <w:widowControl/>
              <w:jc w:val="center"/>
              <w:rPr>
                <w:rFonts w:ascii="Times New Roman" w:hAnsi="Times New Roman" w:eastAsia="宋体" w:cs="Times New Roman"/>
                <w:kern w:val="0"/>
                <w:sz w:val="22"/>
              </w:rPr>
            </w:pPr>
            <w:r>
              <w:rPr>
                <w:rFonts w:ascii="Times New Roman" w:hAnsi="Times New Roman" w:eastAsia="宋体" w:cs="Times New Roman"/>
                <w:kern w:val="0"/>
                <w:sz w:val="22"/>
              </w:rPr>
              <w:t>生态文明教育</w:t>
            </w:r>
          </w:p>
        </w:tc>
        <w:tc>
          <w:tcPr>
            <w:tcW w:w="859" w:type="dxa"/>
            <w:noWrap w:val="0"/>
            <w:vAlign w:val="center"/>
          </w:tcPr>
          <w:p>
            <w:pPr>
              <w:widowControl/>
              <w:jc w:val="center"/>
              <w:rPr>
                <w:rFonts w:ascii="Times New Roman" w:hAnsi="Times New Roman" w:eastAsia="宋体" w:cs="Times New Roman"/>
                <w:b/>
                <w:bCs/>
                <w:kern w:val="0"/>
                <w:sz w:val="22"/>
              </w:rPr>
            </w:pPr>
          </w:p>
        </w:tc>
        <w:tc>
          <w:tcPr>
            <w:tcW w:w="859" w:type="dxa"/>
            <w:noWrap w:val="0"/>
            <w:vAlign w:val="center"/>
          </w:tcPr>
          <w:p>
            <w:pPr>
              <w:widowControl/>
              <w:jc w:val="center"/>
              <w:rPr>
                <w:rFonts w:ascii="Times New Roman" w:hAnsi="Times New Roman" w:eastAsia="宋体" w:cs="Times New Roman"/>
                <w:b/>
                <w:bCs/>
                <w:kern w:val="0"/>
                <w:sz w:val="22"/>
              </w:rPr>
            </w:pPr>
          </w:p>
        </w:tc>
        <w:tc>
          <w:tcPr>
            <w:tcW w:w="859" w:type="dxa"/>
            <w:noWrap w:val="0"/>
            <w:vAlign w:val="center"/>
          </w:tcPr>
          <w:p>
            <w:pPr>
              <w:widowControl/>
              <w:jc w:val="center"/>
              <w:rPr>
                <w:rFonts w:ascii="Times New Roman" w:hAnsi="Times New Roman" w:eastAsia="宋体" w:cs="Times New Roman"/>
                <w:b/>
                <w:bCs/>
                <w:kern w:val="0"/>
                <w:sz w:val="22"/>
              </w:rPr>
            </w:pPr>
          </w:p>
        </w:tc>
        <w:tc>
          <w:tcPr>
            <w:tcW w:w="859" w:type="dxa"/>
            <w:noWrap w:val="0"/>
            <w:vAlign w:val="center"/>
          </w:tcPr>
          <w:p>
            <w:pPr>
              <w:widowControl/>
              <w:jc w:val="center"/>
              <w:rPr>
                <w:rFonts w:ascii="Times New Roman" w:hAnsi="Times New Roman" w:eastAsia="宋体" w:cs="Times New Roman"/>
                <w:b/>
                <w:bCs/>
                <w:kern w:val="0"/>
                <w:sz w:val="22"/>
              </w:rPr>
            </w:pPr>
          </w:p>
        </w:tc>
        <w:tc>
          <w:tcPr>
            <w:tcW w:w="859" w:type="dxa"/>
            <w:noWrap w:val="0"/>
            <w:vAlign w:val="center"/>
          </w:tcPr>
          <w:p>
            <w:pPr>
              <w:widowControl/>
              <w:jc w:val="center"/>
              <w:rPr>
                <w:rFonts w:ascii="Times New Roman" w:hAnsi="Times New Roman" w:eastAsia="宋体" w:cs="Times New Roman"/>
                <w:b/>
                <w:bCs/>
                <w:kern w:val="0"/>
                <w:sz w:val="22"/>
              </w:rPr>
            </w:pPr>
            <w:r>
              <w:rPr>
                <w:rFonts w:ascii="Times New Roman" w:hAnsi="Times New Roman" w:eastAsia="宋体" w:cs="Times New Roman"/>
                <w:b/>
                <w:bCs/>
                <w:kern w:val="0"/>
                <w:sz w:val="22"/>
              </w:rPr>
              <w:t>√</w:t>
            </w:r>
          </w:p>
        </w:tc>
        <w:tc>
          <w:tcPr>
            <w:tcW w:w="859" w:type="dxa"/>
            <w:noWrap w:val="0"/>
            <w:vAlign w:val="center"/>
          </w:tcPr>
          <w:p>
            <w:pPr>
              <w:widowControl/>
              <w:jc w:val="center"/>
              <w:rPr>
                <w:rFonts w:ascii="Times New Roman" w:hAnsi="Times New Roman" w:eastAsia="宋体" w:cs="Times New Roman"/>
                <w:b/>
                <w:bCs/>
                <w:kern w:val="0"/>
                <w:sz w:val="22"/>
              </w:rPr>
            </w:pPr>
          </w:p>
        </w:tc>
        <w:tc>
          <w:tcPr>
            <w:tcW w:w="927" w:type="dxa"/>
            <w:noWrap w:val="0"/>
            <w:vAlign w:val="center"/>
          </w:tcPr>
          <w:p>
            <w:pPr>
              <w:widowControl/>
              <w:jc w:val="center"/>
              <w:rPr>
                <w:rFonts w:ascii="Times New Roman" w:hAnsi="Times New Roman" w:eastAsia="宋体" w:cs="Times New Roman"/>
                <w:b/>
                <w:bCs/>
                <w:kern w:val="0"/>
                <w:sz w:val="22"/>
              </w:rPr>
            </w:pPr>
          </w:p>
        </w:tc>
        <w:tc>
          <w:tcPr>
            <w:tcW w:w="826" w:type="dxa"/>
            <w:noWrap w:val="0"/>
            <w:vAlign w:val="center"/>
          </w:tcPr>
          <w:p>
            <w:pPr>
              <w:widowControl/>
              <w:jc w:val="center"/>
              <w:rPr>
                <w:rFonts w:ascii="Times New Roman" w:hAnsi="Times New Roman" w:eastAsia="宋体" w:cs="Times New Roman"/>
                <w:b/>
                <w:bCs/>
                <w:kern w:val="0"/>
                <w:sz w:val="22"/>
              </w:rPr>
            </w:pPr>
            <w:r>
              <w:rPr>
                <w:rFonts w:ascii="Times New Roman" w:hAnsi="Times New Roman" w:eastAsia="宋体" w:cs="Times New Roman"/>
                <w:b/>
                <w:bCs/>
                <w:kern w:val="0"/>
                <w:sz w:val="22"/>
              </w:rPr>
              <w:t>√</w:t>
            </w:r>
          </w:p>
        </w:tc>
      </w:tr>
    </w:tbl>
    <w:p>
      <w:pPr>
        <w:spacing w:line="360" w:lineRule="auto"/>
        <w:ind w:left="562"/>
        <w:rPr>
          <w:rFonts w:ascii="Times New Roman" w:hAnsi="Times New Roman" w:eastAsia="宋体" w:cs="Times New Roman"/>
          <w:b/>
          <w:sz w:val="28"/>
          <w:szCs w:val="28"/>
        </w:rPr>
      </w:pPr>
      <w:r>
        <w:rPr>
          <w:rFonts w:ascii="Times New Roman" w:hAnsi="Times New Roman" w:eastAsia="宋体" w:cs="Times New Roman"/>
          <w:b/>
          <w:sz w:val="28"/>
          <w:szCs w:val="28"/>
        </w:rPr>
        <w:t>五、答辩及成绩评定</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毕业设计（论文）的答辩：</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毕业设计（论文）答辩，以检查学生是否达到了毕业设计（论文）的基本要求为目的。答辩小组由3～5人组成，具体负责学生的毕业设计（论文）答辩工作。</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毕业设计（论文）的成绩评定：</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采用五级记分制评定成绩：优秀（90～100分）、良好（80～89分）、中等（70～79分）、及格（60～69分）、不及格（60分以下）。要求优秀的比例一般在15%左右，良好的比例在40%以内，不及格(含参加二次答辩者)的比例一般在5%左右。</w:t>
      </w:r>
    </w:p>
    <w:p>
      <w:pPr>
        <w:spacing w:line="360" w:lineRule="auto"/>
        <w:ind w:firstLine="562" w:firstLineChars="200"/>
        <w:rPr>
          <w:rFonts w:ascii="Times New Roman" w:hAnsi="Times New Roman" w:eastAsia="宋体" w:cs="Times New Roman"/>
          <w:b/>
          <w:sz w:val="28"/>
          <w:szCs w:val="28"/>
        </w:rPr>
      </w:pPr>
      <w:r>
        <w:rPr>
          <w:rFonts w:ascii="Times New Roman" w:hAnsi="Times New Roman" w:eastAsia="宋体" w:cs="Times New Roman"/>
          <w:b/>
          <w:sz w:val="28"/>
          <w:szCs w:val="28"/>
        </w:rPr>
        <w:t>六、有关说明</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 xml:space="preserve">1．持续改进：指导教师定期了解学生毕业设计进展情况，解答学生毕业 设计中遇到的问题，指出学生毕业设计中存在的错误，提出修改意见，检查完 成情况，督促工作进度。 </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2. 成绩评定：指导教师评定成绩 40%+评阅教师评定成绩 40%+答辩成绩 20%=总评成绩</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3. 教学参考资料：化学工程与工艺专业理论及实验课程教材；毕业论文 （设计）指导教师指定阅读资料；其它科技文献资料。</w:t>
      </w:r>
    </w:p>
    <w:p>
      <w:pPr>
        <w:autoSpaceDE w:val="0"/>
        <w:autoSpaceDN w:val="0"/>
        <w:adjustRightInd w:val="0"/>
        <w:spacing w:line="360" w:lineRule="auto"/>
        <w:ind w:right="1440"/>
        <w:jc w:val="right"/>
        <w:rPr>
          <w:rFonts w:ascii="Times New Roman" w:hAnsi="Times New Roman" w:eastAsia="宋体" w:cs="Times New Roman"/>
          <w:kern w:val="0"/>
          <w:sz w:val="24"/>
          <w:szCs w:val="21"/>
        </w:rPr>
      </w:pPr>
      <w:r>
        <w:rPr>
          <w:rFonts w:ascii="Times New Roman" w:hAnsi="Times New Roman" w:eastAsia="宋体" w:cs="Times New Roman"/>
          <w:kern w:val="0"/>
          <w:sz w:val="24"/>
          <w:szCs w:val="21"/>
        </w:rPr>
        <w:t>执笔人：孙潇楠</w:t>
      </w:r>
    </w:p>
    <w:p>
      <w:pPr>
        <w:autoSpaceDE w:val="0"/>
        <w:autoSpaceDN w:val="0"/>
        <w:adjustRightInd w:val="0"/>
        <w:spacing w:line="360" w:lineRule="auto"/>
        <w:ind w:right="1440"/>
        <w:jc w:val="right"/>
        <w:rPr>
          <w:rFonts w:ascii="Times New Roman" w:hAnsi="Times New Roman" w:eastAsia="宋体" w:cs="Times New Roman"/>
          <w:kern w:val="0"/>
          <w:sz w:val="24"/>
          <w:szCs w:val="21"/>
        </w:rPr>
      </w:pPr>
      <w:r>
        <w:rPr>
          <w:rFonts w:ascii="Times New Roman" w:hAnsi="Times New Roman" w:eastAsia="宋体" w:cs="Times New Roman"/>
          <w:kern w:val="0"/>
          <w:sz w:val="24"/>
          <w:szCs w:val="21"/>
        </w:rPr>
        <w:t>审定人：魏雪姣</w:t>
      </w:r>
    </w:p>
    <w:p>
      <w:pPr>
        <w:spacing w:line="360" w:lineRule="auto"/>
        <w:ind w:right="1440"/>
        <w:jc w:val="right"/>
        <w:rPr>
          <w:rFonts w:ascii="Times New Roman" w:hAnsi="Times New Roman" w:eastAsia="宋体" w:cs="Times New Roman"/>
          <w:kern w:val="0"/>
          <w:sz w:val="24"/>
          <w:szCs w:val="21"/>
        </w:rPr>
      </w:pPr>
      <w:r>
        <w:rPr>
          <w:rFonts w:ascii="Times New Roman" w:hAnsi="Times New Roman" w:eastAsia="宋体" w:cs="Times New Roman"/>
          <w:kern w:val="0"/>
          <w:sz w:val="24"/>
          <w:szCs w:val="21"/>
        </w:rPr>
        <w:t>审批人：吴泽颖</w:t>
      </w:r>
    </w:p>
    <w:p>
      <w:r>
        <w:rPr>
          <w:rFonts w:ascii="Times New Roman" w:hAnsi="Times New Roman" w:eastAsia="宋体" w:cs="Times New Roman"/>
          <w:kern w:val="0"/>
          <w:sz w:val="24"/>
          <w:szCs w:val="21"/>
        </w:rPr>
        <w:t xml:space="preserve"> </w:t>
      </w:r>
      <w:r>
        <w:rPr>
          <w:rFonts w:hint="eastAsia" w:cs="Times New Roman"/>
          <w:kern w:val="0"/>
          <w:sz w:val="24"/>
          <w:szCs w:val="21"/>
          <w:lang w:val="en-US" w:eastAsia="zh-CN"/>
        </w:rPr>
        <w:t xml:space="preserve">                              </w:t>
      </w:r>
      <w:r>
        <w:rPr>
          <w:rFonts w:ascii="Times New Roman" w:hAnsi="Times New Roman" w:eastAsia="宋体" w:cs="Times New Roman"/>
          <w:kern w:val="0"/>
          <w:sz w:val="24"/>
          <w:szCs w:val="21"/>
        </w:rPr>
        <w:t>批准时间：2021年10月20日</w:t>
      </w:r>
    </w:p>
    <w:sectPr>
      <w:headerReference r:id="rId1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汉仪李国兴行楷简">
    <w:panose1 w:val="00020600040101010101"/>
    <w:charset w:val="86"/>
    <w:family w:val="auto"/>
    <w:pitch w:val="default"/>
    <w:sig w:usb0="8000003F" w:usb1="0AC77CFA" w:usb2="00000016" w:usb3="00000000" w:csb0="000400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楷体_GB2312">
    <w:altName w:val="楷体"/>
    <w:panose1 w:val="00000000000000000000"/>
    <w:charset w:val="86"/>
    <w:family w:val="roman"/>
    <w:pitch w:val="default"/>
    <w:sig w:usb0="00000000" w:usb1="00000000" w:usb2="0000001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隶书">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ze1J90CAAAmBgAADgAAAAAAAAABACAAAAAfAQAAZHJzL2Uyb0RvYy54bWxQSwUG&#10;AAAAAAYABgBZAQAAbgY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RuS5b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ZG5Llt0CAAAmBgAADgAAAAAAAAABACAAAAAfAQAAZHJzL2Uyb0RvYy54bWxQSwUG&#10;AAAAAAYABgBZAQAAbgY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lang w:eastAsia="zh-CN"/>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eastAsia="宋体"/>
        <w:lang w:eastAsia="zh-CN"/>
      </w:rPr>
    </w:pPr>
    <w:r>
      <w:drawing>
        <wp:inline distT="0" distB="0" distL="114300" distR="114300">
          <wp:extent cx="199390" cy="191770"/>
          <wp:effectExtent l="0" t="0" r="10160" b="17780"/>
          <wp:docPr id="1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3"/>
                  <pic:cNvPicPr>
                    <a:picLocks noChangeAspect="1"/>
                  </pic:cNvPicPr>
                </pic:nvPicPr>
                <pic:blipFill>
                  <a:blip r:embed="rId1"/>
                  <a:stretch>
                    <a:fillRect/>
                  </a:stretch>
                </pic:blipFill>
                <pic:spPr>
                  <a:xfrm>
                    <a:off x="0" y="0"/>
                    <a:ext cx="199390" cy="191770"/>
                  </a:xfrm>
                  <a:prstGeom prst="rect">
                    <a:avLst/>
                  </a:prstGeom>
                  <a:noFill/>
                  <a:ln>
                    <a:noFill/>
                  </a:ln>
                </pic:spPr>
              </pic:pic>
            </a:graphicData>
          </a:graphic>
        </wp:inline>
      </w:drawing>
    </w:r>
    <w:r>
      <w:rPr>
        <w:rFonts w:hint="eastAsia" w:ascii="华文行楷" w:hAnsi="华文行楷" w:eastAsia="华文行楷" w:cs="华文行楷"/>
        <w:sz w:val="24"/>
        <w:szCs w:val="24"/>
        <w:lang w:eastAsia="zh-CN"/>
      </w:rPr>
      <w:t>化工与材料学院化学工程与工艺（应用化学（</w:t>
    </w:r>
    <w:r>
      <w:rPr>
        <w:rFonts w:hint="eastAsia" w:ascii="华文行楷" w:hAnsi="华文行楷" w:eastAsia="华文行楷" w:cs="华文行楷"/>
        <w:sz w:val="24"/>
        <w:szCs w:val="24"/>
        <w:lang w:val="en-US" w:eastAsia="zh-CN"/>
      </w:rPr>
      <w:t>3+4</w:t>
    </w:r>
    <w:r>
      <w:rPr>
        <w:rFonts w:hint="eastAsia" w:ascii="华文行楷" w:hAnsi="华文行楷" w:eastAsia="华文行楷" w:cs="华文行楷"/>
        <w:sz w:val="24"/>
        <w:szCs w:val="24"/>
        <w:lang w:eastAsia="zh-CN"/>
      </w:rPr>
      <w:t>））专业</w:t>
    </w:r>
    <w:r>
      <w:rPr>
        <w:rFonts w:hint="eastAsia" w:ascii="华文行楷" w:hAnsi="华文行楷" w:eastAsia="华文行楷" w:cs="华文行楷"/>
        <w:sz w:val="24"/>
        <w:szCs w:val="24"/>
        <w:lang w:val="en-US" w:eastAsia="zh-CN"/>
      </w:rPr>
      <w:t>2021级</w:t>
    </w:r>
    <w:r>
      <w:rPr>
        <w:rFonts w:hint="eastAsia" w:ascii="华文行楷" w:hAnsi="华文行楷" w:eastAsia="华文行楷" w:cs="华文行楷"/>
        <w:sz w:val="24"/>
        <w:szCs w:val="24"/>
        <w:lang w:eastAsia="zh-CN"/>
      </w:rPr>
      <w:t>教学大纲</w:t>
    </w:r>
  </w:p>
  <w:p>
    <w:pPr>
      <w:pStyle w:val="7"/>
      <w:pBdr>
        <w:bottom w:val="none" w:color="auto" w:sz="0" w:space="1"/>
      </w:pBdr>
      <w:rPr>
        <w:rFonts w:hint="eastAsia"/>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pPr>
    <w:r>
      <w:drawing>
        <wp:inline distT="0" distB="0" distL="114300" distR="114300">
          <wp:extent cx="199390" cy="191770"/>
          <wp:effectExtent l="0" t="0" r="10160" b="17780"/>
          <wp:docPr id="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3"/>
                  <pic:cNvPicPr>
                    <a:picLocks noChangeAspect="1"/>
                  </pic:cNvPicPr>
                </pic:nvPicPr>
                <pic:blipFill>
                  <a:blip r:embed="rId1"/>
                  <a:stretch>
                    <a:fillRect/>
                  </a:stretch>
                </pic:blipFill>
                <pic:spPr>
                  <a:xfrm>
                    <a:off x="0" y="0"/>
                    <a:ext cx="199390" cy="191770"/>
                  </a:xfrm>
                  <a:prstGeom prst="rect">
                    <a:avLst/>
                  </a:prstGeom>
                  <a:noFill/>
                  <a:ln>
                    <a:noFill/>
                  </a:ln>
                </pic:spPr>
              </pic:pic>
            </a:graphicData>
          </a:graphic>
        </wp:inline>
      </w:drawing>
    </w:r>
    <w:r>
      <w:rPr>
        <w:rFonts w:hint="eastAsia" w:ascii="华文行楷" w:hAnsi="华文行楷" w:eastAsia="华文行楷" w:cs="华文行楷"/>
        <w:sz w:val="24"/>
        <w:szCs w:val="24"/>
        <w:lang w:eastAsia="zh-CN"/>
      </w:rPr>
      <w:t>化工与材料学院化学工程与工艺（应用化学（</w:t>
    </w:r>
    <w:r>
      <w:rPr>
        <w:rFonts w:hint="eastAsia" w:ascii="华文行楷" w:hAnsi="华文行楷" w:eastAsia="华文行楷" w:cs="华文行楷"/>
        <w:sz w:val="24"/>
        <w:szCs w:val="24"/>
        <w:lang w:val="en-US" w:eastAsia="zh-CN"/>
      </w:rPr>
      <w:t>3+4</w:t>
    </w:r>
    <w:r>
      <w:rPr>
        <w:rFonts w:hint="eastAsia" w:ascii="华文行楷" w:hAnsi="华文行楷" w:eastAsia="华文行楷" w:cs="华文行楷"/>
        <w:sz w:val="24"/>
        <w:szCs w:val="24"/>
        <w:lang w:eastAsia="zh-CN"/>
      </w:rPr>
      <w:t>））专业</w:t>
    </w:r>
    <w:r>
      <w:rPr>
        <w:rFonts w:hint="eastAsia" w:ascii="华文行楷" w:hAnsi="华文行楷" w:eastAsia="华文行楷" w:cs="华文行楷"/>
        <w:sz w:val="24"/>
        <w:szCs w:val="24"/>
        <w:lang w:val="en-US" w:eastAsia="zh-CN"/>
      </w:rPr>
      <w:t>2021级</w:t>
    </w:r>
    <w:r>
      <w:rPr>
        <w:rFonts w:hint="eastAsia" w:ascii="华文行楷" w:hAnsi="华文行楷" w:eastAsia="华文行楷" w:cs="华文行楷"/>
        <w:sz w:val="24"/>
        <w:szCs w:val="24"/>
        <w:lang w:eastAsia="zh-CN"/>
      </w:rPr>
      <w:t>教学大纲</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eastAsia="宋体"/>
        <w:lang w:eastAsia="zh-CN"/>
      </w:rPr>
    </w:pPr>
    <w:r>
      <w:drawing>
        <wp:inline distT="0" distB="0" distL="114300" distR="114300">
          <wp:extent cx="199390" cy="191770"/>
          <wp:effectExtent l="0" t="0" r="10160" b="17780"/>
          <wp:docPr id="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8"/>
                  <pic:cNvPicPr>
                    <a:picLocks noChangeAspect="1"/>
                  </pic:cNvPicPr>
                </pic:nvPicPr>
                <pic:blipFill>
                  <a:blip r:embed="rId1"/>
                  <a:stretch>
                    <a:fillRect/>
                  </a:stretch>
                </pic:blipFill>
                <pic:spPr>
                  <a:xfrm>
                    <a:off x="0" y="0"/>
                    <a:ext cx="199390" cy="191770"/>
                  </a:xfrm>
                  <a:prstGeom prst="rect">
                    <a:avLst/>
                  </a:prstGeom>
                  <a:noFill/>
                  <a:ln>
                    <a:noFill/>
                  </a:ln>
                </pic:spPr>
              </pic:pic>
            </a:graphicData>
          </a:graphic>
        </wp:inline>
      </w:drawing>
    </w:r>
    <w:r>
      <w:rPr>
        <w:rFonts w:hint="eastAsia" w:ascii="华文行楷" w:hAnsi="华文行楷" w:eastAsia="华文行楷" w:cs="华文行楷"/>
        <w:sz w:val="24"/>
        <w:szCs w:val="24"/>
        <w:lang w:eastAsia="zh-CN"/>
      </w:rPr>
      <w:t>化工与材料学院化学工程与工艺（应用化学（</w:t>
    </w:r>
    <w:r>
      <w:rPr>
        <w:rFonts w:hint="eastAsia" w:ascii="华文行楷" w:hAnsi="华文行楷" w:eastAsia="华文行楷" w:cs="华文行楷"/>
        <w:sz w:val="24"/>
        <w:szCs w:val="24"/>
        <w:lang w:val="en-US" w:eastAsia="zh-CN"/>
      </w:rPr>
      <w:t>3+4</w:t>
    </w:r>
    <w:r>
      <w:rPr>
        <w:rFonts w:hint="eastAsia" w:ascii="华文行楷" w:hAnsi="华文行楷" w:eastAsia="华文行楷" w:cs="华文行楷"/>
        <w:sz w:val="24"/>
        <w:szCs w:val="24"/>
        <w:lang w:eastAsia="zh-CN"/>
      </w:rPr>
      <w:t>））专业</w:t>
    </w:r>
    <w:r>
      <w:rPr>
        <w:rFonts w:hint="eastAsia" w:ascii="华文行楷" w:hAnsi="华文行楷" w:eastAsia="华文行楷" w:cs="华文行楷"/>
        <w:sz w:val="24"/>
        <w:szCs w:val="24"/>
        <w:lang w:val="en-US" w:eastAsia="zh-CN"/>
      </w:rPr>
      <w:t>2021级</w:t>
    </w:r>
    <w:r>
      <w:rPr>
        <w:rFonts w:hint="eastAsia" w:ascii="华文行楷" w:hAnsi="华文行楷" w:eastAsia="华文行楷" w:cs="华文行楷"/>
        <w:sz w:val="24"/>
        <w:szCs w:val="24"/>
        <w:lang w:eastAsia="zh-CN"/>
      </w:rPr>
      <w:t>教学大纲</w:t>
    </w:r>
  </w:p>
  <w:p>
    <w:pPr>
      <w:pStyle w:val="7"/>
      <w:rPr>
        <w:rFonts w:hint="default"/>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F10163"/>
    <w:multiLevelType w:val="singleLevel"/>
    <w:tmpl w:val="94F10163"/>
    <w:lvl w:ilvl="0" w:tentative="0">
      <w:start w:val="3"/>
      <w:numFmt w:val="decimal"/>
      <w:suff w:val="space"/>
      <w:lvlText w:val="%1."/>
      <w:lvlJc w:val="left"/>
    </w:lvl>
  </w:abstractNum>
  <w:abstractNum w:abstractNumId="1">
    <w:nsid w:val="A1ACBB83"/>
    <w:multiLevelType w:val="singleLevel"/>
    <w:tmpl w:val="A1ACBB83"/>
    <w:lvl w:ilvl="0" w:tentative="0">
      <w:start w:val="2"/>
      <w:numFmt w:val="chineseCounting"/>
      <w:suff w:val="nothing"/>
      <w:lvlText w:val="（%1）"/>
      <w:lvlJc w:val="left"/>
      <w:rPr>
        <w:rFonts w:hint="eastAsia"/>
      </w:rPr>
    </w:lvl>
  </w:abstractNum>
  <w:abstractNum w:abstractNumId="2">
    <w:nsid w:val="B55ABE83"/>
    <w:multiLevelType w:val="singleLevel"/>
    <w:tmpl w:val="B55ABE83"/>
    <w:lvl w:ilvl="0" w:tentative="0">
      <w:start w:val="2"/>
      <w:numFmt w:val="chineseCounting"/>
      <w:suff w:val="nothing"/>
      <w:lvlText w:val="%1、"/>
      <w:lvlJc w:val="left"/>
      <w:rPr>
        <w:rFonts w:hint="eastAsia"/>
      </w:rPr>
    </w:lvl>
  </w:abstractNum>
  <w:abstractNum w:abstractNumId="3">
    <w:nsid w:val="E62F8654"/>
    <w:multiLevelType w:val="singleLevel"/>
    <w:tmpl w:val="E62F8654"/>
    <w:lvl w:ilvl="0" w:tentative="0">
      <w:start w:val="2"/>
      <w:numFmt w:val="chineseCounting"/>
      <w:suff w:val="nothing"/>
      <w:lvlText w:val="%1、"/>
      <w:lvlJc w:val="left"/>
      <w:rPr>
        <w:rFonts w:hint="eastAsia"/>
      </w:rPr>
    </w:lvl>
  </w:abstractNum>
  <w:abstractNum w:abstractNumId="4">
    <w:nsid w:val="0546729B"/>
    <w:multiLevelType w:val="multilevel"/>
    <w:tmpl w:val="0546729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EBBBD7F"/>
    <w:multiLevelType w:val="singleLevel"/>
    <w:tmpl w:val="2EBBBD7F"/>
    <w:lvl w:ilvl="0" w:tentative="0">
      <w:start w:val="7"/>
      <w:numFmt w:val="chineseCounting"/>
      <w:suff w:val="nothing"/>
      <w:lvlText w:val="（%1）"/>
      <w:lvlJc w:val="left"/>
      <w:rPr>
        <w:rFonts w:hint="eastAsia"/>
      </w:rPr>
    </w:lvl>
  </w:abstractNum>
  <w:abstractNum w:abstractNumId="6">
    <w:nsid w:val="2F6A5D3E"/>
    <w:multiLevelType w:val="singleLevel"/>
    <w:tmpl w:val="2F6A5D3E"/>
    <w:lvl w:ilvl="0" w:tentative="0">
      <w:start w:val="1"/>
      <w:numFmt w:val="decimal"/>
      <w:suff w:val="nothing"/>
      <w:lvlText w:val="（%1）"/>
      <w:lvlJc w:val="left"/>
    </w:lvl>
  </w:abstractNum>
  <w:abstractNum w:abstractNumId="7">
    <w:nsid w:val="3305AF52"/>
    <w:multiLevelType w:val="singleLevel"/>
    <w:tmpl w:val="3305AF52"/>
    <w:lvl w:ilvl="0" w:tentative="0">
      <w:start w:val="2"/>
      <w:numFmt w:val="chineseCounting"/>
      <w:suff w:val="nothing"/>
      <w:lvlText w:val="%1、"/>
      <w:lvlJc w:val="left"/>
      <w:rPr>
        <w:rFonts w:hint="eastAsia"/>
      </w:rPr>
    </w:lvl>
  </w:abstractNum>
  <w:abstractNum w:abstractNumId="8">
    <w:nsid w:val="4E1DECFA"/>
    <w:multiLevelType w:val="singleLevel"/>
    <w:tmpl w:val="4E1DECFA"/>
    <w:lvl w:ilvl="0" w:tentative="0">
      <w:start w:val="3"/>
      <w:numFmt w:val="chineseCounting"/>
      <w:suff w:val="nothing"/>
      <w:lvlText w:val="%1、"/>
      <w:lvlJc w:val="left"/>
      <w:rPr>
        <w:rFonts w:hint="eastAsia"/>
      </w:rPr>
    </w:lvl>
  </w:abstractNum>
  <w:abstractNum w:abstractNumId="9">
    <w:nsid w:val="52AA9CDF"/>
    <w:multiLevelType w:val="singleLevel"/>
    <w:tmpl w:val="52AA9CDF"/>
    <w:lvl w:ilvl="0" w:tentative="0">
      <w:start w:val="1"/>
      <w:numFmt w:val="decimal"/>
      <w:suff w:val="space"/>
      <w:lvlText w:val="%1."/>
      <w:lvlJc w:val="left"/>
    </w:lvl>
  </w:abstractNum>
  <w:abstractNum w:abstractNumId="10">
    <w:nsid w:val="7DB72665"/>
    <w:multiLevelType w:val="multilevel"/>
    <w:tmpl w:val="7DB72665"/>
    <w:lvl w:ilvl="0" w:tentative="0">
      <w:start w:val="1"/>
      <w:numFmt w:val="decimal"/>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7"/>
  </w:num>
  <w:num w:numId="2">
    <w:abstractNumId w:val="9"/>
  </w:num>
  <w:num w:numId="3">
    <w:abstractNumId w:val="3"/>
  </w:num>
  <w:num w:numId="4">
    <w:abstractNumId w:val="8"/>
  </w:num>
  <w:num w:numId="5">
    <w:abstractNumId w:val="6"/>
  </w:num>
  <w:num w:numId="6">
    <w:abstractNumId w:val="4"/>
  </w:num>
  <w:num w:numId="7">
    <w:abstractNumId w:val="5"/>
  </w:num>
  <w:num w:numId="8">
    <w:abstractNumId w:val="1"/>
  </w:num>
  <w:num w:numId="9">
    <w:abstractNumId w:val="2"/>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8F2542"/>
    <w:rsid w:val="14A7416C"/>
    <w:rsid w:val="1C17537A"/>
    <w:rsid w:val="22D6446A"/>
    <w:rsid w:val="398F2542"/>
    <w:rsid w:val="616E6A18"/>
    <w:rsid w:val="6C1779E7"/>
    <w:rsid w:val="6D3B651E"/>
    <w:rsid w:val="733E1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9"/>
    <w:pPr>
      <w:shd w:val="clear" w:color="auto" w:fill="FFFFFF"/>
      <w:spacing w:before="240" w:after="120" w:line="384" w:lineRule="atLeast"/>
      <w:jc w:val="both"/>
      <w:outlineLvl w:val="1"/>
    </w:pPr>
    <w:rPr>
      <w:rFonts w:ascii="微软雅黑" w:hAnsi="微软雅黑" w:eastAsia="宋体" w:cs="宋体"/>
      <w:b/>
      <w:caps/>
      <w:kern w:val="0"/>
      <w:sz w:val="28"/>
      <w:szCs w:val="24"/>
      <w:lang w:val="en-US" w:eastAsia="zh-CN" w:bidi="ar-SA"/>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12">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Body Text Indent"/>
    <w:basedOn w:val="1"/>
    <w:qFormat/>
    <w:uiPriority w:val="0"/>
    <w:pPr>
      <w:autoSpaceDE w:val="0"/>
      <w:autoSpaceDN w:val="0"/>
      <w:adjustRightInd w:val="0"/>
      <w:ind w:firstLine="413"/>
    </w:pPr>
    <w:rPr>
      <w:rFonts w:hint="eastAsia" w:ascii="宋体" w:hAnsi="宋体"/>
      <w:kern w:val="0"/>
      <w:sz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iPriority w:val="0"/>
  </w:style>
  <w:style w:type="paragraph" w:styleId="9">
    <w:name w:val="toc 2"/>
    <w:basedOn w:val="1"/>
    <w:next w:val="1"/>
    <w:unhideWhenUsed/>
    <w:qFormat/>
    <w:uiPriority w:val="39"/>
    <w:pPr>
      <w:ind w:left="420" w:leftChars="200"/>
    </w:p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bCs/>
    </w:rPr>
  </w:style>
  <w:style w:type="paragraph" w:customStyle="1" w:styleId="14">
    <w:name w:val="在表格内文字"/>
    <w:basedOn w:val="1"/>
    <w:qFormat/>
    <w:uiPriority w:val="0"/>
    <w:rPr>
      <w:rFonts w:eastAsia="楷体"/>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7" Type="http://schemas.openxmlformats.org/officeDocument/2006/relationships/fontTable" Target="fontTable.xml"/><Relationship Id="rId46" Type="http://schemas.openxmlformats.org/officeDocument/2006/relationships/numbering" Target="numbering.xml"/><Relationship Id="rId45" Type="http://schemas.openxmlformats.org/officeDocument/2006/relationships/customXml" Target="../customXml/item1.xml"/><Relationship Id="rId44" Type="http://schemas.openxmlformats.org/officeDocument/2006/relationships/oleObject" Target="embeddings/oleObject20.bin"/><Relationship Id="rId43" Type="http://schemas.openxmlformats.org/officeDocument/2006/relationships/oleObject" Target="embeddings/oleObject19.bin"/><Relationship Id="rId42" Type="http://schemas.openxmlformats.org/officeDocument/2006/relationships/oleObject" Target="embeddings/oleObject18.bin"/><Relationship Id="rId41" Type="http://schemas.openxmlformats.org/officeDocument/2006/relationships/image" Target="media/image10.wmf"/><Relationship Id="rId40" Type="http://schemas.openxmlformats.org/officeDocument/2006/relationships/oleObject" Target="embeddings/oleObject17.bin"/><Relationship Id="rId4" Type="http://schemas.openxmlformats.org/officeDocument/2006/relationships/header" Target="header2.xml"/><Relationship Id="rId39" Type="http://schemas.openxmlformats.org/officeDocument/2006/relationships/oleObject" Target="embeddings/oleObject16.bin"/><Relationship Id="rId38" Type="http://schemas.openxmlformats.org/officeDocument/2006/relationships/oleObject" Target="embeddings/oleObject15.bin"/><Relationship Id="rId37" Type="http://schemas.openxmlformats.org/officeDocument/2006/relationships/oleObject" Target="embeddings/oleObject14.bin"/><Relationship Id="rId36" Type="http://schemas.openxmlformats.org/officeDocument/2006/relationships/image" Target="media/image9.wmf"/><Relationship Id="rId35" Type="http://schemas.openxmlformats.org/officeDocument/2006/relationships/oleObject" Target="embeddings/oleObject13.bin"/><Relationship Id="rId34" Type="http://schemas.openxmlformats.org/officeDocument/2006/relationships/oleObject" Target="embeddings/oleObject12.bin"/><Relationship Id="rId33" Type="http://schemas.openxmlformats.org/officeDocument/2006/relationships/oleObject" Target="embeddings/oleObject11.bin"/><Relationship Id="rId32" Type="http://schemas.openxmlformats.org/officeDocument/2006/relationships/image" Target="media/image8.wmf"/><Relationship Id="rId31" Type="http://schemas.openxmlformats.org/officeDocument/2006/relationships/oleObject" Target="embeddings/oleObject10.bin"/><Relationship Id="rId30" Type="http://schemas.openxmlformats.org/officeDocument/2006/relationships/image" Target="media/image7.wmf"/><Relationship Id="rId3" Type="http://schemas.openxmlformats.org/officeDocument/2006/relationships/header" Target="header1.xml"/><Relationship Id="rId29" Type="http://schemas.openxmlformats.org/officeDocument/2006/relationships/oleObject" Target="embeddings/oleObject9.bin"/><Relationship Id="rId28" Type="http://schemas.openxmlformats.org/officeDocument/2006/relationships/image" Target="media/image6.wmf"/><Relationship Id="rId27" Type="http://schemas.openxmlformats.org/officeDocument/2006/relationships/oleObject" Target="embeddings/oleObject8.bin"/><Relationship Id="rId26" Type="http://schemas.openxmlformats.org/officeDocument/2006/relationships/oleObject" Target="embeddings/oleObject7.bin"/><Relationship Id="rId25" Type="http://schemas.openxmlformats.org/officeDocument/2006/relationships/oleObject" Target="embeddings/oleObject6.bin"/><Relationship Id="rId24" Type="http://schemas.openxmlformats.org/officeDocument/2006/relationships/oleObject" Target="embeddings/oleObject5.bin"/><Relationship Id="rId23" Type="http://schemas.openxmlformats.org/officeDocument/2006/relationships/oleObject" Target="embeddings/oleObject4.bin"/><Relationship Id="rId22" Type="http://schemas.openxmlformats.org/officeDocument/2006/relationships/oleObject" Target="embeddings/oleObject3.bin"/><Relationship Id="rId21" Type="http://schemas.openxmlformats.org/officeDocument/2006/relationships/oleObject" Target="embeddings/oleObject2.bin"/><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4.pn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Info spid="_x0000_s2052"/>
    <customShpInfo spid="_x0000_s2053"/>
    <customShpInfo spid="_x0000_s2054"/>
    <customShpInfo spid="_x0000_s2055"/>
    <customShpInfo spid="_x0000_s2056"/>
    <customShpInfo spid="_x0000_s2057"/>
    <customShpInfo spid="_x0000_s2058"/>
    <customShpInfo spid="_x0000_s205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2021-11-16T07:02:00Z</dcterms:created>
  <dc:creator>Administrator</dc:creator>
  <cp:lastModifiedBy>Administrator</cp:lastModifiedBy>
  <cp:lastPrinted>2021-11-16T07:07:00Z</cp:lastPrinted>
  <dcterms:modified xsi:type="dcterms:W3CDTF">2021-11-16T07:58:59Z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32A29BD4925D4DA58B8AC0B766B3FA9D</vt:lpwstr>
  </property>
</Properties>
</file>